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Quarter Ended March 31, 2021</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6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08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72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680"/>
          </w:cols>
          <w:pgMar w:left="320" w:top="230"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4"/>
          </w:tcPr>
          <w:p>
            <w:pPr>
              <w:jc w:val="center"/>
              <w:ind w:right="2480"/>
              <w:spacing w:after="0"/>
              <w:rPr>
                <w:sz w:val="20"/>
                <w:szCs w:val="20"/>
                <w:color w:val="auto"/>
              </w:rPr>
            </w:pPr>
            <w:r>
              <w:rPr>
                <w:rFonts w:ascii="Arial" w:cs="Arial" w:eastAsia="Arial" w:hAnsi="Arial"/>
                <w:sz w:val="18"/>
                <w:szCs w:val="18"/>
                <w:color w:val="auto"/>
              </w:rPr>
              <w:t>AMDOCS LIMITED</w:t>
            </w:r>
          </w:p>
        </w:tc>
        <w:tc>
          <w:tcPr>
            <w:tcW w:w="190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gridSpan w:val="2"/>
          </w:tcPr>
          <w:p>
            <w:pPr>
              <w:jc w:val="center"/>
              <w:ind w:right="3080"/>
              <w:spacing w:after="0"/>
              <w:rPr>
                <w:sz w:val="20"/>
                <w:szCs w:val="20"/>
                <w:color w:val="auto"/>
              </w:rPr>
            </w:pPr>
            <w:r>
              <w:rPr>
                <w:rFonts w:ascii="Arial" w:cs="Arial" w:eastAsia="Arial" w:hAnsi="Arial"/>
                <w:sz w:val="18"/>
                <w:szCs w:val="18"/>
                <w:color w:val="auto"/>
                <w:w w:val="97"/>
              </w:rPr>
              <w:t>FORM 6-K</w:t>
            </w:r>
          </w:p>
        </w:tc>
        <w:tc>
          <w:tcPr>
            <w:tcW w:w="190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20" w:type="dxa"/>
            <w:vAlign w:val="bottom"/>
            <w:gridSpan w:val="8"/>
          </w:tcPr>
          <w:p>
            <w:pPr>
              <w:jc w:val="center"/>
              <w:ind w:right="1700"/>
              <w:spacing w:after="0"/>
              <w:rPr>
                <w:sz w:val="20"/>
                <w:szCs w:val="20"/>
                <w:color w:val="auto"/>
              </w:rPr>
            </w:pPr>
            <w:r>
              <w:rPr>
                <w:rFonts w:ascii="Arial" w:cs="Arial" w:eastAsia="Arial" w:hAnsi="Arial"/>
                <w:sz w:val="18"/>
                <w:szCs w:val="18"/>
                <w:color w:val="auto"/>
                <w:w w:val="92"/>
              </w:rPr>
              <w:t>REPORT OF FOREIGN PRIVATE ISSUER</w:t>
            </w:r>
          </w:p>
        </w:tc>
        <w:tc>
          <w:tcPr>
            <w:tcW w:w="1900" w:type="dxa"/>
            <w:vAlign w:val="bottom"/>
          </w:tcPr>
          <w:p>
            <w:pPr>
              <w:spacing w:after="0"/>
              <w:rPr>
                <w:sz w:val="24"/>
                <w:szCs w:val="24"/>
                <w:color w:val="auto"/>
              </w:rPr>
            </w:pPr>
          </w:p>
        </w:tc>
      </w:tr>
      <w:tr>
        <w:trPr>
          <w:trHeight w:val="310"/>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20" w:type="dxa"/>
            <w:vAlign w:val="bottom"/>
            <w:gridSpan w:val="8"/>
          </w:tcPr>
          <w:p>
            <w:pPr>
              <w:jc w:val="center"/>
              <w:ind w:right="1680"/>
              <w:spacing w:after="0"/>
              <w:rPr>
                <w:sz w:val="20"/>
                <w:szCs w:val="20"/>
                <w:color w:val="auto"/>
              </w:rPr>
            </w:pPr>
            <w:r>
              <w:rPr>
                <w:rFonts w:ascii="Arial" w:cs="Arial" w:eastAsia="Arial" w:hAnsi="Arial"/>
                <w:sz w:val="18"/>
                <w:szCs w:val="18"/>
                <w:color w:val="auto"/>
                <w:w w:val="94"/>
              </w:rPr>
              <w:t>FOR THE QUARTER ENDED MARCH 31, 2021</w:t>
            </w:r>
          </w:p>
        </w:tc>
        <w:tc>
          <w:tcPr>
            <w:tcW w:w="190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2"/>
          </w:tcPr>
          <w:p>
            <w:pPr>
              <w:jc w:val="center"/>
              <w:ind w:right="3080"/>
              <w:spacing w:after="0"/>
              <w:rPr>
                <w:sz w:val="20"/>
                <w:szCs w:val="20"/>
                <w:color w:val="auto"/>
              </w:rPr>
            </w:pPr>
            <w:r>
              <w:rPr>
                <w:rFonts w:ascii="Arial" w:cs="Arial" w:eastAsia="Arial" w:hAnsi="Arial"/>
                <w:sz w:val="18"/>
                <w:szCs w:val="18"/>
                <w:color w:val="auto"/>
              </w:rPr>
              <w:t>INDEX</w:t>
            </w:r>
          </w:p>
        </w:tc>
        <w:tc>
          <w:tcPr>
            <w:tcW w:w="1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84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6220" w:type="dxa"/>
            <w:vAlign w:val="bottom"/>
            <w:gridSpan w:val="10"/>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640" w:type="dxa"/>
            <w:vAlign w:val="bottom"/>
            <w:gridSpan w:val="1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340" w:type="dxa"/>
            <w:vAlign w:val="bottom"/>
            <w:gridSpan w:val="15"/>
          </w:tcPr>
          <w:p>
            <w:pPr>
              <w:spacing w:after="0" w:line="196" w:lineRule="exact"/>
              <w:rPr>
                <w:sz w:val="20"/>
                <w:szCs w:val="20"/>
                <w:color w:val="auto"/>
              </w:rPr>
            </w:pPr>
            <w:r>
              <w:rPr>
                <w:rFonts w:ascii="Arial" w:cs="Arial" w:eastAsia="Arial" w:hAnsi="Arial"/>
                <w:sz w:val="18"/>
                <w:szCs w:val="18"/>
                <w:color w:val="0000EE"/>
              </w:rPr>
              <w:t>Unaudited Consolidated Financial Statements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506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Income</w:t>
              </w:r>
            </w:hyperlink>
          </w:p>
        </w:tc>
        <w:tc>
          <w:tcPr>
            <w:tcW w:w="542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Comprehensive Income</w:t>
              </w:r>
            </w:hyperlink>
          </w:p>
        </w:tc>
        <w:tc>
          <w:tcPr>
            <w:tcW w:w="424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9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Equity</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4640" w:type="dxa"/>
            <w:vAlign w:val="bottom"/>
            <w:gridSpan w:val="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Consolidated Financial Statements</w:t>
              </w:r>
            </w:hyperlink>
          </w:p>
        </w:tc>
        <w:tc>
          <w:tcPr>
            <w:tcW w:w="404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0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Operating and Financial Review and Prospects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00" w:type="dxa"/>
            <w:vAlign w:val="bottom"/>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 Changes in Securities, Use of Proceeds and Issuer Purchases of Equity Securities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2. Reports on Form 6-K</w:t>
              </w:r>
            </w:hyperlink>
          </w:p>
        </w:tc>
        <w:tc>
          <w:tcPr>
            <w:tcW w:w="4220" w:type="dxa"/>
            <w:vAlign w:val="bottom"/>
            <w:tcBorders>
              <w:top w:val="single" w:sz="8" w:color="0000EE"/>
            </w:tcBorders>
            <w:gridSpan w:val="10"/>
          </w:tcPr>
          <w:p>
            <w:pPr>
              <w:spacing w:after="0"/>
              <w:rPr>
                <w:sz w:val="17"/>
                <w:szCs w:val="17"/>
                <w:color w:val="auto"/>
              </w:rPr>
            </w:pPr>
          </w:p>
        </w:tc>
        <w:tc>
          <w:tcPr>
            <w:tcW w:w="232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SIGNATURES</w:t>
              </w:r>
            </w:hyperlink>
          </w:p>
        </w:tc>
        <w:tc>
          <w:tcPr>
            <w:tcW w:w="7960" w:type="dxa"/>
            <w:vAlign w:val="bottom"/>
            <w:gridSpan w:val="1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48"/>
              <w:spacing w:after="0" w:line="119" w:lineRule="exact"/>
              <w:rPr>
                <w:sz w:val="20"/>
                <w:szCs w:val="20"/>
                <w:color w:val="auto"/>
              </w:rPr>
            </w:pPr>
            <w:r>
              <w:rPr>
                <w:rFonts w:ascii="Arial" w:cs="Arial" w:eastAsia="Arial" w:hAnsi="Arial"/>
                <w:sz w:val="13"/>
                <w:szCs w:val="13"/>
                <w:b w:val="1"/>
                <w:bCs w:val="1"/>
                <w:color w:val="auto"/>
              </w:rPr>
              <w:t>March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968,988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983,188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194,684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907,017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861,033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227,560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229,604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2,298,249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2,074,577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640,253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607,951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266,719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295,494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2,592,443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2,578,645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291,203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296,334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513,219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488,620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6,602,086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6,341,621</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152,476</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110,142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604,879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593,608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Accrued personnel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204,315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226,509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financing arrangement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58,794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59,100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126,841</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1,339,663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1,216,200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271,686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258,487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209,276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230,076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644,276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644,023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490,447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327,680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2,955,348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2,676,466</w:t>
            </w:r>
          </w:p>
        </w:tc>
        <w:tc>
          <w:tcPr>
            <w:tcW w:w="0" w:type="dxa"/>
            <w:vAlign w:val="bottom"/>
          </w:tcPr>
          <w:p>
            <w:pPr>
              <w:spacing w:after="0"/>
              <w:rPr>
                <w:sz w:val="1"/>
                <w:szCs w:val="1"/>
                <w:color w:val="auto"/>
              </w:rPr>
            </w:pPr>
          </w:p>
        </w:tc>
      </w:tr>
      <w:tr>
        <w:trPr>
          <w:trHeight w:val="205"/>
        </w:trPr>
        <w:tc>
          <w:tcPr>
            <w:tcW w:w="8820" w:type="dxa"/>
            <w:vAlign w:val="bottom"/>
          </w:tcPr>
          <w:p>
            <w:pPr>
              <w:spacing w:after="0" w:line="205" w:lineRule="exact"/>
              <w:rPr>
                <w:sz w:val="20"/>
                <w:szCs w:val="20"/>
                <w:color w:val="auto"/>
              </w:rPr>
            </w:pPr>
            <w:r>
              <w:rPr>
                <w:rFonts w:ascii="Arial" w:cs="Arial" w:eastAsia="Arial" w:hAnsi="Arial"/>
                <w:sz w:val="18"/>
                <w:szCs w:val="18"/>
                <w:b w:val="1"/>
                <w:bCs w:val="1"/>
                <w:color w:val="auto"/>
              </w:rPr>
              <w:t>Equity:</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20" w:type="dxa"/>
            <w:vAlign w:val="bottom"/>
          </w:tcPr>
          <w:p>
            <w:pPr>
              <w:ind w:left="360"/>
              <w:spacing w:after="0" w:line="201" w:lineRule="exact"/>
              <w:rPr>
                <w:sz w:val="20"/>
                <w:szCs w:val="20"/>
                <w:color w:val="auto"/>
              </w:rPr>
            </w:pPr>
            <w:r>
              <w:rPr>
                <w:rFonts w:ascii="Arial" w:cs="Arial" w:eastAsia="Arial" w:hAnsi="Arial"/>
                <w:sz w:val="18"/>
                <w:szCs w:val="18"/>
                <w:color w:val="auto"/>
                <w:w w:val="95"/>
              </w:rPr>
              <w:t>Ordinary Shares — Authorized 700,000 shares; £0.01 par value; 281,769 and 279,578 issued and 127,654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540"/>
              <w:spacing w:after="0"/>
              <w:rPr>
                <w:sz w:val="20"/>
                <w:szCs w:val="20"/>
                <w:color w:val="auto"/>
              </w:rPr>
            </w:pPr>
            <w:r>
              <w:rPr>
                <w:rFonts w:ascii="Arial" w:cs="Arial" w:eastAsia="Arial" w:hAnsi="Arial"/>
                <w:sz w:val="18"/>
                <w:szCs w:val="18"/>
                <w:color w:val="auto"/>
              </w:rPr>
              <w:t>131,535 outstanding, respectively</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4,513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3,912,275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3,807,915</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Treasury stock, at cost 154,115 and 148,043 ordinary shares, respectively</w:t>
            </w:r>
          </w:p>
        </w:tc>
        <w:tc>
          <w:tcPr>
            <w:tcW w:w="100" w:type="dxa"/>
            <w:vAlign w:val="bottom"/>
          </w:tcPr>
          <w:p>
            <w:pPr>
              <w:spacing w:after="0"/>
              <w:rPr>
                <w:sz w:val="18"/>
                <w:szCs w:val="18"/>
                <w:color w:val="auto"/>
              </w:rPr>
            </w:pPr>
          </w:p>
        </w:tc>
        <w:tc>
          <w:tcPr>
            <w:tcW w:w="1100" w:type="dxa"/>
            <w:vAlign w:val="bottom"/>
            <w:gridSpan w:val="3"/>
          </w:tcPr>
          <w:p>
            <w:pPr>
              <w:jc w:val="right"/>
              <w:ind w:right="188"/>
              <w:spacing w:after="0"/>
              <w:rPr>
                <w:sz w:val="20"/>
                <w:szCs w:val="20"/>
                <w:color w:val="auto"/>
              </w:rPr>
            </w:pPr>
            <w:r>
              <w:rPr>
                <w:rFonts w:ascii="Arial" w:cs="Arial" w:eastAsia="Arial" w:hAnsi="Arial"/>
                <w:sz w:val="18"/>
                <w:szCs w:val="18"/>
                <w:color w:val="auto"/>
                <w:w w:val="89"/>
              </w:rPr>
              <w:t>(5,993,395)</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(5,543,321)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5,671,798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5,341,907</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3,604,229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3,622,646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42,509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3,646,738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3,665,155</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6,602,086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6,341,621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1,048,734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1,047,933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2,135,077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2,089,890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685,515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683,970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1,414,231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1,370,282</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75,154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68,795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150,823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136,106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116,951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238,839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242,575</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19,348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41,740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40,638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891,221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1,845,633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1,789,601</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156,712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226,410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505,822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297,647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27,384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87,123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54,677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418,699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242,970</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0.3275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8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2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8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2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7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$ 119,067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$127,038</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$418,699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$242,970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Other comprehensive loss, net of tax:</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(11,975)</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(6,278)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(6,657)</w:t>
            </w:r>
          </w:p>
        </w:tc>
      </w:tr>
      <w:tr>
        <w:trPr>
          <w:trHeight w:val="216"/>
        </w:trPr>
        <w:tc>
          <w:tcPr>
            <w:tcW w:w="7500" w:type="dxa"/>
            <w:vAlign w:val="bottom"/>
            <w:gridSpan w:val="2"/>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(1,951)</w:t>
            </w: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(1,677)</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12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(13,926)</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(6,278)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(6,657)</w:t>
            </w: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105,141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120,760</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416,075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236,313</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right="40" w:hanging="424"/>
        <w:spacing w:after="0" w:line="25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(expense) of $2,424 and $(1,450) for the three months ended March 31, 2021 and 2020, respectively and of $1,203 and $(1,239) for the six months ended March 31, 2021 and 2020, respectively.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tax (expense) benefit for the three and six months ended March 31, 2021 and 2020.</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6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Limited</w:t>
            </w:r>
          </w:p>
        </w:tc>
        <w:tc>
          <w:tcPr>
            <w:tcW w:w="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controlling</w:t>
            </w:r>
          </w:p>
        </w:tc>
        <w:tc>
          <w:tcPr>
            <w:tcW w:w="6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Capital</w:t>
            </w:r>
          </w:p>
        </w:tc>
        <w:tc>
          <w:tcPr>
            <w:tcW w:w="10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2"/>
                <w:szCs w:val="12"/>
                <w:color w:val="auto"/>
              </w:rPr>
            </w:pPr>
          </w:p>
        </w:tc>
        <w:tc>
          <w:tcPr>
            <w:tcW w:w="9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54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 December 31,</w:t>
            </w: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1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130,825</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$ 4,493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$3,833,193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$(5,633,343)</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22,964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$5,598,689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$ 3,825,996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$3,868,505</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119,067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119,067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119,067</w:t>
            </w: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(13,926)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(13,926)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(13,926)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105,141</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w w:val="92"/>
              </w:rPr>
              <w:t>Employee stock options exercised</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1,122</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65,707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65,722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65,722</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(4,636)</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(360,052)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(360,052)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(360,052)</w:t>
            </w:r>
          </w:p>
        </w:tc>
        <w:tc>
          <w:tcPr>
            <w:tcW w:w="0" w:type="dxa"/>
            <w:vAlign w:val="bottom"/>
          </w:tcPr>
          <w:p>
            <w:pPr>
              <w:spacing w:after="0"/>
              <w:rPr>
                <w:sz w:val="1"/>
                <w:szCs w:val="1"/>
                <w:color w:val="auto"/>
              </w:rPr>
            </w:pPr>
          </w:p>
        </w:tc>
      </w:tr>
      <w:tr>
        <w:trPr>
          <w:trHeight w:val="202"/>
        </w:trPr>
        <w:tc>
          <w:tcPr>
            <w:tcW w:w="2540" w:type="dxa"/>
            <w:vAlign w:val="bottom"/>
            <w:gridSpan w:val="2"/>
          </w:tcPr>
          <w:p>
            <w:pPr>
              <w:spacing w:after="0" w:line="201" w:lineRule="exact"/>
              <w:rPr>
                <w:sz w:val="20"/>
                <w:szCs w:val="20"/>
                <w:color w:val="auto"/>
              </w:rPr>
            </w:pPr>
            <w:r>
              <w:rPr>
                <w:rFonts w:ascii="Arial" w:cs="Arial" w:eastAsia="Arial" w:hAnsi="Arial"/>
                <w:sz w:val="18"/>
                <w:szCs w:val="18"/>
                <w:color w:val="auto"/>
                <w:w w:val="99"/>
              </w:rPr>
              <w:t>Cash dividends declared ($0.36</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per ordinary share)</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(45,958)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(45,958)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(45,958)</w:t>
            </w:r>
          </w:p>
        </w:tc>
        <w:tc>
          <w:tcPr>
            <w:tcW w:w="0" w:type="dxa"/>
            <w:vAlign w:val="bottom"/>
          </w:tcPr>
          <w:p>
            <w:pPr>
              <w:spacing w:after="0"/>
              <w:rPr>
                <w:sz w:val="1"/>
                <w:szCs w:val="1"/>
                <w:color w:val="auto"/>
              </w:rPr>
            </w:pPr>
          </w:p>
        </w:tc>
      </w:tr>
      <w:tr>
        <w:trPr>
          <w:trHeight w:val="202"/>
        </w:trPr>
        <w:tc>
          <w:tcPr>
            <w:tcW w:w="2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restricted stock, net of</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343</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540" w:type="dxa"/>
            <w:vAlign w:val="bottom"/>
            <w:gridSpan w:val="2"/>
          </w:tcPr>
          <w:p>
            <w:pPr>
              <w:spacing w:after="0" w:line="201" w:lineRule="exact"/>
              <w:rPr>
                <w:sz w:val="20"/>
                <w:szCs w:val="20"/>
                <w:color w:val="auto"/>
              </w:rPr>
            </w:pPr>
            <w:r>
              <w:rPr>
                <w:rFonts w:ascii="Arial" w:cs="Arial" w:eastAsia="Arial" w:hAnsi="Arial"/>
                <w:sz w:val="18"/>
                <w:szCs w:val="18"/>
                <w:color w:val="auto"/>
              </w:rPr>
              <w:t>Equity-based compensation</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w w:val="97"/>
              </w:rPr>
              <w:t>expense related to employees</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13,375</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13,375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13,375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127,654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4,513</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3,912,275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(5,993,395)</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5,671,798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$ 3,604,229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3,646,738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Limited</w:t>
            </w:r>
          </w:p>
        </w:tc>
        <w:tc>
          <w:tcPr>
            <w:tcW w:w="8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60" w:type="dxa"/>
            <w:vAlign w:val="bottom"/>
            <w:tcBorders>
              <w:bottom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Treasury</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Loss</w:t>
            </w:r>
          </w:p>
        </w:tc>
        <w:tc>
          <w:tcPr>
            <w:tcW w:w="9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1"/>
                <w:szCs w:val="11"/>
                <w:color w:val="auto"/>
              </w:rPr>
            </w:pPr>
          </w:p>
        </w:tc>
        <w:tc>
          <w:tcPr>
            <w:tcW w:w="9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1"/>
                <w:szCs w:val="11"/>
                <w:color w:val="auto"/>
              </w:rPr>
            </w:pPr>
          </w:p>
        </w:tc>
        <w:tc>
          <w:tcPr>
            <w:tcW w:w="74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1"/>
                <w:szCs w:val="11"/>
                <w:color w:val="auto"/>
              </w:rPr>
            </w:pPr>
          </w:p>
        </w:tc>
        <w:tc>
          <w:tcPr>
            <w:tcW w:w="9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3"/>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54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 December 31,</w:t>
            </w: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1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134,580</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$ 4,466</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$3,719,810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$(5,272,429)</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$5,090,374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$ 3,539,295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$3,581,804</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127,038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127,038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127,038</w:t>
            </w: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(6,278)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(6,278)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120,760</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w w:val="92"/>
              </w:rPr>
              <w:t>Employee stock options exercised</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541</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29,240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29,248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29,248</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(1,862)</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(120,028)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(120,028)</w:t>
            </w:r>
          </w:p>
        </w:tc>
        <w:tc>
          <w:tcPr>
            <w:tcW w:w="0" w:type="dxa"/>
            <w:vAlign w:val="bottom"/>
          </w:tcPr>
          <w:p>
            <w:pPr>
              <w:spacing w:after="0"/>
              <w:rPr>
                <w:sz w:val="1"/>
                <w:szCs w:val="1"/>
                <w:color w:val="auto"/>
              </w:rPr>
            </w:pPr>
          </w:p>
        </w:tc>
      </w:tr>
      <w:tr>
        <w:trPr>
          <w:trHeight w:val="202"/>
        </w:trPr>
        <w:tc>
          <w:tcPr>
            <w:tcW w:w="2540" w:type="dxa"/>
            <w:vAlign w:val="bottom"/>
            <w:gridSpan w:val="2"/>
          </w:tcPr>
          <w:p>
            <w:pPr>
              <w:spacing w:after="0" w:line="201" w:lineRule="exact"/>
              <w:rPr>
                <w:sz w:val="20"/>
                <w:szCs w:val="20"/>
                <w:color w:val="auto"/>
              </w:rPr>
            </w:pPr>
            <w:r>
              <w:rPr>
                <w:rFonts w:ascii="Arial" w:cs="Arial" w:eastAsia="Arial" w:hAnsi="Arial"/>
                <w:sz w:val="18"/>
                <w:szCs w:val="18"/>
                <w:color w:val="auto"/>
                <w:w w:val="92"/>
              </w:rPr>
              <w:t>Cash dividends declared ($0.3275</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per ordinary share)</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(43,723)</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(43,723)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(43,723)</w:t>
            </w:r>
          </w:p>
        </w:tc>
        <w:tc>
          <w:tcPr>
            <w:tcW w:w="0" w:type="dxa"/>
            <w:vAlign w:val="bottom"/>
          </w:tcPr>
          <w:p>
            <w:pPr>
              <w:spacing w:after="0"/>
              <w:rPr>
                <w:sz w:val="1"/>
                <w:szCs w:val="1"/>
                <w:color w:val="auto"/>
              </w:rPr>
            </w:pPr>
          </w:p>
        </w:tc>
      </w:tr>
      <w:tr>
        <w:trPr>
          <w:trHeight w:val="202"/>
        </w:trPr>
        <w:tc>
          <w:tcPr>
            <w:tcW w:w="2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restricted stock, net of</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241</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540" w:type="dxa"/>
            <w:vAlign w:val="bottom"/>
            <w:gridSpan w:val="2"/>
          </w:tcPr>
          <w:p>
            <w:pPr>
              <w:spacing w:after="0" w:line="201" w:lineRule="exact"/>
              <w:rPr>
                <w:sz w:val="20"/>
                <w:szCs w:val="20"/>
                <w:color w:val="auto"/>
              </w:rPr>
            </w:pPr>
            <w:r>
              <w:rPr>
                <w:rFonts w:ascii="Arial" w:cs="Arial" w:eastAsia="Arial" w:hAnsi="Arial"/>
                <w:sz w:val="18"/>
                <w:szCs w:val="18"/>
                <w:color w:val="auto"/>
              </w:rPr>
              <w:t>Equity-based compensation</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w w:val="97"/>
              </w:rPr>
              <w:t>expense related to employees</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10,748</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10,748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133,500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4,477</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3,759,798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(5,392,457)</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5,173,689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$ 3,536,303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3,578,812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100" w:hanging="424"/>
        <w:spacing w:after="0" w:line="255"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March 31, 2021 and 2020, accumulated other comprehensive income (loss) is comprised of unrealized gain (loss) on derivatives, net of tax, of $17,889 and $(2,712), unrealized loss on short-term interest-bearing investments, net of tax, of $(1,679) and $0, and unrealized loss on defined benefit plan, net of tax, of $(7,172) and $(6,492).</w:t>
      </w:r>
    </w:p>
    <w:p>
      <w:pPr>
        <w:spacing w:after="0" w:line="2"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and six months ended March 31, 2021, and 2020, all of the Company’s net income is attributable to Amdocs Limited as the net income attributable to the Non-controlling interests is negligible.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4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Limited</w:t>
            </w:r>
          </w:p>
        </w:tc>
        <w:tc>
          <w:tcPr>
            <w:tcW w:w="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1000" w:type="dxa"/>
            <w:vAlign w:val="bottom"/>
            <w:gridSpan w:val="2"/>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Shareholders’</w:t>
            </w:r>
          </w:p>
        </w:tc>
        <w:tc>
          <w:tcPr>
            <w:tcW w:w="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Capital</w:t>
            </w:r>
          </w:p>
        </w:tc>
        <w:tc>
          <w:tcPr>
            <w:tcW w:w="10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78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2"/>
                <w:szCs w:val="12"/>
                <w:color w:val="auto"/>
              </w:rPr>
            </w:pP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Earnings</w:t>
            </w: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3"/>
              <w:spacing w:after="0" w:line="142" w:lineRule="exact"/>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5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 September 30,</w:t>
            </w: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131,535</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$ 4,483</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$3,807,915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$(5,543,321)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11,662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$5,341,907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$ 3,622,646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$3,665,155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418,699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418,699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418,699</w:t>
            </w:r>
          </w:p>
        </w:tc>
        <w:tc>
          <w:tcPr>
            <w:tcW w:w="0" w:type="dxa"/>
            <w:vAlign w:val="bottom"/>
          </w:tcPr>
          <w:p>
            <w:pPr>
              <w:spacing w:after="0"/>
              <w:rPr>
                <w:sz w:val="1"/>
                <w:szCs w:val="1"/>
                <w:color w:val="auto"/>
              </w:rPr>
            </w:pPr>
          </w:p>
        </w:tc>
      </w:tr>
      <w:tr>
        <w:trPr>
          <w:trHeight w:val="216"/>
        </w:trPr>
        <w:tc>
          <w:tcPr>
            <w:tcW w:w="254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(2,624)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416,075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416,075</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Employee stock options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78,408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78,426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78,426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(450,074)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(450,074)</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Cash dividends declared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($0.6875 per ordinary share)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(88,808)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(88,808)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(88,808)</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restricted stock, net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w w:val="97"/>
              </w:rPr>
              <w:t>expense related to employees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25,952</w:t>
            </w:r>
          </w:p>
        </w:tc>
        <w:tc>
          <w:tcPr>
            <w:tcW w:w="16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25,952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25,952</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127,654</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4,513</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3,912,275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(5,993,395)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5,671,798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$ 3,604,229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3,646,738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4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Limited</w:t>
            </w:r>
          </w:p>
        </w:tc>
        <w:tc>
          <w:tcPr>
            <w:tcW w:w="6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000" w:type="dxa"/>
            <w:vAlign w:val="bottom"/>
            <w:gridSpan w:val="2"/>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Shareholders’</w:t>
            </w:r>
          </w:p>
        </w:tc>
        <w:tc>
          <w:tcPr>
            <w:tcW w:w="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Capital</w:t>
            </w:r>
          </w:p>
        </w:tc>
        <w:tc>
          <w:tcPr>
            <w:tcW w:w="10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78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2"/>
                <w:szCs w:val="12"/>
                <w:color w:val="auto"/>
              </w:rPr>
            </w:pP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Earnings</w:t>
            </w: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3"/>
              <w:spacing w:after="0" w:line="142" w:lineRule="exact"/>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5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 September 30,</w:t>
            </w: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134,773</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$ 4,452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$3,667,662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$(5,182,409)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$5,012,799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$ 3,499,957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$3,542,466</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242,970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242,970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242,970</w:t>
            </w:r>
          </w:p>
        </w:tc>
        <w:tc>
          <w:tcPr>
            <w:tcW w:w="0" w:type="dxa"/>
            <w:vAlign w:val="bottom"/>
          </w:tcPr>
          <w:p>
            <w:pPr>
              <w:spacing w:after="0"/>
              <w:rPr>
                <w:sz w:val="1"/>
                <w:szCs w:val="1"/>
                <w:color w:val="auto"/>
              </w:rPr>
            </w:pPr>
          </w:p>
        </w:tc>
      </w:tr>
      <w:tr>
        <w:trPr>
          <w:trHeight w:val="216"/>
        </w:trPr>
        <w:tc>
          <w:tcPr>
            <w:tcW w:w="254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(6,657)</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236,313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236,313</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Employee stock options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1,344</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70,627</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70,645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70,645</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(210,048)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(210,048)</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Cash dividends declared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($0.6125 per ordinary share)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(82,080)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(82,080)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(82,080)</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restricted stock, net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w w:val="97"/>
              </w:rPr>
              <w:t>expense related to employees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21,509</w:t>
            </w:r>
          </w:p>
        </w:tc>
        <w:tc>
          <w:tcPr>
            <w:tcW w:w="16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21,509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21,509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133,500</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4,477</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3,759,798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(5,392,457)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5,173,689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$ 3,536,303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3,578,812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Six months ended</w:t>
      </w:r>
    </w:p>
    <w:p>
      <w:pPr>
        <w:jc w:val="center"/>
        <w:ind w:left="90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418,699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242,970</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101,298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98,107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25,952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21,509</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sale of a business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(226,410)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(27,778)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9,150</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(108,799)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19,957</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(11,906)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(22,637)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(1,653)</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Lease assets and liabilities, net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7,522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(11,947)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(96,647)</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226,904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17,616</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7,853</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22,953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(17,502)</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536,221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266,776</w:t>
            </w: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(104,705)</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(200,088)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(87,600)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 of a business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290,789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(3,273)</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(107,978)</w:t>
            </w: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350,000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(450,074)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(210,048)</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70,639</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(85,934)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(76,770)</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(459,032)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132,172</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290,970</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983,188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471,632</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968,988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762,602</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Cash paid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26,744</w:t>
            </w:r>
          </w:p>
        </w:tc>
      </w:tr>
      <w:tr>
        <w:trPr>
          <w:trHeight w:val="230"/>
        </w:trPr>
        <w:tc>
          <w:tcPr>
            <w:tcW w:w="9200" w:type="dxa"/>
            <w:vAlign w:val="bottom"/>
          </w:tcPr>
          <w:p>
            <w:pPr>
              <w:ind w:left="360"/>
              <w:spacing w:after="0"/>
              <w:rPr>
                <w:sz w:val="20"/>
                <w:szCs w:val="20"/>
                <w:color w:val="auto"/>
              </w:rPr>
            </w:pPr>
            <w:r>
              <w:rPr>
                <w:rFonts w:ascii="Arial" w:cs="Arial" w:eastAsia="Arial" w:hAnsi="Arial"/>
                <w:sz w:val="18"/>
                <w:szCs w:val="18"/>
                <w:color w:val="auto"/>
              </w:rPr>
              <w:t>Interest (2)</w:t>
            </w: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10,124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100" w:hanging="424"/>
        <w:spacing w:after="0" w:line="25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$136 and $82 for the six months ended March 31, 2021 and 2020, respectively.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“Interest” include payments of interest to financial institution, tax authorities and other.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offering.</w:t>
      </w:r>
    </w:p>
    <w:p>
      <w:pPr>
        <w:spacing w:after="0" w:line="18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2020, set forth in the Company’s Annual Report on Form 20-F filed on December 14, 2020 with the U.S. Securities and Exchange Commission, or the SEC. There have been no material changes to the company’s significant accounting policies from its Annual Report on Form 20-F for the fiscal year ended September 30, 2020, except for the policies noted below which changed as a result of the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Update of Summary of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Company has short-term interest-bearing investments comprised of marketable securities and bank deposits. The Company classifies all of its marketable securities as available-for-sale securities and considers all of its marketable debt securities as available for use to meet the Company’s operational needs, including those with maturity dates beyond one year, and therefore classifies these securities within current assets on the consolidated balance sheets. Such marketable securities consist primarily of money market funds, corporate bonds and U.S government securities, which are stated at market value. The available-for-sale investments are carried at estimated fair value with any unrealized gains and losses, net of taxes, included in accumulated other comprehensive income in shareholders’ equity. The Company recognizes an impairment when there is a decline in the fair value of its investments below the amortized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 and the available-for-sale debt security’s amortized cost basis is written down to its fair value at the reporting date. For securities that do not meet these criteria, the Company needs to assess whether the decline is as result of a credit loss, and if so, the decline is recognized in earnings, while declines in fair value related to other factors are recognized in other comprehensive loss. The Company uses a discounted cash flow analysis to estimate credit losses. Realized gains and losses on short-term interest-bearing investments are included in earnings and are determined based on specific identification method.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Company evaluates accounts receivable and unbilled receivables to determine if they ultimately will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The allowance for doubtful accounts, net of credit losses is for expected credit losses resulting from accounts receivable and unbilled receivables for which their collection is not reasonably probable. The allowance for doubtful accounts as of March 31, 2021 and September 30, 2020, was $23,855 and $23,419,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March 2020, the Financial Accounting Standards Board, or FASB, issued Accounting Standard Update, or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Reform: Facilitation of the Effects of Reference Rate Reform on Financial Reporting”. </w:t>
      </w:r>
      <w:r>
        <w:rPr>
          <w:rFonts w:ascii="Arial" w:cs="Arial" w:eastAsia="Arial" w:hAnsi="Arial"/>
          <w:sz w:val="17"/>
          <w:szCs w:val="17"/>
          <w:color w:val="auto"/>
        </w:rPr>
        <w:t>The ASU provides temporary optional expedients and exceptions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certain contract modifications, hedge relationships and other transactions that reference London Inter-Bank Offered Rate (“LIBOR”) or other reference rates expected to be discontinued due to the reference rate reform. This ASU is effective as of March 12, 2020 through December 31, 2022. The Company is currently evaluating the impact of adoption of this ASU on its consolidated financial statements.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The ASU simplifies the accounting for income taxes by eliminating certain exceptions to the guidance in ASC 740 related to the approach for intra period tax allocation, the methodology for calculating income taxes in an interim period and the recognition of deferred tax liabilities for outside basis differences. The Company prospectively adopted this ASU effective October 1, 2020. As of the date of the adoption there was no material impact on the Company’s consolidated financial statements.</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November 2018, the FASB, issued ASU No. 2018-18</w:t>
      </w:r>
      <w:r>
        <w:rPr>
          <w:rFonts w:ascii="Arial" w:cs="Arial" w:eastAsia="Arial" w:hAnsi="Arial"/>
          <w:sz w:val="18"/>
          <w:szCs w:val="18"/>
          <w:i w:val="1"/>
          <w:iCs w:val="1"/>
          <w:color w:val="auto"/>
        </w:rPr>
        <w:t>, “Collaborative Arrangements</w:t>
      </w:r>
      <w:r>
        <w:rPr>
          <w:rFonts w:ascii="Arial" w:cs="Arial" w:eastAsia="Arial" w:hAnsi="Arial"/>
          <w:sz w:val="18"/>
          <w:szCs w:val="18"/>
          <w:color w:val="auto"/>
        </w:rPr>
        <w:t>”. The ASU clarifies the interaction between collaborative arrangements and the new revenue standards. The Company prospectively adopted this ASU effective October 1, 2020. As of the date of the adoption there was no material impact on the Company’s consolidated financial statements.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The Company prospectively adopted this ASU effective October 1, 2020. As of the date of the adoption there was no material impact on the Company’s consolidated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The Company prospectively adopted this ASU effective October 1, 2020. As of the date of the adoption there was no material impact on the Company’s consolidated financial statements.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post-retirement benefit plans. The Company prospectively adopted this ASU effective October 1, 2020. As of the date of the adoption there was no impact on the Company’s consolidated financial statements.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The ASU amends existing guidance to simplify the application of hedge accounting in certain situations and allows companies to better align their hedge accounting with their risk management activities. The Company prospectively adopted this ASU effective October 1, 2020. As of the date of the adoption there was no material impact on the Company’s consolidated financial statements.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The ASU simplifies the accounting for goodwill impairment by removing Step 2 of the goodwill impairment test. The Company prospectively adopted this ASU effective October 1, 2020. As of the date of the adoption there was no impact on the Company’s consolidated financial statements.</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Company adopted this ASU effective October 1, 2020, using the modified retrospective transition method. The Company updated the impairment model to utilize a forward-looking current expected credit losses model in place of the incurred loss methodology for financial instruments measured at amortized cost, including our accounts receivable and also modified its impairment model to the current expected credit losses model for available-for-sale debt securities and discontinued using the concept of “other than temporary” impairment on available-for-sale debt securities, see also Note 7. As of the date of the adoption, there is no material impact on the Company’s consolidated financial statements.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560" w:right="7440" w:hanging="444"/>
        <w:spacing w:after="0" w:line="400" w:lineRule="auto"/>
        <w:tabs>
          <w:tab w:leader="none" w:pos="3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and Divestiture of a Subsidiary Divestiture of a Subsidiary</w:t>
      </w:r>
    </w:p>
    <w:p>
      <w:pPr>
        <w:ind w:left="120" w:right="40" w:firstLine="440"/>
        <w:spacing w:after="0" w:line="263" w:lineRule="auto"/>
        <w:rPr>
          <w:sz w:val="20"/>
          <w:szCs w:val="20"/>
          <w:color w:val="auto"/>
        </w:rPr>
      </w:pPr>
      <w:r>
        <w:rPr>
          <w:rFonts w:ascii="Arial" w:cs="Arial" w:eastAsia="Arial" w:hAnsi="Arial"/>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31, 2020, the Company completed the divestiture. Based on the total consideration, the Company recorded pre-tax gain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$226,410, (net of immaterial transaction costs) in the Consolidated Statements of Income during the six months ended March 31, 2021. In connection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this divestiture, $9,194 of net assets and $61,396 of goodwill, were disposed. The divestiture does not represent a strategic shift that will have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major effect on operations and financial results and, therefore, did not qualify for presentation as a discontinued operation, see also Note 10.</w:t>
      </w:r>
    </w:p>
    <w:p>
      <w:pPr>
        <w:spacing w:after="0" w:line="32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During the six months ended March 31, 2021, the Company acquired two technology companies, for an aggregate net consideration of $86,752 in cash, and a potential for additional consideration subject to the achievement of certain performance metrics. Among them the largest of the two is “Sourced Group Worldwide Inc.”, (“Sourced”), a leading global technology consultancy specializing in large-scale cloud transformations for sophisticated, high-end enterprise customers in different industries such as communications, financial services and others.</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allocating the total preliminary purchase price for Sourced, based on estimated fair values, the Company recorded $69,492 of goodwill, $18,211 of customer relationships to be amortized over approximately seven years and $3,056 of core technology to be amortized over approximately three years.</w:t>
      </w:r>
    </w:p>
    <w:p>
      <w:pPr>
        <w:spacing w:after="0" w:line="288" w:lineRule="exact"/>
        <w:rPr>
          <w:sz w:val="20"/>
          <w:szCs w:val="20"/>
          <w:color w:val="auto"/>
        </w:rPr>
      </w:pPr>
    </w:p>
    <w:p>
      <w:pPr>
        <w:jc w:val="right"/>
        <w:ind w:left="560" w:right="9140" w:hanging="444"/>
        <w:spacing w:after="0" w:line="425" w:lineRule="auto"/>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Contract Balances</w:t>
      </w:r>
    </w:p>
    <w:p>
      <w:pPr>
        <w:ind w:left="56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00" w:type="dxa"/>
            <w:vAlign w:val="bottom"/>
          </w:tcPr>
          <w:p>
            <w:pPr>
              <w:spacing w:after="0"/>
              <w:rPr>
                <w:sz w:val="10"/>
                <w:szCs w:val="10"/>
                <w:color w:val="auto"/>
              </w:rPr>
            </w:pPr>
          </w:p>
        </w:tc>
        <w:tc>
          <w:tcPr>
            <w:tcW w:w="84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March 31,</w:t>
            </w:r>
          </w:p>
        </w:tc>
        <w:tc>
          <w:tcPr>
            <w:tcW w:w="3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82"/>
        </w:trPr>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Accounts receivable—billed (net of allowances for credit losses of $23,855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$23,419 as of March 31, 2021 and September 30, 2020,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734,716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685,485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172,301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175,548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35,965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42,089</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 Accounts receivable—unbilled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208,266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217,637</w:t>
            </w:r>
          </w:p>
        </w:tc>
        <w:tc>
          <w:tcPr>
            <w:tcW w:w="10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(219,199)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(126,841)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(156,423)</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(16,529)</w:t>
            </w: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(375,622)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(143,370)</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 recognized during the three and six months ended March 31, 2021, which was included in deferred revenue (current) as of September 30,</w:t>
      </w:r>
    </w:p>
    <w:p>
      <w:pPr>
        <w:spacing w:after="0" w:line="46" w:lineRule="exact"/>
        <w:rPr>
          <w:sz w:val="20"/>
          <w:szCs w:val="20"/>
          <w:color w:val="auto"/>
        </w:rPr>
      </w:pPr>
    </w:p>
    <w:p>
      <w:pPr>
        <w:ind w:left="120" w:right="520"/>
        <w:spacing w:after="0" w:line="260" w:lineRule="auto"/>
        <w:rPr>
          <w:sz w:val="20"/>
          <w:szCs w:val="20"/>
          <w:color w:val="auto"/>
        </w:rPr>
      </w:pPr>
      <w:r>
        <w:rPr>
          <w:rFonts w:ascii="Arial" w:cs="Arial" w:eastAsia="Arial" w:hAnsi="Arial"/>
          <w:sz w:val="18"/>
          <w:szCs w:val="18"/>
          <w:color w:val="auto"/>
        </w:rPr>
        <w:t>2020 was $13,755 and $102,947 respectively. Revenue recognized during the three and six months ended March 31, 2020, which was included in deferred revenue (current) as of September 30, 2019 was $22,416 and $78,109, respectively.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Remaining Performance Obligations from Contracts with Customer</w:t>
      </w:r>
    </w:p>
    <w:p>
      <w:pPr>
        <w:spacing w:after="0" w:line="12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As of March 31, 2021, the aggregate amount of the transaction price allocated to remaining performance obligations that are unsatisfied or partially unsatisfied was approximately $6.7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634,626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$1,258,281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$1,183,704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414,108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443,898</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876,796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906,186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1,048,734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1,047,933</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2,135,077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2,089,890</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24"/>
                <w:szCs w:val="24"/>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679,067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$1,382,501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$1,353,359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148,808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148,341</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320,367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220,859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208,340</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432,209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433,528</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1,048,734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1,047,933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2,135,077</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2,089,890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Measurement</w:t>
      </w:r>
    </w:p>
    <w:p>
      <w:pPr>
        <w:spacing w:after="0" w:line="121"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jc w:val="center"/>
        <w:ind w:left="420" w:right="460"/>
        <w:spacing w:after="0" w:line="449" w:lineRule="auto"/>
        <w:rPr>
          <w:sz w:val="20"/>
          <w:szCs w:val="20"/>
          <w:color w:val="auto"/>
        </w:rPr>
      </w:pPr>
      <w:r>
        <w:rPr>
          <w:rFonts w:ascii="Arial" w:cs="Arial" w:eastAsia="Arial" w:hAnsi="Arial"/>
          <w:sz w:val="18"/>
          <w:szCs w:val="18"/>
          <w:color w:val="auto"/>
        </w:rPr>
        <w:t>Level 3: Unobservable inputs that are supported by little or no market activity that is significant to the fair value of the assets or liabilities. 13</w:t>
      </w:r>
    </w:p>
    <w:p>
      <w:pPr>
        <w:sectPr>
          <w:pgSz w:w="11900" w:h="16838" w:orient="portrait"/>
          <w:cols w:equalWidth="0" w:num="1">
            <w:col w:w="10960"/>
          </w:cols>
          <w:pgMar w:left="320" w:top="459" w:right="6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March 31, 2021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2020:</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9"/>
              </w:rPr>
              <w:t>As of March 31, 2021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$447,438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$447,438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176,303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18,381</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18,381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447,438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194,684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642,122</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25,978</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15,362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(42,332)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447,438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210,046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(16,354)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641,130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94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$558,633</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$558,633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558,633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24,211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20,636</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(19,641)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558,633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21,388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584,591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six months ended March 31, 2021. Level 3 liabilities relate to certain acquisition-related liabilities, which were generally valued using a Monte-Carlo simulation model and based on estimates of potential pay-out scenarios, periodically valued every quarter. These liabilities were included in both accrued expenses and other current liabilities and other noncurrent liabilities as of March 31, 2021 and September 30, 2020. The increase in Level 3 liabilities was primarily recorded against goodwill in connection with acquisitions made during the period, as well as in the consolidated statement of income during the six months ended March 31, 2021, as a result of changes in the fair value recorded, partially offset by payment of certain acquisition-related liabilities. Level 3 assets relate to equity investments, which were valued based on price changes in orderly transactions for similar private investments of the same issuer.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other current liabilities, accrued personnel costs and short-term financing arrangements approximate their fair value because of the relatively short maturity of these items, for the fair value of the Senior Notes, see Note 13.</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Available-For-Sale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As of March 31, 2021</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104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6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Gains</w:t>
            </w:r>
          </w:p>
        </w:tc>
        <w:tc>
          <w:tcPr>
            <w:tcW w:w="1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$447,438</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$447,438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177,990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1,713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176,303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18,373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18,381</w:t>
            </w:r>
          </w:p>
        </w:tc>
        <w:tc>
          <w:tcPr>
            <w:tcW w:w="0" w:type="dxa"/>
            <w:vAlign w:val="bottom"/>
          </w:tcPr>
          <w:p>
            <w:pPr>
              <w:spacing w:after="0"/>
              <w:rPr>
                <w:sz w:val="1"/>
                <w:szCs w:val="1"/>
                <w:color w:val="auto"/>
              </w:rPr>
            </w:pPr>
          </w:p>
        </w:tc>
      </w:tr>
      <w:tr>
        <w:trPr>
          <w:trHeight w:val="223"/>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Total(1)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643,801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642,122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60" w:right="500" w:hanging="544"/>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March 31, 2021, $194,684 of securities were classified as short-term interest-bearing investments and $447,438 of securities were classified as cash and cash equivalents.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5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$558,633</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$558,633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559,387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558,385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620" w:hanging="424"/>
        <w:spacing w:after="0" w:line="279"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2020, $752 of securities were classified as short-term interest-bearing investments and $558,633 of securities were classified as cash and cash equivalents.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March 31, 2021, the immaterial unrealized losses attributable to the Company’s available-for-sale securities were primarily due to credit spreads and interest rate movements. The Company assessed whether such unrealized losses for the investments in its portfolio were caused by expected credit loss. Based on this assessment, the Company did not recognize any credit losses in the three and six months ended March 31, 2021 and 2020. Realized gains and losses on short-term interest-bearing investments are included in earnings and are determined based on specific identification method.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2021, the Company’s available-for-sale securities had the following maturity dates: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4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468,502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1 to 2 years</w:t>
            </w: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15,416</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33,442</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3 to 4 years</w:t>
            </w: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57,843</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66,919</w:t>
            </w: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642,122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020" w:type="dxa"/>
            <w:vAlign w:val="bottom"/>
            <w:vMerge w:val="restart"/>
          </w:tcPr>
          <w:p>
            <w:pPr>
              <w:jc w:val="right"/>
              <w:ind w:right="265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Derivative Financial Instruments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$15,362 as of March 31, 2021. The Company has limited its credit risk by entering into derivative transactions exclusively with investment-grade rated financial institutions and monitors the creditworthiness of these financial institutions on an ongoing basis.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March 31, 2021. Notional values are in U.S. dollars and are translated and calculated based on forward rates as of March 31, 2021 for forward contracts, and based on spot rates as of March 31, 2021 for options.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1,228,321</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340" w:right="180" w:hanging="224"/>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6 to the consolidated financial statements. The fair value of the open foreign exchange contracts recorded as an asset or a liability by the Company on its consolidated balance sheets as of March 31, 2021 and September 30, 2020, is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980" w:type="dxa"/>
            <w:vAlign w:val="bottom"/>
          </w:tcPr>
          <w:p>
            <w:pPr>
              <w:spacing w:after="0"/>
              <w:rPr>
                <w:sz w:val="14"/>
                <w:szCs w:val="14"/>
                <w:color w:val="auto"/>
              </w:rPr>
            </w:pPr>
          </w:p>
        </w:tc>
        <w:tc>
          <w:tcPr>
            <w:tcW w:w="190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$ 13,165</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21,153</w:t>
            </w: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2,693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40" w:type="dxa"/>
            <w:vAlign w:val="bottom"/>
            <w:gridSpan w:val="3"/>
          </w:tcPr>
          <w:p>
            <w:pPr>
              <w:jc w:val="right"/>
              <w:ind w:right="80"/>
              <w:spacing w:after="0"/>
              <w:rPr>
                <w:sz w:val="20"/>
                <w:szCs w:val="20"/>
                <w:color w:val="auto"/>
              </w:rPr>
            </w:pPr>
            <w:r>
              <w:rPr>
                <w:rFonts w:ascii="Arial" w:cs="Arial" w:eastAsia="Arial" w:hAnsi="Arial"/>
                <w:sz w:val="18"/>
                <w:szCs w:val="18"/>
                <w:color w:val="auto"/>
              </w:rPr>
              <w:t>(883)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(2,089)</w:t>
            </w: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20,381</w:t>
            </w:r>
          </w:p>
        </w:tc>
        <w:tc>
          <w:tcPr>
            <w:tcW w:w="10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4,851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(3,699)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(2,813)</w:t>
            </w:r>
          </w:p>
        </w:tc>
      </w:tr>
      <w:tr>
        <w:trPr>
          <w:trHeight w:val="230"/>
        </w:trPr>
        <w:tc>
          <w:tcPr>
            <w:tcW w:w="4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$ 15,362</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20,636</w:t>
            </w:r>
          </w:p>
        </w:tc>
      </w:tr>
      <w:tr>
        <w:trPr>
          <w:trHeight w:val="20"/>
        </w:trPr>
        <w:tc>
          <w:tcPr>
            <w:tcW w:w="4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March 31, 2021 is scheduled to mature within the next 12 months.</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effect of the Company’s cash flow hedging instruments in the consolidated statements of income for the three and six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2021 and 2020, respectively, which partially offsets the foreign currency impact from the underlying exposures, is summarized as follows:</w:t>
      </w:r>
    </w:p>
    <w:p>
      <w:pPr>
        <w:spacing w:after="0" w:line="24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9"/>
              </w:rPr>
              <w:t>Gains (Losses) Reclassified from</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80" w:type="dxa"/>
            <w:vAlign w:val="bottom"/>
            <w:gridSpan w:val="14"/>
          </w:tcPr>
          <w:p>
            <w:pPr>
              <w:ind w:left="40"/>
              <w:spacing w:after="0"/>
              <w:rPr>
                <w:sz w:val="20"/>
                <w:szCs w:val="20"/>
                <w:color w:val="auto"/>
              </w:rPr>
            </w:pPr>
            <w:r>
              <w:rPr>
                <w:rFonts w:ascii="Arial" w:cs="Arial" w:eastAsia="Arial" w:hAnsi="Arial"/>
                <w:sz w:val="14"/>
                <w:szCs w:val="14"/>
                <w:b w:val="1"/>
                <w:bCs w:val="1"/>
                <w:color w:val="auto"/>
                <w:w w:val="97"/>
              </w:rPr>
              <w:t>Accumulated Other Comprehensive Income (Loss) (Effective Portion)</w:t>
            </w:r>
          </w:p>
        </w:tc>
      </w:tr>
      <w:tr>
        <w:trPr>
          <w:trHeight w:val="119"/>
        </w:trPr>
        <w:tc>
          <w:tcPr>
            <w:tcW w:w="5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gridSpan w:val="7"/>
          </w:tcPr>
          <w:p>
            <w:pPr>
              <w:jc w:val="center"/>
              <w:ind w:right="540"/>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20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gridSpan w:val="5"/>
          </w:tcPr>
          <w:p>
            <w:pPr>
              <w:jc w:val="right"/>
              <w:ind w:right="473"/>
              <w:spacing w:after="0" w:line="119" w:lineRule="exact"/>
              <w:rPr>
                <w:sz w:val="20"/>
                <w:szCs w:val="20"/>
                <w:color w:val="auto"/>
              </w:rPr>
            </w:pPr>
            <w:r>
              <w:rPr>
                <w:rFonts w:ascii="Arial" w:cs="Arial" w:eastAsia="Arial" w:hAnsi="Arial"/>
                <w:sz w:val="13"/>
                <w:szCs w:val="13"/>
                <w:b w:val="1"/>
                <w:bCs w:val="1"/>
                <w:color w:val="auto"/>
              </w:rPr>
              <w:t>Six months ended</w:t>
            </w:r>
          </w:p>
        </w:tc>
        <w:tc>
          <w:tcPr>
            <w:tcW w:w="40" w:type="dxa"/>
            <w:vAlign w:val="bottom"/>
          </w:tcPr>
          <w:p>
            <w:pPr>
              <w:spacing w:after="0"/>
              <w:rPr>
                <w:sz w:val="10"/>
                <w:szCs w:val="10"/>
                <w:color w:val="auto"/>
              </w:rPr>
            </w:pPr>
          </w:p>
        </w:tc>
      </w:tr>
      <w:tr>
        <w:trPr>
          <w:trHeight w:val="17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34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(loss), net of tax, is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right"/>
              <w:ind w:right="261"/>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right"/>
              <w:ind w:right="501"/>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$ 18,836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$ 3,945</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13,708</w:t>
            </w:r>
          </w:p>
        </w:tc>
        <w:tc>
          <w:tcPr>
            <w:tcW w:w="3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(4,413)</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into earnings, net of tax</w:t>
            </w:r>
          </w:p>
        </w:tc>
        <w:tc>
          <w:tcPr>
            <w:tcW w:w="10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(14,655)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unrealized gains (losses) on cash flow hedges, net of tax,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$ 17,889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(2,712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Net gains from cash flow hedges recognized in other comprehensive loss were $15,505 and $(2,480), or $13,708 and $(4,413) net of taxes, during the six months ended March 31, 2021 and 2020, respectively.</w:t>
      </w:r>
    </w:p>
    <w:p>
      <w:pPr>
        <w:spacing w:after="0" w:line="170"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Of the net unrealized gains related to derivatives designated as cash flow hedges and recorded in accumulated other comprehensive income as of March 31, 2021, a net gain of $10,820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4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six months ended March 31, 2021 and 2020, was not material.</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six months ended March 31, 2021 and 2020, respectively, which partially offsets the foreign currency impact from the underlying exposure, is summarized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00" w:type="dxa"/>
            <w:vAlign w:val="bottom"/>
            <w:gridSpan w:val="14"/>
          </w:tcPr>
          <w:p>
            <w:pPr>
              <w:ind w:left="20"/>
              <w:spacing w:after="0"/>
              <w:rPr>
                <w:sz w:val="20"/>
                <w:szCs w:val="20"/>
                <w:color w:val="auto"/>
              </w:rPr>
            </w:pPr>
            <w:r>
              <w:rPr>
                <w:rFonts w:ascii="Arial" w:cs="Arial" w:eastAsia="Arial" w:hAnsi="Arial"/>
                <w:sz w:val="14"/>
                <w:szCs w:val="14"/>
                <w:b w:val="1"/>
                <w:bCs w:val="1"/>
                <w:color w:val="auto"/>
                <w:w w:val="89"/>
              </w:rPr>
              <w:t>Gains (Losses) Recognized in Income</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600" w:type="dxa"/>
            <w:vAlign w:val="bottom"/>
            <w:gridSpan w:val="8"/>
          </w:tcPr>
          <w:p>
            <w:pPr>
              <w:ind w:left="60"/>
              <w:spacing w:after="0" w:line="149" w:lineRule="exact"/>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7"/>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6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6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640" w:type="dxa"/>
            <w:vAlign w:val="bottom"/>
            <w:tcBorders>
              <w:top w:val="single" w:sz="8" w:color="CCEEFF"/>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4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0"/>
              </w:rPr>
              <w:t>$(2,040)</w:t>
            </w:r>
          </w:p>
        </w:tc>
        <w:tc>
          <w:tcPr>
            <w:tcW w:w="10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$(5,403)</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$ 3,301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$(4,279)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4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(1,702)</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4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(2,582)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57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(645)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$ 3,056</w:t>
            </w:r>
          </w:p>
        </w:tc>
        <w:tc>
          <w:tcPr>
            <w:tcW w:w="14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(2,461)</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80" w:type="dxa"/>
            <w:vAlign w:val="bottom"/>
            <w:gridSpan w:val="3"/>
          </w:tcPr>
          <w:p>
            <w:pPr>
              <w:ind w:left="44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rPr>
              <w:t>As of</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6"/>
          </w:tcPr>
          <w:p>
            <w:pPr>
              <w:jc w:val="right"/>
              <w:ind w:right="42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9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520" w:type="dxa"/>
            <w:vAlign w:val="bottom"/>
            <w:gridSpan w:val="2"/>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$201,651</w:t>
            </w:r>
          </w:p>
        </w:tc>
        <w:tc>
          <w:tcPr>
            <w:tcW w:w="2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217,133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1460" w:type="dxa"/>
            <w:vAlign w:val="bottom"/>
            <w:gridSpan w:val="7"/>
          </w:tcPr>
          <w:p>
            <w:pPr>
              <w:jc w:val="right"/>
              <w:ind w:right="168"/>
              <w:spacing w:after="0"/>
              <w:rPr>
                <w:sz w:val="20"/>
                <w:szCs w:val="20"/>
                <w:color w:val="auto"/>
              </w:rPr>
            </w:pPr>
            <w:r>
              <w:rPr>
                <w:rFonts w:ascii="Arial" w:cs="Arial" w:eastAsia="Arial" w:hAnsi="Arial"/>
                <w:sz w:val="18"/>
                <w:szCs w:val="18"/>
                <w:color w:val="auto"/>
              </w:rPr>
              <w:t>127,859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121,658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payable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w w:val="90"/>
              </w:rPr>
              <w:t>55,128</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25,739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Dividends payable</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8"/>
              <w:spacing w:after="0"/>
              <w:rPr>
                <w:sz w:val="20"/>
                <w:szCs w:val="20"/>
                <w:color w:val="auto"/>
              </w:rPr>
            </w:pPr>
            <w:r>
              <w:rPr>
                <w:rFonts w:ascii="Arial" w:cs="Arial" w:eastAsia="Arial" w:hAnsi="Arial"/>
                <w:sz w:val="18"/>
                <w:szCs w:val="18"/>
                <w:color w:val="auto"/>
                <w:w w:val="90"/>
              </w:rPr>
              <w:t>45,958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43,084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4,582</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4,902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169,701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2"/>
              </w:rPr>
              <w:t>181,092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460" w:type="dxa"/>
            <w:vAlign w:val="bottom"/>
            <w:gridSpan w:val="7"/>
            <w:shd w:val="clear" w:color="auto" w:fill="CCEEFF"/>
          </w:tcPr>
          <w:p>
            <w:pPr>
              <w:jc w:val="right"/>
              <w:ind w:right="16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604,879</w:t>
            </w:r>
          </w:p>
        </w:tc>
        <w:tc>
          <w:tcPr>
            <w:tcW w:w="1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593,608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Income Taxes</w:t>
            </w: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80" w:type="dxa"/>
            <w:vAlign w:val="bottom"/>
            <w:gridSpan w:val="3"/>
          </w:tcPr>
          <w:p>
            <w:pPr>
              <w:ind w:left="440"/>
              <w:spacing w:after="0"/>
              <w:rPr>
                <w:sz w:val="20"/>
                <w:szCs w:val="20"/>
                <w:color w:val="auto"/>
              </w:rPr>
            </w:pPr>
            <w:r>
              <w:rPr>
                <w:rFonts w:ascii="Arial" w:cs="Arial" w:eastAsia="Arial" w:hAnsi="Arial"/>
                <w:sz w:val="18"/>
                <w:szCs w:val="18"/>
                <w:color w:val="auto"/>
              </w:rPr>
              <w:t>The provision (benefit) for income taxes for the following periods consisted of:</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60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60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6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$28,521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$24,593</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$114,901</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$45,527</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(1,886)</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2,791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w w:val="86"/>
              </w:rPr>
              <w:t>(27,778)</w:t>
            </w:r>
          </w:p>
        </w:tc>
        <w:tc>
          <w:tcPr>
            <w:tcW w:w="2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26,635</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27,384</w:t>
            </w:r>
          </w:p>
        </w:tc>
        <w:tc>
          <w:tcPr>
            <w:tcW w:w="1000" w:type="dxa"/>
            <w:vAlign w:val="bottom"/>
            <w:tcBorders>
              <w:right w:val="single" w:sz="8" w:color="CCEEFF"/>
            </w:tcBorders>
            <w:gridSpan w:val="6"/>
            <w:shd w:val="clear" w:color="auto" w:fill="CCEEFF"/>
          </w:tcPr>
          <w:p>
            <w:pPr>
              <w:jc w:val="center"/>
              <w:ind w:left="90"/>
              <w:spacing w:after="0"/>
              <w:rPr>
                <w:sz w:val="20"/>
                <w:szCs w:val="20"/>
                <w:color w:val="auto"/>
              </w:rPr>
            </w:pPr>
            <w:r>
              <w:rPr>
                <w:rFonts w:ascii="Arial" w:cs="Arial" w:eastAsia="Arial" w:hAnsi="Arial"/>
                <w:sz w:val="18"/>
                <w:szCs w:val="18"/>
                <w:color w:val="auto"/>
                <w:w w:val="94"/>
              </w:rPr>
              <w:t>$ 87,123</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54,677</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ind w:left="5420"/>
              <w:spacing w:after="0"/>
              <w:rPr>
                <w:sz w:val="20"/>
                <w:szCs w:val="20"/>
                <w:color w:val="auto"/>
              </w:rPr>
            </w:pPr>
            <w:r>
              <w:rPr>
                <w:rFonts w:ascii="Arial" w:cs="Arial" w:eastAsia="Arial" w:hAnsi="Arial"/>
                <w:sz w:val="18"/>
                <w:szCs w:val="18"/>
                <w:color w:val="auto"/>
              </w:rPr>
              <w:t>19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9" w:right="6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9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7"/>
              </w:rPr>
              <w:t>Three months ended</w:t>
            </w:r>
          </w:p>
        </w:tc>
        <w:tc>
          <w:tcPr>
            <w:tcW w:w="15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40" w:type="dxa"/>
            <w:vAlign w:val="bottom"/>
            <w:gridSpan w:val="3"/>
          </w:tcPr>
          <w:p>
            <w:pPr>
              <w:ind w:left="400"/>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Foreign taxes (1)</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17.7</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17.2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20" w:hanging="264"/>
        <w:spacing w:after="0"/>
        <w:tabs>
          <w:tab w:leader="none" w:pos="8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six months ended March 31, 2021:</w:t>
      </w:r>
    </w:p>
    <w:p>
      <w:pPr>
        <w:spacing w:after="0" w:line="117" w:lineRule="exact"/>
        <w:rPr>
          <w:sz w:val="20"/>
          <w:szCs w:val="20"/>
          <w:color w:val="auto"/>
        </w:rPr>
      </w:pPr>
    </w:p>
    <w:p>
      <w:pPr>
        <w:ind w:left="560" w:right="100" w:firstLine="423"/>
        <w:spacing w:after="0" w:line="277" w:lineRule="auto"/>
        <w:rPr>
          <w:sz w:val="20"/>
          <w:szCs w:val="20"/>
          <w:color w:val="auto"/>
        </w:rPr>
      </w:pPr>
      <w:r>
        <w:rPr>
          <w:rFonts w:ascii="Arial" w:cs="Arial" w:eastAsia="Arial" w:hAnsi="Arial"/>
          <w:sz w:val="18"/>
          <w:szCs w:val="18"/>
          <w:color w:val="auto"/>
        </w:rPr>
        <w:t>Foreign taxes in the six months ended March 31, 2021 included an expense of $39,596 for the estimated additional tax charge as a result of the gain from sale of a business, see also Note 4.</w:t>
      </w:r>
    </w:p>
    <w:p>
      <w:pPr>
        <w:spacing w:after="0" w:line="62"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Foreign taxes in the six months ended March 31, 2021 also included a benefit of $4,772 relating to release of gross unrecognized tax benefits due to expiration of the periods set forth in statutes of limitations in certain jurisdictions, and changes in facts and circumstances resulting in a change in measurement of certain positions.</w:t>
      </w:r>
    </w:p>
    <w:p>
      <w:pPr>
        <w:spacing w:after="0" w:line="292" w:lineRule="exact"/>
        <w:rPr>
          <w:sz w:val="20"/>
          <w:szCs w:val="20"/>
          <w:color w:val="auto"/>
        </w:rPr>
      </w:pPr>
    </w:p>
    <w:p>
      <w:pPr>
        <w:ind w:left="820" w:hanging="264"/>
        <w:spacing w:after="0"/>
        <w:tabs>
          <w:tab w:leader="none" w:pos="8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six months ended March 31, 2020:</w:t>
      </w:r>
    </w:p>
    <w:p>
      <w:pPr>
        <w:spacing w:after="0" w:line="117"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(the “CARES Act”) to provide certain relief as a result of the COVID-19 outbreak. Some of the key income tax-related provisions of the CARES Act include modification of the usage of net operating losses, interest deductions and payroll benefits. Furthermore, other governments have and may continue to offer support to companies operating in those countries.</w:t>
      </w:r>
    </w:p>
    <w:p>
      <w:pPr>
        <w:spacing w:after="0" w:line="79" w:lineRule="exact"/>
        <w:rPr>
          <w:sz w:val="20"/>
          <w:szCs w:val="20"/>
          <w:color w:val="auto"/>
        </w:rPr>
      </w:pPr>
    </w:p>
    <w:p>
      <w:pPr>
        <w:ind w:left="560" w:right="680" w:firstLine="423"/>
        <w:spacing w:after="0" w:line="277" w:lineRule="auto"/>
        <w:rPr>
          <w:sz w:val="20"/>
          <w:szCs w:val="20"/>
          <w:color w:val="auto"/>
        </w:rPr>
      </w:pPr>
      <w:r>
        <w:rPr>
          <w:rFonts w:ascii="Arial" w:cs="Arial" w:eastAsia="Arial" w:hAnsi="Arial"/>
          <w:sz w:val="18"/>
          <w:szCs w:val="18"/>
          <w:color w:val="auto"/>
        </w:rPr>
        <w:t>Foreign taxes in the six months ended March 31, 2020 included a tax benefit of $4,769 resulting from tax enactments related to the COVID-19 outbreak in certain jurisdictions.</w:t>
      </w:r>
    </w:p>
    <w:p>
      <w:pPr>
        <w:spacing w:after="0" w:line="62" w:lineRule="exact"/>
        <w:rPr>
          <w:sz w:val="20"/>
          <w:szCs w:val="20"/>
          <w:color w:val="auto"/>
        </w:rPr>
      </w:pPr>
    </w:p>
    <w:p>
      <w:pPr>
        <w:ind w:left="560" w:firstLine="423"/>
        <w:spacing w:after="0" w:line="311" w:lineRule="auto"/>
        <w:rPr>
          <w:sz w:val="20"/>
          <w:szCs w:val="20"/>
          <w:color w:val="auto"/>
        </w:rPr>
      </w:pPr>
      <w:r>
        <w:rPr>
          <w:rFonts w:ascii="Arial" w:cs="Arial" w:eastAsia="Arial" w:hAnsi="Arial"/>
          <w:sz w:val="16"/>
          <w:szCs w:val="16"/>
          <w:color w:val="auto"/>
        </w:rPr>
        <w:t>Foreign taxes in the six months ended March 31, 2020 also included a benefit of $10,689 relating to release of gross unrecognized tax benefits due to settlements with tax authorities and expiration of the periods set forth in statutes of limitations in certain jurisdictions (the majority of which was offset by a decrease in tax assets). As a result, a net benefit of $1,417 was included within income tax expense for the period.</w:t>
      </w:r>
    </w:p>
    <w:p>
      <w:pPr>
        <w:spacing w:after="0" w:line="149"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As of March 31, 2021, deferred tax assets of $61,778,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$183,348 as of March 31, 2021, all of which would affect the effective tax rate if realized.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March 31, 2021, the Company had accrued $19,845 in income taxes payable for interest and penalties relating to unrecognized tax benefits.</w:t>
      </w:r>
    </w:p>
    <w:p>
      <w:pPr>
        <w:spacing w:after="0" w:line="24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119,067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127,038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418,699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242,970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Less-net income and dividends attributable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117,827</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126,080</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414,721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241,255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117,833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126,084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414,738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241,262</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129,774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134,288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130,457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134,443</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(1,352)</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128,422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133,276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129,218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133,494</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shares—diluted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129,344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134,047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129,908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134,390</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For the three and six months ended March 31, 2021, 477 and 1,716 shares, respectively, on a weighted average basis, were attributable to antidilutive outstanding stock options. For the three and six months ended March 31, 2020, 2,488 and 2,211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Repurchase of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ordinary shares. On November 12, 2019, the Company’s Board of Directors adopted a share repurchase plan authorizing the repurchase of up to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 $800,000 of the Company’s outstanding ordinary shares with no expiration date. In the six months ended March 31, 2021, the Company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repurchased 6,072 ordinary shares at an average price of $74.11 per share (excluding broker and transaction fees). The November 2019 plan permits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to purchase its ordinary shares in the open market or through privately negotiated transactions at times and prices that it considers appropriate.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March 31, 2021, the Company had remaining authority to repurchase up to $228,361 of its outstanding ordinary shares under the November 2019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Plan. On May 12, 2021, the Company’s Board of Directors adopted another share repurchase plan authorizing the repurchase of up to an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billion of the Company’s outstanding ordinary shares, which brings the aggregate unused authorization under both the November 2019 and the May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plans to $1.228 billion. The May 2021 plan has no expiration date and permits the Company to purchase its ordinary shares in the open market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through privately negotiated transactions at times and prices that it considers appropriate.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Financing Arrangements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December 2011, the Company entered into an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March 31, 2021, the Company was in compliance with the financial covenants and had no outstanding borrowings under the Revolving Credit Facility.</w:t>
      </w:r>
    </w:p>
    <w:p>
      <w:pPr>
        <w:spacing w:after="0" w:line="17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addition, unassociated with the Revolving Credit Facility discussed above, in May 2020 the Company entered into an additional $100,000 one year loan which remained outstanding as of March 31, 2021 and was repaid in full in May 2021.</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9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total interest expenses recognized in connection of the Senior Notes for the three and six months ended March 31, 2021 were $4,205 and $8,501, respectively. The accrued interest on the Senior Notes is included in accrued expenses and other current liabilities and was $4,797 as of March 31, 2021. As of March 31, 2021, the noncurrent outstanding principal portion was $650,000.</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total estimated fair value of the Senior Notes as of March 31, 2021 was $639,490. The fair value was determined based on the closing trading price of Senior Notes as of March 31, 2021 and is deemed a Level 2 liability within the fair value measurement framework.</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of March 31, 2021, the Company had additional uncommitted lines of credit available for general corporate and other specific purposes and had outstanding letters of credit and bank guarantees from various banks totaling $88,737. These were supported by a combination of the uncommitted lines of credit that the Company maintains with various banks.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Stock Option and Incentive Plan</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are issued at or above the market price at the time of grant.</w:t>
      </w:r>
    </w:p>
    <w:p>
      <w:pPr>
        <w:spacing w:after="0" w:line="177"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During the six months ended March 31, 2021, the Company granted 983 restricted shares and options to purchase 62 ordinary shares. The weighted average fair values associated with these grants were $66.39 per restricted share and $7.82 per option.</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Employee equity-based compensation pre-tax expense for the three and six months ended March 31, 2021 and 2020 was as follows: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2"/>
              </w:rPr>
              <w:t>Three months ended</w:t>
            </w: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$10,523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$10,039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723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1,844</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1,526</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5,332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9,944</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13,375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10,748</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25,952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21,509</w:t>
            </w:r>
          </w:p>
        </w:tc>
        <w:tc>
          <w:tcPr>
            <w:tcW w:w="4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March 31, 2021, there was $71,080 of unrecognized compensation expense related to unvested stock options and unvested restricted shares which is expected to be recognized over a weighted average period of approximately one year, based on the vesting periods of the grants.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Dividends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Board of Directors declared the following dividends during the six months ended March 31, 2021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3320" w:type="dxa"/>
            <w:vAlign w:val="bottom"/>
            <w:vMerge w:val="restart"/>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00" w:type="dxa"/>
            <w:vAlign w:val="bottom"/>
          </w:tcPr>
          <w:p>
            <w:pPr>
              <w:spacing w:after="0"/>
              <w:rPr>
                <w:sz w:val="14"/>
                <w:szCs w:val="14"/>
                <w:color w:val="auto"/>
              </w:rPr>
            </w:pPr>
          </w:p>
        </w:tc>
        <w:tc>
          <w:tcPr>
            <w:tcW w:w="18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220" w:type="dxa"/>
            <w:vAlign w:val="bottom"/>
          </w:tcPr>
          <w:p>
            <w:pPr>
              <w:spacing w:after="0"/>
              <w:rPr>
                <w:sz w:val="14"/>
                <w:szCs w:val="14"/>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12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Ordinary Share</w:t>
            </w:r>
          </w:p>
        </w:tc>
        <w:tc>
          <w:tcPr>
            <w:tcW w:w="2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 2021</w:t>
            </w: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31, 2021</w:t>
            </w: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45,958</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April 23, 2021</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November 10, 2020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0.3275</w:t>
            </w:r>
          </w:p>
        </w:tc>
        <w:tc>
          <w:tcPr>
            <w:tcW w:w="2000" w:type="dxa"/>
            <w:vAlign w:val="bottom"/>
            <w:gridSpan w:val="3"/>
          </w:tcPr>
          <w:p>
            <w:pPr>
              <w:ind w:left="200"/>
              <w:spacing w:after="0"/>
              <w:rPr>
                <w:sz w:val="20"/>
                <w:szCs w:val="20"/>
                <w:color w:val="auto"/>
              </w:rPr>
            </w:pPr>
            <w:r>
              <w:rPr>
                <w:rFonts w:ascii="Arial" w:cs="Arial" w:eastAsia="Arial" w:hAnsi="Arial"/>
                <w:sz w:val="18"/>
                <w:szCs w:val="18"/>
                <w:color w:val="auto"/>
              </w:rPr>
              <w:t>December 31, 2020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42,850</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w w:val="87"/>
              </w:rPr>
              <w:t>January 22, 2021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4, 2020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0.3275</w:t>
            </w:r>
          </w:p>
        </w:tc>
        <w:tc>
          <w:tcPr>
            <w:tcW w:w="2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March 31, 2020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43,723</w:t>
            </w:r>
          </w:p>
        </w:tc>
        <w:tc>
          <w:tcPr>
            <w:tcW w:w="1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November 12, 2019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0.285</w:t>
            </w:r>
          </w:p>
        </w:tc>
        <w:tc>
          <w:tcPr>
            <w:tcW w:w="2000" w:type="dxa"/>
            <w:vAlign w:val="bottom"/>
            <w:gridSpan w:val="3"/>
          </w:tcPr>
          <w:p>
            <w:pPr>
              <w:ind w:left="200"/>
              <w:spacing w:after="0"/>
              <w:rPr>
                <w:sz w:val="20"/>
                <w:szCs w:val="20"/>
                <w:color w:val="auto"/>
              </w:rPr>
            </w:pPr>
            <w:r>
              <w:rPr>
                <w:rFonts w:ascii="Arial" w:cs="Arial" w:eastAsia="Arial" w:hAnsi="Arial"/>
                <w:sz w:val="18"/>
                <w:szCs w:val="18"/>
                <w:color w:val="auto"/>
              </w:rPr>
              <w:t>December 31, 2019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38,357</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w w:val="87"/>
              </w:rPr>
              <w:t>January 24, 2020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amounts payable as a result of the February 2, 2021 and February 4, 2020 declarations were included in accrued expenses and other current liabilities as of March 31, 2021 and 2020, respectively.</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May 12, 2021 the Company’s Board of Directors approved the next quarterly dividend payment of $0.36 per share and set June 30, 2021 as the record date for determining the shareholders entitled to receive the dividend, which is payable on July 23,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On April 9, 2021, two separate lawsuits alleging violations of the federal securities laws and pursuing remedies under Sections 10(b) and 20(a) of the Securities Exchange Act of 1934 (the “Exchange Act”) and Rule 10b-5 promulgated thereunder, were filed against the Company and certain of its current and former officers. One was filed in the United States District Court for the Central District of California and seeks to represent a putative class consisting of all persons and entities that acquired Amdocs ordinary shares between December 13, 2016 and March 30, 2021. The second was filed in the Eastern District of Missouri and seeks to represent a putative class of purchasers of Amdocs Limited common stock during the period between January 29, 2021 and March 30, 2021. Each complaint refers to and repeats certain allegations made in a document titled “Short Report on Amdocs,” which was posted online on March 31, 2021 by an entity that purports to describe itself as “Jehoshaphat Research.” The Company has denied the allegations in the “Short Report” and intends to vigorously defend itself.</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the Ecuadorian Courts have responded to such defense efforts, including motions alleging constitutional defects, in an inconsistent manner. While we have achieved some successes, the majority of the procedures are still ongoing. The Company is unable to reasonably estimate the ultimate outcome of the above dispute.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left="120" w:right="200" w:firstLine="440"/>
        <w:spacing w:after="0" w:line="287"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including the COVID-19 risk, please read the information set forth under the caption “Risk Factors” in our Annual Report on Form 20-F for fiscal year 2020, filed on December 14, 2020 with the U.S. Securities and Exchange Commission.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Amdocs is a leading provider of software and services for more than 350 communications, Pay TV, entertainment and media industry and other service providers in developed countries and emerging markets. Amdocs also has technology and distribution ties to more than 850 content owners to bring premium content to over 500 video service providers. Our software and services, which we develop, implement and manage, are designed to meet the business imperatives of our customers and help them modernize, automate and digitize their business in the cloud. These imperatives address service provider needs around consumer experience and monetization; media and digital services; enterprise and connected society; open cloud and 5G networks; new domains and disruptions, and services and hybrid operations.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the demand for our solutions is driven by our clients’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offerings are designed to meet the challenges facing our customers as they transform into digital service providers within the framework of a hybrid IT environment, which requires them to rapidly introduce new cloud-native applications while still operating legacy systems. They enable modular expansion as a service provider evolves, ensuring low-cost and reduced-risk implementations, while their microservices-based architecture enables the rapid deployment of complex applications as suites of independently deployable services that can be frequently upgraded via DevOps. Our comprehensive line of services is designed to address every stage of a service provider’s lifecycle. They include end-to-end systems integration services, managed services, quality engineering services, cloud services, digital business operations, and consulting services.</w:t>
      </w:r>
    </w:p>
    <w:p>
      <w:pPr>
        <w:spacing w:after="0" w:line="16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and media industry. In the six months ended March 31, 2021, customers in North America accounted for 64.8% of our revenue, while customers in Europe and the rest of the world accounted for 15.0% and 20.2%, respectively. We maintain and support development facilities in Brazil, Canada, Cyprus, India, Ireland, Israel, Mexico, the Philippines, the UK and the United States.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80" w:right="1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results of operations are affected by general economic conditions and the level of economic activity in the industries and markets that we serve. The current COVID-19 pandemic has increased that level of volatility and uncertainty globally and has created economic disruption. While the extent of the impact of the COVID-19 pandemic on our business remains uncertain, we are currently performing on our obligations to our customers while implementing some modifications, including, among others, travel restrictions, moving almost all of our employees to work from home or hybrid home-office arrangements and establishing clear guidelines for working on-premise. Despite operating under the pandemic global restrictions, we are able to continue to seamlessly operate our customers’ mission-critical systems without interruption.</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as a result of the business disruption caused by the COVID-19 pandemic, we cannot predict all possible scenarios and our outlook maybe impacted materially as our customers continue to evaluate their strategic business priorities and future pace of investments. We are actively monitoring the pandemic and managing our business to respond to the impact of the COVID-19. In addition, foreign exchange rates fluctuation may continue to present challenges in future periods should significant increases in volatility in foreign exchange markets occur. Although we try to mitigate the foreign currency exchange rates impact on our results through our hedging policy, we cannot assure that we will be able to effectively limit all of our exposure.</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5 to our consolidated financial statements.</w:t>
      </w:r>
    </w:p>
    <w:p>
      <w:pPr>
        <w:spacing w:after="0" w:line="170"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$634.6 million and $604.0 million in the three months ended March 31, 2021 and 2020, respectively, and $1.26 billion and $1.18 billion in the six months ended March 31, 2021 and 2020,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2021 and 2020. Certain items in our consolidated statements of income are reflected as a percentage of revenue (figures may not sum because of rounding):</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Three months</w:t>
            </w: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2021</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65.4</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65.3</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66.2</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0" w:type="dxa"/>
            <w:vAlign w:val="bottom"/>
            <w:gridSpan w:val="3"/>
          </w:tcPr>
          <w:p>
            <w:pPr>
              <w:jc w:val="right"/>
              <w:ind w:right="308"/>
              <w:spacing w:after="0"/>
              <w:rPr>
                <w:sz w:val="20"/>
                <w:szCs w:val="20"/>
                <w:color w:val="auto"/>
              </w:rPr>
            </w:pPr>
            <w:r>
              <w:rPr>
                <w:rFonts w:ascii="Arial" w:cs="Arial" w:eastAsia="Arial" w:hAnsi="Arial"/>
                <w:sz w:val="18"/>
                <w:szCs w:val="18"/>
                <w:color w:val="auto"/>
              </w:rPr>
              <w:t>7.2</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6.6</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7.1</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11.2</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11.2</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w w:val="98"/>
              </w:rPr>
              <w:t>Amortization of purchased intangible assets and other</w:t>
            </w:r>
          </w:p>
        </w:tc>
        <w:tc>
          <w:tcPr>
            <w:tcW w:w="2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85.0</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86.4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4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(0.3)</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2640" w:type="dxa"/>
            <w:vAlign w:val="bottom"/>
          </w:tcPr>
          <w:p>
            <w:pPr>
              <w:spacing w:after="0"/>
              <w:rPr>
                <w:sz w:val="19"/>
                <w:szCs w:val="19"/>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13.9</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23.7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taxes</w:t>
            </w:r>
          </w:p>
        </w:tc>
        <w:tc>
          <w:tcPr>
            <w:tcW w:w="2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4.1</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7"/>
              </w:rPr>
              <w:t>11.4%</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7"/>
              </w:rPr>
              <w:t>19.6%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40" w:type="dxa"/>
            <w:vAlign w:val="bottom"/>
            <w:vMerge w:val="restart"/>
          </w:tcPr>
          <w:p>
            <w:pPr>
              <w:jc w:val="right"/>
              <w:ind w:right="1990"/>
              <w:spacing w:after="0"/>
              <w:rPr>
                <w:sz w:val="20"/>
                <w:szCs w:val="20"/>
                <w:color w:val="auto"/>
              </w:rPr>
            </w:pPr>
            <w:r>
              <w:rPr>
                <w:rFonts w:ascii="Arial" w:cs="Arial" w:eastAsia="Arial" w:hAnsi="Arial"/>
                <w:sz w:val="18"/>
                <w:szCs w:val="18"/>
                <w:color w:val="auto"/>
              </w:rPr>
              <w:t>27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 Months Ended March 31, 2021 and 2020</w:t>
      </w:r>
    </w:p>
    <w:p>
      <w:pPr>
        <w:spacing w:after="0" w:line="121"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six months ended March 31, 2021 compared to the six months ended March 31, 2020. Following the table is a discussion and analysis of our business and results of operations for such periods.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5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2"/>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0"/>
              </w:rPr>
              <w:t>Amount</w:t>
            </w:r>
          </w:p>
        </w:tc>
        <w:tc>
          <w:tcPr>
            <w:tcW w:w="4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2,135,077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2,089,890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45,187</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1,414,231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1,370,282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43,949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150,823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136,106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14,717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238,839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242,575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41,740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40,638</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1,102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1,845,633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1,789,601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56,032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289,444</w:t>
            </w:r>
          </w:p>
        </w:tc>
        <w:tc>
          <w:tcPr>
            <w:tcW w:w="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300,289</w:t>
            </w: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(10,845)</w:t>
            </w:r>
          </w:p>
        </w:tc>
        <w:tc>
          <w:tcPr>
            <w:tcW w:w="300" w:type="dxa"/>
            <w:vAlign w:val="bottom"/>
            <w:vMerge w:val="continue"/>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226,410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226,410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505,822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297,647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208,175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87,123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54,677</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32,446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418,699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242,970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175,729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$45.2 million, or 2.2%, to $2,135.1 million in the six months ended March 31, 2021, from $2,089.9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March 31, 2020. The increase in revenue was attributable to increased managed services arrangements including managed transformation activities. Revenue for the six months ended March 31, 2021 increased by 2.2% compared to the six months ended March 31, 2020, including approximately 1.1% positive foreign exchange fluctuations impact and was positively affected by activities related to acquisitions completed in fiscal year 2020 and negatively affected by a decrease in revenue as a result of the divestiture of OpenMarket completed on December 31, 2020.</w:t>
      </w:r>
    </w:p>
    <w:p>
      <w:pPr>
        <w:spacing w:after="0" w:line="16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the six months ended March 31, 2021, revenue from customers in North America, Europe and the rest of the world accounted for 64.8%, 15.0% and 20.2%, respectively, of total revenue, compared to 64.8%, 14.5% and 20.7%, respectively, in the six months ended March 31, 2020. The percentage of revenue from customers in North America remained stable while in absolute amount revenue from customers in North America increased during the six months ended March 31, 2021. The increase in revenue from customers in North America in absolute amount was primarily attributable to higher revenue from managed services arrangements, including managed transformation activities, from key customers in North America.</w:t>
      </w:r>
    </w:p>
    <w:p>
      <w:pPr>
        <w:spacing w:after="0" w:line="16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Revenue from customers in Europe increased during the six months ended March 31, 2021. The increase in revenue from customers in Europe was primarily attributable to higher revenue from development and modernization activities while we expand our presence in this region, as well as positive foreign exchange fluctuation impact.</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Revenue from customers in the rest of the world remained stable in absolute amount while total revenue increased, and as a result the percentage of revenue from customers in rest of the world decreased. Revenue from customers in the rest of the world in Asia-Pacific increased during the six months ended March 31, 2021 and was partially offset by decrease in other regions within the rest of the world.</w:t>
      </w:r>
    </w:p>
    <w:p>
      <w:pPr>
        <w:spacing w:after="0" w:line="16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costs of third-party products, as well as fee and royalty payments to software suppliers. Cost of revenue increased by $43.9 million, or 3.2%, to $1,414.2 million in the six months ended March 31, 2021, from $1,370.3 million in the six months ended March 31, 2020. The Cost of revenue as a percentage of revenue increased, in the six months ended March 31, 2021 compared to the six months ended March 31, 2020, however, excluding the impact of changes of certain acquisition-related liabilities measured at fair value recognized in the six months ended March 31, 2021 and March 31, 2020, cost of revenue as percentage of revenue decreased in the six months ended March 31, 2021. The divestiture of OpenMarket completed on December 31, 2020 positively affected our cost of revenue as a percentage of revenue, as OpenMarket’s cost of revenue as a percentage of revenue was higher than the Company average.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$14.7 million, or 10.8%, to $150.8 million in the six months ended March 31, 2021, from $136.1 million in the six months ended March 31, 2020. Research and development expense increased as a percentage of revenue from 6.5% in the six months ended March 31, 2020, to 7.1% in the six months ended March 31, 2021, as we accelerate our investment in our cloud offering, 5G and network related innovation and developing our digital offerings as well as our media offerings. Our research and development efforts are a key element of our strategy and are essential to our success, and we intend to maintain our commitment to research and development. An increase or decrease in our revenue would not necessarily result in a proportional increase or decrease in the levels of our research and development expenditures, which could affect our operating margin.</w:t>
      </w:r>
    </w:p>
    <w:p>
      <w:pPr>
        <w:spacing w:after="0" w:line="166"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color w:val="auto"/>
        </w:rPr>
        <w:t>. 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$3.7 million, or 1.5%, to $238.8 million in the six months ended March 31, 2021, from $242.6 million in the six months ended March 31, 2020. Selling, general and administrative expense decreased as a percentage of revenue from 11.6% in the six months ended March 31, 2020, to 11.2% in the six months ended March 31, 2021. The decrease is mainly due to lower selling and marketing and travel costs in the six months ended March 31, 2021 compared to the six months ended March 31, 2020 as a result of the COVID-19 restrictions and was also attributable to decrease in the account receivable allowances. The decrease was partially offset by selling, general and administrative expense, attributable to acquisitions completed in fiscal year 2020. Selling, general and administrative expense may fluctuate from time to time, depending upon such factors as changes in our workforce and sales efforts and the results of any operational efficiency programs that we may undertake.</w:t>
      </w:r>
    </w:p>
    <w:p>
      <w:pPr>
        <w:spacing w:after="0" w:line="165"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in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 increased by $1.1 million, or 2.7% to $41.7 million from $40.6 million in the six months ended March 31, 2020. The increase in amortization of purchased intangible assets and other was primarily attributable to an increase in amortization of intangible assets due to acquisitions completed in fiscal year 2020, and, to a lesser extent, an increase in acquisition-related costs, partially offset by a completion of amortization of previously purchased intangible assets.</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$10.8 million, or 3.6%, in the six months ended March 31, 2021, to $289.4 million, or 13.6%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revenue, from $300.3 million, or 14.4% of revenue, in the six months ended March 31, 2020. The decrease in operating income was attributable primarily to the increase in research and development expense during the six months ended March 31, 2021, and positive foreign exchange impacts on our revenue, resulting in a positive impact on our operating income.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Interest and Other Expense, Net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and other expense, net, changed from a net expense of $2.6 million in the six months ended March 31,</w:t>
      </w:r>
    </w:p>
    <w:p>
      <w:pPr>
        <w:spacing w:after="0" w:line="46" w:lineRule="exact"/>
        <w:rPr>
          <w:sz w:val="20"/>
          <w:szCs w:val="20"/>
          <w:color w:val="auto"/>
        </w:rPr>
      </w:pPr>
    </w:p>
    <w:p>
      <w:pPr>
        <w:ind w:left="120" w:right="440"/>
        <w:spacing w:after="0" w:line="255" w:lineRule="auto"/>
        <w:rPr>
          <w:sz w:val="20"/>
          <w:szCs w:val="20"/>
          <w:color w:val="auto"/>
        </w:rPr>
      </w:pPr>
      <w:r>
        <w:rPr>
          <w:rFonts w:ascii="Arial" w:cs="Arial" w:eastAsia="Arial" w:hAnsi="Arial"/>
          <w:sz w:val="18"/>
          <w:szCs w:val="18"/>
          <w:color w:val="auto"/>
        </w:rPr>
        <w:t>2020 to a net expense of $10.0 million in the six months ended March 31, 2021. The increase in interest and other expense, net, was primarily attributable to an increase in interest expenses related to financing activities recorded in the six months ended March 31, 2021 compared to the six months ended March 31,2020, and was partially offset by foreign exchange impacts.</w:t>
      </w:r>
    </w:p>
    <w:p>
      <w:pPr>
        <w:spacing w:after="0" w:line="19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Gain from sale of a business. </w:t>
      </w:r>
      <w:r>
        <w:rPr>
          <w:rFonts w:ascii="Arial" w:cs="Arial" w:eastAsia="Arial" w:hAnsi="Arial"/>
          <w:sz w:val="18"/>
          <w:szCs w:val="18"/>
          <w:color w:val="auto"/>
        </w:rPr>
        <w:t>Gain from sale of a business, for the six months ended March 31, 2021, was $226.4 million, while there was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gain in the six months ended March 31, 2020. Please see Note 4 to our consolidated financial statements.</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six months ended March 31, 2021 were $87.1 million on pre-tax income of $505.8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17.2%, compared to 18.4% in the six months ended March 31, 2020. Absent the gain from sale of a business, the effective tax rate for the six months ended March 31, 2021, would have been 17.0%. Our effective tax rate may fluctuate between periods as a result of discrete items that may affect a particular period. Please see Note 10 to our consolidated financial statements.</w:t>
      </w:r>
    </w:p>
    <w:p>
      <w:pPr>
        <w:spacing w:after="0" w:line="17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 Net income increased by $175.7 million, or 72.3%, to $418.7 million in the six months ended March 31, 2021, from $243.0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six months ended March 31, 2020. The increase in net income was primarily attributable to the gain from sale of a business, net of tax.</w:t>
      </w:r>
    </w:p>
    <w:p>
      <w:pPr>
        <w:spacing w:after="0" w:line="12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Diluted Earnings Per Share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Diluted earnings per share increased by $1.39, or 77.2%, to $3.19 in the six months ended March 31, 2021,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$1.80 in the six months ended March 31, 2020. The increase in diluted earnings per share was primarily attributable to the gain from sale of a business, net of tax, which increased the diluted earnings per share for the six months ended March 31, 2021, by $1.42, as well as to the decrease in the diluted weighted average number of shares outstanding which resulted from share repurchases. Please see also Note 11 to our consolidated financial statements.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121"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March 31, 2021 compared to the three months ended March 31, 2020. Following the table is a discussion and analysis of our business and results of operations for such periods.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54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960" w:type="dxa"/>
            <w:vAlign w:val="bottom"/>
            <w:tcBorders>
              <w:top w:val="single" w:sz="8" w:color="auto"/>
            </w:tcBorders>
            <w:gridSpan w:val="3"/>
          </w:tcPr>
          <w:p>
            <w:pPr>
              <w:jc w:val="right"/>
              <w:ind w:right="341"/>
              <w:spacing w:after="0" w:line="142" w:lineRule="exact"/>
              <w:rPr>
                <w:sz w:val="20"/>
                <w:szCs w:val="20"/>
                <w:color w:val="auto"/>
              </w:rPr>
            </w:pPr>
            <w:r>
              <w:rPr>
                <w:rFonts w:ascii="Arial" w:cs="Arial" w:eastAsia="Arial" w:hAnsi="Arial"/>
                <w:sz w:val="14"/>
                <w:szCs w:val="14"/>
                <w:b w:val="1"/>
                <w:bCs w:val="1"/>
                <w:color w:val="auto"/>
                <w:w w:val="98"/>
              </w:rPr>
              <w:t>Amount</w:t>
            </w:r>
          </w:p>
        </w:tc>
        <w:tc>
          <w:tcPr>
            <w:tcW w:w="4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1,048,734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1,047,933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685,515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683,970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1,545</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75,154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68,795</w:t>
            </w:r>
          </w:p>
        </w:tc>
        <w:tc>
          <w:tcPr>
            <w:tcW w:w="80" w:type="dxa"/>
            <w:vAlign w:val="bottom"/>
          </w:tcPr>
          <w:p>
            <w:pPr>
              <w:spacing w:after="0"/>
              <w:rPr>
                <w:sz w:val="18"/>
                <w:szCs w:val="18"/>
                <w:color w:val="auto"/>
              </w:rPr>
            </w:pPr>
          </w:p>
        </w:tc>
        <w:tc>
          <w:tcPr>
            <w:tcW w:w="880" w:type="dxa"/>
            <w:vAlign w:val="bottom"/>
            <w:gridSpan w:val="2"/>
          </w:tcPr>
          <w:p>
            <w:pPr>
              <w:jc w:val="right"/>
              <w:ind w:right="301"/>
              <w:spacing w:after="0"/>
              <w:rPr>
                <w:sz w:val="20"/>
                <w:szCs w:val="20"/>
                <w:color w:val="auto"/>
              </w:rPr>
            </w:pPr>
            <w:r>
              <w:rPr>
                <w:rFonts w:ascii="Arial" w:cs="Arial" w:eastAsia="Arial" w:hAnsi="Arial"/>
                <w:sz w:val="18"/>
                <w:szCs w:val="18"/>
                <w:color w:val="auto"/>
              </w:rPr>
              <w:t>6,359</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116,951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119,108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4"/>
              </w:rPr>
              <w:t>(2,157)</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19,348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2,522</w:t>
            </w:r>
          </w:p>
        </w:tc>
        <w:tc>
          <w:tcPr>
            <w:tcW w:w="3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891,221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156,712</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(7,468)</w:t>
            </w:r>
          </w:p>
        </w:tc>
        <w:tc>
          <w:tcPr>
            <w:tcW w:w="3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(3,542)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4"/>
              </w:rPr>
              <w:t>(1,252)</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154,422</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(8,720)</w:t>
            </w:r>
          </w:p>
        </w:tc>
        <w:tc>
          <w:tcPr>
            <w:tcW w:w="3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(749)</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119,067</w:t>
            </w: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127,038</w:t>
            </w:r>
          </w:p>
        </w:tc>
        <w:tc>
          <w:tcPr>
            <w:tcW w:w="3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(7,971</w:t>
            </w:r>
          </w:p>
        </w:tc>
        <w:tc>
          <w:tcPr>
            <w:tcW w:w="38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increased by $0.8 million, or 0.1%, to $1,048.7 million in the three months ended March 31, 2020, from $1,047.9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2020. Revenue for the three months ended March 31, 2021 was positively affected by increased managed services arrangements including managed transformation activities, approximately 1.5% positive foreign exchange fluctuations impact, and activities related to acquisitions completed in fiscal year 2020. The increase in revenue was offset by a decrease in revenue as a result of the divestiture of OpenMarket completed on December 31, 2020.</w:t>
      </w:r>
    </w:p>
    <w:p>
      <w:pPr>
        <w:spacing w:after="0" w:line="188"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In the three months ended March 31, 2021, revenue from customers in North America, Europe and the rest of the world accounted for 64.8%, 14.2% and 21.0%, respectively, of total revenue, compared to 66.0%, 14.2% and 19.8%, respectively, in the three months ended March 31, 2020. Revenue from customers in North America decreased during the three months ended March 31, 2021. The decrease was primarily attributable to the divestiture of OpenMarket completed on December 31, 2020 which was partially offset by higher revenue from managed services activities from key customers in North America and to a lesser extent by activities related to fiscal year 2020 acquisitions.</w:t>
      </w:r>
    </w:p>
    <w:p>
      <w:pPr>
        <w:spacing w:after="0" w:line="176"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Revenue from customers in Europe remained stable during the three months ended March 31, 2021 and was positively affected by foreign exchange fluctuations impact. This stable outcome is a result of an increase from development and modernization activities while we expand our presence in this region, as well as positive foreign exchange fluctuation impact, offset by the divestiture of OpenMarket completed on December 31, 2020.</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Revenue from customers in the rest of the world in Asia-Pacific increased during the three months ended March 31, 2021 and was partially offset by other regions within the rest of the world.</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costs of third-party products, as well as fee and royalty payments to software suppliers. Cost of revenue increased by $1.5 million, or 0.2%, to $685.5 million in the three months ended March 31, 2021, from $684.0 million in the three months ended March 31, 2020. The Cost of revenue as a percentage of revenue slightly increased, in the three months ended March 31, 2021 compared to the three months ended March 31, 2020, however, excluding the impact of changes of certain acquisition-related liabilities measured at fair value recognized in the three months ended March 31, 2021 and March 31, 2020, cost of revenue as percentage of revenue decreased in the three months ended March 31, 2021. The divestiture of OpenMarket completed on December 31, 2020 positively affected our cost of revenue as a percentage of revenue, as OpenMarket’s cost of revenue as a percentage of revenue was higher than the Company average.</w:t>
      </w:r>
    </w:p>
    <w:p>
      <w:pPr>
        <w:spacing w:after="0" w:line="17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$6.4 million, or 9.2%, to $75.2 million in the three months ended March 31, 2021, from $68.8 million in the three months ended March 31, 2020. Research and development expense increased as a percentage of revenue from 6.6% in the three months ended March 31, 2020, to 7.2% in the three months ended March 31, 2021, as we accelerate our investment in our cloud offering, 5G and network related innovation and developing our digital offerings as well as our media offerings. Our research and development efforts are a key element of our strategy and are essential to our success, and we intend to maintain our commitment to research and development. An increase or decrease in our revenue would not necessarily result in a proportional increase or decrease in the levels of our research and development expenditures, which could affect our operating margin.</w:t>
      </w:r>
    </w:p>
    <w:p>
      <w:pPr>
        <w:sectPr>
          <w:pgSz w:w="11900" w:h="16838" w:orient="portrait"/>
          <w:cols w:equalWidth="0" w:num="1">
            <w:col w:w="11100"/>
          </w:cols>
          <w:pgMar w:left="320" w:top="459" w:right="479" w:bottom="1440" w:gutter="0" w:footer="0" w:header="0"/>
        </w:sectPr>
      </w:pP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00"/>
          </w:cols>
          <w:pgMar w:left="320" w:top="459" w:right="4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$2.2 million, or 1.8%, to $117.0 million in the three months ended March 31, 2021, from $119.1 million in the three months ended March 31, 2020. Selling, general and administrative expense decreased as a percentage of revenue from 11.4% in the three months ended March 31, 2020, to 11.2% in the three months ended March 31, 2021. The decrease is mainly due to lower selling and marketing and travel costs in the three months ended March 31, 2021 compared to the three months ended March 31, 2020 as a result of the COVID-19 restrictions. The decrease was partially offset by selling, general and administrative expense, attributable to acquisitions completed in fiscal year 2020. Selling, general and administrative expense may fluctuate from time to time, depending upon such factors as changes in our workforce and sales efforts and the results of any operational efficiency programs that we may undertake.</w:t>
      </w:r>
    </w:p>
    <w:p>
      <w:pPr>
        <w:spacing w:after="0" w:line="192"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 increased by $2.5 million, or 13.0% to $21.9 million from $19.3 million in the three months ended March 31, 2020. The increase in amortization of purchased intangible assets and other was primarily attributable to an increase in amortization of intangible assets due to acquisitions completed in fiscal year 2020, and, to a lesser extent, an increase in acquisition-related costs, partially offset by a completion of amortization of previously purchased intangible assets.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$7.5 million, or 4.8%, in the three months ended March 31, 2021, to $149.2 million, or 14.2%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revenue, from $156.7 million, or 15.0% of revenue, in the three months ended March 31, 2020. The decrease in operating income was attributable primarily to the increase in research and development expense during the three months ended March 31, 2021, and positive foreign exchange impacts on our revenue, resulting in a positive impact on our operating income.</w:t>
      </w:r>
    </w:p>
    <w:p>
      <w:pPr>
        <w:spacing w:after="0" w:line="18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Interest and Other Expense, Net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other expense, net, changed from a net expense of $2.3 million in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2020 to a net expense of $3.5 million in the three months ended March 31, 2021. The increase in interest and other expense, net, was primarily attributable to an increase in interest expenses related to financing activities recorded in the three months ended March 31, 2021 compared to the three months ended March 31,2020, and was partially offset by foreign exchange impacts and other net income.</w:t>
      </w:r>
    </w:p>
    <w:p>
      <w:pPr>
        <w:spacing w:after="0" w:line="17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March 31, 2021 were $26.6 million on pre-tax income of $145.7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18.3%, compared to 17.7% in the three months ended March 31, 2020. Our effective tax rate may fluctuate between periods as a result of discrete items that may affect a particular period. Please see Note 10 to our consolidated financial statements.</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$8.0 million, or 6.3%, to $119.1 million in the three months ended March 31, 2021, from $127.0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2020. The decrease in net income during the three months ended March 31, 2021 was primarily attributable to the decrease in operating income.</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earnings per share decreased by $0.03, or 3.2%, to $0.91 in the three months ended March 31, 2021,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$0.94 in the three months ended March 31, 2020. The decrease in diluted earnings per share was primarily attributable to the decrease in net income, partially offset by the decrease in the diluted weighted average number of shares outstanding which resulted from share repurchases. Please see also Note 11 to our consolidated financial statements.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totaled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$1,163.7 million as of March 31, 2021, compared to $983.9 million as of September 30, 2020. The increase was mainly attributable to $536.2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positive cash flow from operating activities, reflecting healthy cash collections and the cash benefit of a multi-year strategic partnership agreement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T-Mobile, $290.8 million net cash received from sale of a business and $78.4 million of proceeds from stock option exercises, partially offset by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$450.1 million repurchase of our ordinary shares, $99.3 million for capital expenditures, net, $89.1 million payments for business and intangible assets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acquisitions and $85.9 million of cash dividend payment. Net cash provided by operating activities amounted to $536.2 million and $266.8 million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six months ended March 31, 2021 and 2020, respectively.</w:t>
      </w:r>
    </w:p>
    <w:p>
      <w:pPr>
        <w:spacing w:after="0" w:line="21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free cash flow for the six months ended March 31, 2021 was $436.9 million and is calculated as net cash provided by operating activities of $536.2 million for the period less $99.3 million for capital expenditures, net (which included capital expenditures of $42.6 million as part of our investment in our new campus in Israel).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believe that our current cash balances, cash generated from operations, our current lines of credit, loans, Senior Notes and our ability to access capital markets will provide sufficient resources to meet our operational needs, fund the construction of the new campus in Israel, loan and debt repayment needs, fund share repurchases and the payment of cash dividends for at least the next twelve months.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and U.S government securities, which are stated at market value. We believe we have conservative investment policy guidelines. Our interest-bearing investments are stated at fair value with the unrealized gains or losses reported as a separate component of accumulated other comprehensive income,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six months ended March 31, 2021 and 2020, we did not recognize any credit losses. Please see Notes 6 and 7 to the consolidated financial statements.</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 xml:space="preserve">Revolving Credit Facility, Loans, Senior Notes, Letters of Credit, Guarantees and Contractual Obligations. </w:t>
      </w:r>
      <w:r>
        <w:rPr>
          <w:rFonts w:ascii="Arial" w:cs="Arial" w:eastAsia="Arial" w:hAnsi="Arial"/>
          <w:sz w:val="16"/>
          <w:szCs w:val="16"/>
          <w:color w:val="auto"/>
        </w:rPr>
        <w:t>In December 2011, we entered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March 31, 2021, we were in compliance with the financial covenants and had no outstanding borrowing under the Revolving Credit Facility.</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unassociated with the Revolving Credit Facility discussed above, in May 2020, we entered into an additional $100.0 million one year loan which remains outstanding as of March 31, 2021 and was repaid in full in May 2021.</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March 31, 2021, the noncurrent outstanding principal portion was $650.0 million, please see Note 13 to our consolidated financial statements.</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March 31, 2021, we had additional uncommitted lines of credit available for general corporate and other specific purposes and had outstanding letters of credit and bank guarantees from various banks totaling $88.7 million. These were supported by a combination of the uncommitted lines of credit that we maintain with various banks.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contractual obligations for Long-term and Short-term debt and accrued interests, our non-cancelable operating leases,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2020, filed on December 14, 2020 with the SEC. Since September 30, 2020, there have been no material changes in our aggregate contractual obligations mentioned above.</w:t>
      </w:r>
    </w:p>
    <w:p>
      <w:pPr>
        <w:spacing w:after="0" w:line="18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Generally, 80% to 90% of our capital expenditures (excluding the investment in our new campus in Israel)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computer equipment, and the remainder is attributable mainly to leasehold improvements. Our capital expenditures were approximately $99.3 million in the six months ended March 31, 2021 and were mainly attributable to investments in our operating facilities and our development centers around the world (including the investment in our new campus in Israel).</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total net investment we expect to make in connection with the construction of the new campus is estimated to be up to $350 million over a period of five years, starting with fiscal year 2018, out of which approximately $96 million was incurred in fiscal year 2018 by both us and our partner Union at equal portions (i.e. our net investment was approximately $48 million), $7 million was incurred by us in fiscal year 2019 (which is net of proceed of $9.7 million relating to the refund of betterment levy) and $63 million was incurred by us in fiscal year 2020. We expect to incur approximately $140 million in fiscal year 2021.</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can adopt share repurchase plans authorizing the repurchase of our outstanding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ordinary shares. On November 12, 2019, our Board of Directors adopted a share repurchase plan authorizing the repurchase of up to an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$800.0 million of our outstanding ordinary shares with no expiration date. During the six months ended March 31, 2021, we repurchased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6.1 million ordinary shares at an average price of $74.11 per share (excluding broker and transaction fees). The November 2019 plan permits us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our ordinary shares in the open market or through privately negotiated transactions at times and prices that we consider appropriate.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2021, we had remaining authority to repurchase up to $228.4 million of our outstanding ordinary shares under the November 2019 plan.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12, 2021, our board of Directors adopted another share repurchase plan authorizing the repurchase of up to an additional $1.0 billion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outstanding ordinary shares which brings the aggregate unused authorization under both the November 2019 and the May 2021 plans to $1.228 billion.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May 2021 plan has no expiration date and permits us to purchase our ordinary shares in the open market or through privately negotiated transactions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times and prices that we consider appropriate.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six months ended March 31, 2021 and 2020: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1760" w:type="dxa"/>
            <w:vAlign w:val="bottom"/>
            <w:vMerge w:val="restart"/>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60" w:type="dxa"/>
            <w:vAlign w:val="bottom"/>
          </w:tcPr>
          <w:p>
            <w:pPr>
              <w:spacing w:after="0"/>
              <w:rPr>
                <w:sz w:val="14"/>
                <w:szCs w:val="14"/>
                <w:color w:val="auto"/>
              </w:rPr>
            </w:pPr>
          </w:p>
        </w:tc>
        <w:tc>
          <w:tcPr>
            <w:tcW w:w="14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40" w:type="dxa"/>
            <w:vAlign w:val="bottom"/>
          </w:tcPr>
          <w:p>
            <w:pPr>
              <w:spacing w:after="0"/>
              <w:rPr>
                <w:sz w:val="14"/>
                <w:szCs w:val="14"/>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4"/>
              </w:rPr>
              <w:t>Ordinary Share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9"/>
              </w:rPr>
              <w:t>in millions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 2021</w:t>
            </w:r>
          </w:p>
        </w:tc>
        <w:tc>
          <w:tcPr>
            <w:tcW w:w="1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31, 2021</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April 23, 2021</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November 10, 2020</w:t>
            </w:r>
          </w:p>
        </w:tc>
        <w:tc>
          <w:tcPr>
            <w:tcW w:w="16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0.3275</w:t>
            </w:r>
          </w:p>
        </w:tc>
        <w:tc>
          <w:tcPr>
            <w:tcW w:w="1660" w:type="dxa"/>
            <w:vAlign w:val="bottom"/>
            <w:gridSpan w:val="2"/>
          </w:tcPr>
          <w:p>
            <w:pPr>
              <w:ind w:left="260"/>
              <w:spacing w:after="0"/>
              <w:rPr>
                <w:sz w:val="20"/>
                <w:szCs w:val="20"/>
                <w:color w:val="auto"/>
              </w:rPr>
            </w:pPr>
            <w:r>
              <w:rPr>
                <w:rFonts w:ascii="Arial" w:cs="Arial" w:eastAsia="Arial" w:hAnsi="Arial"/>
                <w:sz w:val="18"/>
                <w:szCs w:val="18"/>
                <w:color w:val="auto"/>
                <w:w w:val="87"/>
              </w:rPr>
              <w:t>December 31, 2020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42.9</w:t>
            </w:r>
          </w:p>
        </w:tc>
        <w:tc>
          <w:tcPr>
            <w:tcW w:w="1480" w:type="dxa"/>
            <w:vAlign w:val="bottom"/>
            <w:gridSpan w:val="2"/>
          </w:tcPr>
          <w:p>
            <w:pPr>
              <w:ind w:left="240"/>
              <w:spacing w:after="0"/>
              <w:rPr>
                <w:sz w:val="20"/>
                <w:szCs w:val="20"/>
                <w:color w:val="auto"/>
              </w:rPr>
            </w:pPr>
            <w:r>
              <w:rPr>
                <w:rFonts w:ascii="Arial" w:cs="Arial" w:eastAsia="Arial" w:hAnsi="Arial"/>
                <w:sz w:val="18"/>
                <w:szCs w:val="18"/>
                <w:color w:val="auto"/>
                <w:w w:val="87"/>
              </w:rPr>
              <w:t>January 22, 2021</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4, 2020</w:t>
            </w:r>
          </w:p>
        </w:tc>
        <w:tc>
          <w:tcPr>
            <w:tcW w:w="16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0.3275</w:t>
            </w:r>
          </w:p>
        </w:tc>
        <w:tc>
          <w:tcPr>
            <w:tcW w:w="1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March 31, 2020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w:t>
            </w:r>
          </w:p>
        </w:tc>
        <w:tc>
          <w:tcPr>
            <w:tcW w:w="1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November 12, 2019</w:t>
            </w:r>
          </w:p>
        </w:tc>
        <w:tc>
          <w:tcPr>
            <w:tcW w:w="16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0.285</w:t>
            </w:r>
          </w:p>
        </w:tc>
        <w:tc>
          <w:tcPr>
            <w:tcW w:w="1660" w:type="dxa"/>
            <w:vAlign w:val="bottom"/>
            <w:gridSpan w:val="2"/>
          </w:tcPr>
          <w:p>
            <w:pPr>
              <w:ind w:left="260"/>
              <w:spacing w:after="0"/>
              <w:rPr>
                <w:sz w:val="20"/>
                <w:szCs w:val="20"/>
                <w:color w:val="auto"/>
              </w:rPr>
            </w:pPr>
            <w:r>
              <w:rPr>
                <w:rFonts w:ascii="Arial" w:cs="Arial" w:eastAsia="Arial" w:hAnsi="Arial"/>
                <w:sz w:val="18"/>
                <w:szCs w:val="18"/>
                <w:color w:val="auto"/>
                <w:w w:val="87"/>
              </w:rPr>
              <w:t>December 31, 2019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38.4</w:t>
            </w:r>
          </w:p>
        </w:tc>
        <w:tc>
          <w:tcPr>
            <w:tcW w:w="1480" w:type="dxa"/>
            <w:vAlign w:val="bottom"/>
            <w:gridSpan w:val="2"/>
          </w:tcPr>
          <w:p>
            <w:pPr>
              <w:ind w:left="240"/>
              <w:spacing w:after="0"/>
              <w:rPr>
                <w:sz w:val="20"/>
                <w:szCs w:val="20"/>
                <w:color w:val="auto"/>
              </w:rPr>
            </w:pPr>
            <w:r>
              <w:rPr>
                <w:rFonts w:ascii="Arial" w:cs="Arial" w:eastAsia="Arial" w:hAnsi="Arial"/>
                <w:sz w:val="18"/>
                <w:szCs w:val="18"/>
                <w:color w:val="auto"/>
                <w:w w:val="87"/>
              </w:rPr>
              <w:t>January 24, 2020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May 12, 2021, our Board of Directors approved the next quarterly dividend payment of $0.36 and set June 30, 2021 as the record date for determining the shareholders entitled to receive the dividend, which is payable on July 23, 2021.</w:t>
      </w:r>
    </w:p>
    <w:p>
      <w:pPr>
        <w:spacing w:after="0" w:line="17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During the six months ended March 31, 2021 and 2020,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March 31, 2021 of equity securities that are registered by us pursuant to Section 12 of the Exchange Act: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Total Number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2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of Shares that May</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680" w:type="dxa"/>
            <w:vAlign w:val="bottom"/>
            <w:gridSpan w:val="2"/>
            <w:vMerge w:val="restart"/>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80" w:type="dxa"/>
            <w:vAlign w:val="bottom"/>
            <w:gridSpan w:val="2"/>
            <w:vMerge w:val="continue"/>
          </w:tcPr>
          <w:p>
            <w:pPr>
              <w:spacing w:after="0"/>
              <w:rPr>
                <w:sz w:val="15"/>
                <w:szCs w:val="15"/>
                <w:color w:val="auto"/>
              </w:rPr>
            </w:pPr>
          </w:p>
        </w:tc>
        <w:tc>
          <w:tcPr>
            <w:tcW w:w="106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5"/>
                <w:szCs w:val="15"/>
                <w:color w:val="auto"/>
              </w:rPr>
            </w:pPr>
          </w:p>
        </w:tc>
        <w:tc>
          <w:tcPr>
            <w:tcW w:w="16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Paid per Share(1)</w:t>
            </w:r>
          </w:p>
        </w:tc>
        <w:tc>
          <w:tcPr>
            <w:tcW w:w="13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or Programs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or Programs(2)</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1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01/01/21-01/31/21</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134,864</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70.41</w:t>
            </w:r>
          </w:p>
        </w:tc>
        <w:tc>
          <w:tcPr>
            <w:tcW w:w="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134,864</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578,847,753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02/01/21-02/28/21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2,177,262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77.01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2,177,262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411,168,513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03/01/21-03/31/21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2,323,839</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78.67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2,323,839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228,361,312</w:t>
            </w:r>
          </w:p>
        </w:tc>
        <w:tc>
          <w:tcPr>
            <w:tcW w:w="0" w:type="dxa"/>
            <w:vAlign w:val="bottom"/>
          </w:tcPr>
          <w:p>
            <w:pPr>
              <w:spacing w:after="0"/>
              <w:rPr>
                <w:sz w:val="1"/>
                <w:szCs w:val="1"/>
                <w:color w:val="auto"/>
              </w:rPr>
            </w:pPr>
          </w:p>
        </w:tc>
      </w:tr>
      <w:tr>
        <w:trPr>
          <w:trHeight w:val="223"/>
        </w:trPr>
        <w:tc>
          <w:tcPr>
            <w:tcW w:w="4540" w:type="dxa"/>
            <w:vAlign w:val="bottom"/>
            <w:gridSpan w:val="4"/>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4,635,965</w:t>
            </w:r>
          </w:p>
        </w:tc>
        <w:tc>
          <w:tcPr>
            <w:tcW w:w="20" w:type="dxa"/>
            <w:vAlign w:val="bottom"/>
            <w:tcBorders>
              <w:bottom w:val="single" w:sz="8" w:color="auto"/>
            </w:tcBorders>
          </w:tcPr>
          <w:p>
            <w:pPr>
              <w:spacing w:after="0"/>
              <w:rPr>
                <w:sz w:val="19"/>
                <w:szCs w:val="19"/>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77.65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4,635,965</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228,361,312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540" w:hanging="424"/>
        <w:spacing w:after="0" w:line="295"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November 12, 2019, our Board of Directors adopted a share repurchase plan for the repurchase of up to an additional $800.0 million of our outstanding ordinary shares and on May 12, 2021, adopted another share repurchase plan for the repurchase of up to an additional $1.0 billion of our outstanding ordinary shares, which brings the unused aggregate authorization to $1.228 billion. The authorizations have no expiration date and permit us to purchase our ordinary shares in open market or privately negotiated transactions at times and prices we consider appropriate.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2021:</w:t>
      </w:r>
    </w:p>
    <w:p>
      <w:pPr>
        <w:spacing w:after="0" w:line="117" w:lineRule="exact"/>
        <w:rPr>
          <w:sz w:val="20"/>
          <w:szCs w:val="20"/>
          <w:color w:val="auto"/>
        </w:rPr>
      </w:pPr>
    </w:p>
    <w:p>
      <w:pPr>
        <w:ind w:left="820" w:hanging="2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6-K dated February 1, 2021</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6-K dated February 3, 2021</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 6-K dated February 16, 2021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 24, 2021</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35</w:t>
      </w:r>
    </w:p>
    <w:sectPr>
      <w:pgSz w:w="11900" w:h="16838" w:orient="portrait"/>
      <w:cols w:equalWidth="0" w:num="1">
        <w:col w:w="10820"/>
      </w:cols>
      <w:pgMar w:left="320" w:top="459"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2021-05-24T15:40:52Z</dcterms:created>
  <dcterms:modified xsi:type="dcterms:W3CDTF">2021-05-24T15:40:52Z</dcterms:modified>
</cp:coreProperties>
</file>