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9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99"/>
        <w:spacing w:after="0" w:line="207" w:lineRule="exact"/>
        <w:tabs>
          <w:tab w:leader="none" w:pos="5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-10160</wp:posOffset>
            </wp:positionV>
            <wp:extent cx="571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August 5, 2020, Amdocs Limited (“Amdocs”) issued a press release announcing financial results for the quarter ended June 30, 2020. A copy of the press release is furnished as Exhibit 99.1 to this Report of Foreign Private Issuer on Form 6-K.</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0260"/>
          </w:cols>
          <w:pgMar w:left="440" w:top="270" w:right="119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4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81"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Amdocs Limited Press Release dated August 5, 2020.</w:t>
        </w:r>
      </w:hyperlink>
    </w:p>
    <w:p>
      <w:pPr>
        <w:sectPr>
          <w:pgSz w:w="11900" w:h="16838" w:orient="portrait"/>
          <w:cols w:equalWidth="0" w:num="1">
            <w:col w:w="10019"/>
          </w:cols>
          <w:pgMar w:left="4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1543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Amdocs Limited Reports Third Quarter Fiscal 2020 Results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Quarterly Revenue of $1.03 Billion, Exceeding Midpoint of Guidance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Raises Fiscal 2020 Revenue Growth Outlook to 1.1%-2.1% YoY as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Reported and 1.6%-2.6% YoY in Constant Currency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Expects Announced Acquisition of Openet to Close in Fourth Quarter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Fiscal 2020</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 Quarter Fiscal 2020 Highlights</w:t>
      </w:r>
    </w:p>
    <w:p>
      <w:pPr>
        <w:spacing w:after="0" w:line="135" w:lineRule="exact"/>
        <w:rPr>
          <w:sz w:val="20"/>
          <w:szCs w:val="20"/>
          <w:color w:val="auto"/>
        </w:rPr>
      </w:pPr>
    </w:p>
    <w:p>
      <w:pPr>
        <w:ind w:left="964" w:right="2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Revenue of $1,026 million, exceeding the midpoint of the $990-$1,040 million guidance range, also after adjusting for a positive impact from foreign currency movements of approximately $5 million compared to our guidance assumptions</w:t>
      </w:r>
    </w:p>
    <w:p>
      <w:pPr>
        <w:spacing w:after="0" w:line="75" w:lineRule="exact"/>
        <w:rPr>
          <w:rFonts w:ascii="Arial" w:cs="Arial" w:eastAsia="Arial" w:hAnsi="Arial"/>
          <w:sz w:val="18"/>
          <w:szCs w:val="18"/>
          <w:color w:val="auto"/>
        </w:rPr>
      </w:pPr>
    </w:p>
    <w:p>
      <w:pPr>
        <w:ind w:left="964" w:right="10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Record managed services revenue of $604 million, up 4.6% as compared to last year’s third fiscal quarter and equivalent to approximately 59% of total revenue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$0.90, above the midpoint $0.81-$0.91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$1.07, above the midpoint of the $1.00-$1.08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$148 million; GAAP operating margin of 14.4%</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$175 million; non-GAAP operating margin of 17.1%</w:t>
      </w:r>
    </w:p>
    <w:p>
      <w:pPr>
        <w:spacing w:after="0" w:line="130" w:lineRule="exact"/>
        <w:rPr>
          <w:rFonts w:ascii="Arial" w:cs="Arial" w:eastAsia="Arial" w:hAnsi="Arial"/>
          <w:sz w:val="18"/>
          <w:szCs w:val="18"/>
          <w:color w:val="auto"/>
        </w:rPr>
      </w:pPr>
    </w:p>
    <w:p>
      <w:pPr>
        <w:ind w:left="964" w:right="80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Quarterly free cash flow of $146 million, comprised of cash flow from operations of $187 million, less $41 million in net capital expenditures and other; normalized free cash flow of $169 million (1)</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Cash and cash equivalents of $1,194 million, including aggregate borrowings of $750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Twelve-month backlog of $3.48 billion, up $20 million sequentially and up 2.4% as compared to last year’s third fiscal quarter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$0.3275 per share to be paid on October 23, 2020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 (figures may not sum because of rounding).</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 LOUIS – August 5, 2020 </w:t>
      </w:r>
      <w:r>
        <w:rPr>
          <w:rFonts w:ascii="Arial" w:cs="Arial" w:eastAsia="Arial" w:hAnsi="Arial"/>
          <w:sz w:val="17"/>
          <w:szCs w:val="17"/>
          <w:color w:val="auto"/>
        </w:rPr>
        <w:t>– Amdocs Limited (NASDAQ: DOX) today reported operating results for the three months ended June 30, 2020.</w:t>
      </w:r>
    </w:p>
    <w:p>
      <w:pPr>
        <w:spacing w:after="0" w:line="24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fiscal Q3 was our first full quarter operating under the global conditions of the COVID-19 pandemic, considering which I am proud of the company’s performance. Revenue exceeded the midpoint of our guidance and included healthy year-over-year growth in North America and another record quarter in managed services. Our operating execution was especially noteworthy this quarter as we delivered a significant number of live deployments, maintained stable profitability and generated robust free cash flow. Additionally, the pace of deal signings accelerated during Q3 and included an agreement to support Bell Canada’s cloud-native strategy, an enterprise digital transformation project in the Philippines and our first-ever modernization award at Three UK,” said Shuky Sheffer, president and chief executive officer of Amdocs Management Limited.</w:t>
      </w:r>
    </w:p>
    <w:p>
      <w:pPr>
        <w:spacing w:after="0" w:line="1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Sheffer continued, “As part of our strategy to accelerate the pace of taking the communications industry to the cloud, we recently announced an agreement to acquire Openet, a leading provider of 5G charging, policy and cloud technologies whose customers include several of the world’s top 10 largest service providers. Openet’s technologies naturally complement our own portfolio of 5G solutions, the combination of which will greatly strengthen our leading technology position in the market. Moreover, we are excited by the opportunity to bring Openet to our global customer base of more than 350 service providers, helping them to further succeed in the wave of 5G advancements around cloud, edge compute, IoT and new customer experiences. Overall, we believe Openet represents the right acquisition at the right time in the industry and we look forward to welcoming their innovative team of software professionals to Amdocs upon closing later in Q4.”</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Sheffer concluded, “Our 12-month backlog increased quarter-on-quarter and year-over-year in Q3. This supports a stronger fourth quarter revenue outlook than we previously forecasted, the midpoint of which includes the resumption of growth on a sequential basis. We are on-track to generate normalized free cash flow of $500 million in fiscal 2020, which is slightly better than the original guidance we provided at the beginning of the year. Moreover, we see an attractive and increasing pipeline of opportunity ahead, which we believe can sustain future long-term growth as we leverage our market-leading product offerings, track-record of execution, and pedigree for innovation. To add a final important point, I would like to recognize our global base of talented employees to whom we are thankful for the extraordinary professionalism and commitment they have shown during the global pandemic.”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for the third fiscal quarter ended June 30, 2020 was $1,026 million, down $22 million sequentially from the second fiscal quarter of 2020 and up 0.1% as reported and 1.0% in constant currency as compared to last year’s third fiscal quarter. Revenue for the third fiscal quarter of 2020 includes a negative impact from foreign currency movements of approximately $3 million relative to the second quarter of fiscal 2020. Revenue was above the midpoint of Amdocs’ guidance, also after adjusting for the positive impact of approximately $5 million of foreign currency movements relative to guidance.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GAAP net income for the third quarter of fiscal 2020 was $120.4 million, or $0.90 per diluted share, compared to GAAP net income of $131.4 million, or $0.96 per diluted share, in the prior fiscal year’s third quarter. Net income on a non-GAAP basis was $143.2 million, or $1.07 per diluted share, compared to non-GAAP net income of $163.1 million, or $1.19 per diluted share, in the third quarter of fiscal 2019. Non-GAAP net income excludes amortization of purchased intangible assets and other acquisition-related costs, changes in certain acquisitions related liabilities measured at fair value, equity-based compensation expenses and other, net of related tax effects, in the third quarter of fiscal 2020 and in the third quarter of fiscal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reconciliation of selected financial metrics from GAAP to Non-GAAP, please refer to the tables below.</w:t>
      </w:r>
    </w:p>
    <w:p>
      <w:pPr>
        <w:sectPr>
          <w:pgSz w:w="11900" w:h="16838" w:orient="portrait"/>
          <w:cols w:equalWidth="0" w:num="1">
            <w:col w:w="10920"/>
          </w:cols>
          <w:pgMar w:left="440" w:top="270"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Returning Cash to Shareholders</w:t>
      </w:r>
    </w:p>
    <w:p>
      <w:pPr>
        <w:spacing w:after="0" w:line="135" w:lineRule="exact"/>
        <w:rPr>
          <w:sz w:val="20"/>
          <w:szCs w:val="20"/>
          <w:color w:val="auto"/>
        </w:rPr>
      </w:pPr>
    </w:p>
    <w:p>
      <w:pPr>
        <w:ind w:left="960" w:right="2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August 5, 2020,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$0.3275 per share and set September 30, 2020 as the record date for determining the shareholders entitled to receive the dividend, which will be payable on October 23, 2020.</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$60 million of ordinary shares during the third quarter of fiscal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$3.48 billion at the end of the third quarter of fiscal 2020, up $20 million from the end of the prior quarter and up 2.4% as compared to last year’s third fiscal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2020 Outlook</w:t>
      </w:r>
    </w:p>
    <w:p>
      <w:pPr>
        <w:spacing w:after="0" w:line="135" w:lineRule="exact"/>
        <w:rPr>
          <w:sz w:val="20"/>
          <w:szCs w:val="20"/>
          <w:color w:val="auto"/>
        </w:rPr>
      </w:pPr>
    </w:p>
    <w:p>
      <w:pPr>
        <w:ind w:left="960" w:right="28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$1,015-$1,055 million, assuming approximately $4 million sequential positive impact from foreign currency fluctuations as compared to the third quarter of fiscal 2020. Fourth quarter fiscal 2020 guidance does not incorporate revenue from the announced acquisition of Openet as the transaction has not yet closed</w:t>
      </w:r>
    </w:p>
    <w:p>
      <w:pPr>
        <w:spacing w:after="0" w:line="89"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diluted EPS of approximately $0.95-$1.03. The impact of the announced acquisition of Openet on GAAP diluted EPS will not be known until after Amdocs completes the purchase price allocation</w:t>
      </w:r>
    </w:p>
    <w:p>
      <w:pPr>
        <w:spacing w:after="0" w:line="75" w:lineRule="exact"/>
        <w:rPr>
          <w:rFonts w:ascii="Arial" w:cs="Arial" w:eastAsia="Arial" w:hAnsi="Arial"/>
          <w:sz w:val="18"/>
          <w:szCs w:val="18"/>
          <w:color w:val="auto"/>
        </w:rPr>
      </w:pPr>
    </w:p>
    <w:p>
      <w:pPr>
        <w:ind w:left="960" w:right="4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EPS of approximately $1.16-$1.22, excluding amortization of purchased intangible assets and other acquisition-related costs, changes in certain acquisitions related liabilities measured at fair value, and approximately $0.06-$0.08 per share of equity-based compensation expense, net of related tax effects. The impact of the announced acquisition of Openet on Amdocs’ non-GAAP diluted earnings per share is expected to be neutral in the fourth quarter of fiscal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2020 Outlook</w:t>
      </w:r>
    </w:p>
    <w:p>
      <w:pPr>
        <w:spacing w:after="0" w:line="135"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growth of 1.1%-2.1% year-over-year on a reported basis as compared with (0.5%) -2.5% year-over-year previously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growth of 1.6%-2.6% year-over-year on a constant currency basis as compared with 0.5%-3.5% year-over-year previously</w:t>
      </w:r>
    </w:p>
    <w:p>
      <w:pPr>
        <w:spacing w:after="0" w:line="142" w:lineRule="exact"/>
        <w:rPr>
          <w:rFonts w:ascii="Arial" w:cs="Arial" w:eastAsia="Arial" w:hAnsi="Arial"/>
          <w:sz w:val="17"/>
          <w:szCs w:val="17"/>
          <w:color w:val="auto"/>
        </w:rPr>
      </w:pPr>
    </w:p>
    <w:p>
      <w:pPr>
        <w:ind w:left="96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Full year fiscal 2020 revenue guidance incorporates just over 1% of growth from the acquisition of TTS Wireless, and a negative impact from foreign currency fluctuations of approximately 0.5% as compared with an 1% negative impact year-over-year previously, but does not incorporate revenue from the announced acquisition of Openet as the transaction has not yet closed</w:t>
      </w:r>
    </w:p>
    <w:p>
      <w:pPr>
        <w:spacing w:after="0" w:line="70" w:lineRule="exact"/>
        <w:rPr>
          <w:rFonts w:ascii="Arial" w:cs="Arial" w:eastAsia="Arial" w:hAnsi="Arial"/>
          <w:sz w:val="17"/>
          <w:szCs w:val="17"/>
          <w:color w:val="auto"/>
        </w:rPr>
      </w:pPr>
    </w:p>
    <w:p>
      <w:pPr>
        <w:ind w:left="960" w:right="1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earnings per share growth of roughly 5.0%-7.5% year-over-year as compared with 4.0%-10.0% year-over-year previously. The impact of the announced acquisition of Openet on GAAP diluted EPS will not be known until after Amdocs completes the purchase price allocation</w:t>
      </w:r>
    </w:p>
    <w:p>
      <w:pPr>
        <w:spacing w:after="0" w:line="89" w:lineRule="exact"/>
        <w:rPr>
          <w:rFonts w:ascii="Arial" w:cs="Arial" w:eastAsia="Arial" w:hAnsi="Arial"/>
          <w:sz w:val="18"/>
          <w:szCs w:val="18"/>
          <w:color w:val="auto"/>
        </w:rPr>
      </w:pPr>
    </w:p>
    <w:p>
      <w:pPr>
        <w:ind w:left="960" w:right="20" w:hanging="424"/>
        <w:spacing w:after="0" w:line="25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earnings per share growth of roughly 1.6%-3.0% year-over-year as compared with 0.0%-4.0% year-over-year previously, excluding amortization of purchased intangible assets and other acquisition-related costs, changes in certain acquisitions related liabilities measured at fair value, and approximately $0.25-$0.27 per share of equity-based compensation expense, net of related tax effects. The impact of the announced acquisition of Openet on Amdocs’ non-GAAP diluted earnings per share is expected to be neutral in the full fiscal years 2020 and 2021, and accretive thereafter</w:t>
      </w:r>
    </w:p>
    <w:p>
      <w:pPr>
        <w:spacing w:after="0" w:line="93"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free cash flow of approximately $420 million as compared with $400 million previously disclosed, comprised of cash flow from operations, less net capital expenditures and other</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Reiterates normalized free cash flow of approximately $500 million; normalized free cash flow excludes capital expenditure of up to $70 million related to the new campus development in Israel, and other items, as compared with capital expenditure of up to $90 million previously disclosed</w:t>
      </w:r>
    </w:p>
    <w:p>
      <w:pPr>
        <w:sectPr>
          <w:pgSz w:w="11900" w:h="16838" w:orient="portrait"/>
          <w:cols w:equalWidth="0" w:num="1">
            <w:col w:w="11020"/>
          </w:cols>
          <w:pgMar w:left="440" w:top="270" w:right="439" w:bottom="1440" w:gutter="0" w:footer="0" w:header="0"/>
        </w:sectPr>
      </w:pPr>
    </w:p>
    <w:bookmarkStart w:id="6" w:name="page7"/>
    <w:bookmarkEnd w:id="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fourth fiscal quarter 2020 and full year fiscal 2020 outlook takes into consideration the Company’s current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the COVID-19 pandemic, which has created a significant amount of uncertainty, and from T-Mobile’s recently completed merger with Sprint, or from other current and potential customer consolidation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Amdocs will host a conference call on August 5, 2020 at 5:00 p.m. Eastern Time to discuss the Company’s third quarter of fiscal 2020 results. To participate, please dial +1 (844) 513-7152, or +1 (508) 637-5600 outside the United States, approximately 15 minutes before the call and enter passcode 3378515. The call will also be carried live on the Internet via the Amdocs website, www.amdocs.com.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6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0960"/>
          </w:cols>
          <w:pgMar w:left="440" w:top="274" w:right="499" w:bottom="1440" w:gutter="0" w:footer="0" w:header="0"/>
        </w:sectPr>
      </w:pPr>
    </w:p>
    <w:bookmarkStart w:id="7" w:name="page8"/>
    <w:bookmarkEnd w:id="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25,000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$4.1 billion in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2019 filed on December 16, 2019 and our Form 6-K furnished for the first quarter of fiscal 2020 on February 18, 2020 and for the second quarter of fiscal 2020 on May 18,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980"/>
          </w:cols>
          <w:pgMar w:left="440" w:top="274" w:right="4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1,024,704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3,116,091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3,056,416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664,862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2,052,007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1,986,043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68,376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206,199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203,827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367,411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2,668,271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2,630,824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142,320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138,361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63,870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138,126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6"/>
              </w:rPr>
              <w:t>June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$1,026,201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$1,024,704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$3,116,091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$3,056,416</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w w:val="98"/>
              </w:rPr>
              <w:t>175,476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177,289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529,900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8"/>
              </w:rPr>
              <w:t>143,198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163,126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447,952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3.23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98"/>
              </w:rPr>
              <w:t>133,593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137,082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138,769</w:t>
            </w:r>
          </w:p>
        </w:tc>
      </w:tr>
      <w:tr>
        <w:trPr>
          <w:trHeight w:val="630"/>
        </w:trPr>
        <w:tc>
          <w:tcPr>
            <w:tcW w:w="7960" w:type="dxa"/>
            <w:vAlign w:val="bottom"/>
            <w:gridSpan w:val="8"/>
          </w:tcPr>
          <w:p>
            <w:pPr>
              <w:jc w:val="center"/>
              <w:ind w:left="2950"/>
              <w:spacing w:after="0"/>
              <w:rPr>
                <w:sz w:val="20"/>
                <w:szCs w:val="20"/>
                <w:color w:val="auto"/>
              </w:rPr>
            </w:pPr>
            <w:r>
              <w:rPr>
                <w:rFonts w:ascii="Arial" w:cs="Arial" w:eastAsia="Arial" w:hAnsi="Arial"/>
                <w:sz w:val="18"/>
                <w:szCs w:val="18"/>
                <w:b w:val="1"/>
                <w:bCs w:val="1"/>
                <w:color w:val="auto"/>
                <w:w w:val="90"/>
              </w:rPr>
              <w:t>Free Cash Flows and Normalized Free Cash Flow</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4920" w:type="dxa"/>
            <w:vAlign w:val="bottom"/>
          </w:tcPr>
          <w:p>
            <w:pPr>
              <w:spacing w:after="0"/>
              <w:rPr>
                <w:sz w:val="20"/>
                <w:szCs w:val="20"/>
                <w:color w:val="auto"/>
              </w:rPr>
            </w:pPr>
          </w:p>
        </w:tc>
        <w:tc>
          <w:tcPr>
            <w:tcW w:w="212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4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tcPr>
          <w:p>
            <w:pPr>
              <w:jc w:val="center"/>
              <w:ind w:left="536"/>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$186,680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$164,473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$ 453,456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$442,752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(41,250)</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(145,955)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(93,761)</w:t>
            </w: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348,991</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Payments for legal dispute settlement</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Payments of acquisition related liabilities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7,667</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14,394</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0"/>
              </w:rPr>
              <w:t>Net capital expenditures related to the new campus development (*)</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(2,206)</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Normalized Free Cash Flow</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168,841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$ 365,599</w:t>
            </w:r>
          </w:p>
        </w:tc>
        <w:tc>
          <w:tcPr>
            <w:tcW w:w="1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423,846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7" w:lineRule="exact"/>
        <w:rPr>
          <w:sz w:val="20"/>
          <w:szCs w:val="20"/>
          <w:color w:val="auto"/>
        </w:rPr>
      </w:pPr>
    </w:p>
    <w:p>
      <w:pPr>
        <w:ind w:left="424" w:right="300" w:hanging="424"/>
        <w:spacing w:after="0" w:line="259"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and the amounts under “Net capital expenditures related to the new campus development”, include proceeds from sale of property and equipment of $133 and $74, for the nine months ended June 30, 2020 and 2019, respectively, and proceeds of $9,676 relating to the refund of betterment levy, for the nine months ended June 30, 2019 ($4,776 of which was a refund to the noncontrolling interests).</w:t>
      </w:r>
    </w:p>
    <w:p>
      <w:pPr>
        <w:sectPr>
          <w:pgSz w:w="11900" w:h="16838" w:orient="portrait"/>
          <w:cols w:equalWidth="0" w:num="1">
            <w:col w:w="11024"/>
          </w:cols>
          <w:pgMar w:left="436"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5"/>
          </w:tcPr>
          <w:p>
            <w:pPr>
              <w:ind w:left="80"/>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w w:val="96"/>
              </w:rPr>
              <w:t>Reconciliation items</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6"/>
          </w:tcPr>
          <w:p>
            <w:pPr>
              <w:jc w:val="center"/>
              <w:ind w:right="217"/>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0"/>
              </w:rPr>
              <w:t>Changes in certain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5"/>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purchased</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2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5"/>
          </w:tcPr>
          <w:p>
            <w:pPr>
              <w:jc w:val="center"/>
              <w:ind w:right="357"/>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acquisitions related</w:t>
            </w:r>
          </w:p>
        </w:tc>
        <w:tc>
          <w:tcPr>
            <w:tcW w:w="80" w:type="dxa"/>
            <w:vAlign w:val="bottom"/>
          </w:tcPr>
          <w:p>
            <w:pPr>
              <w:spacing w:after="0"/>
              <w:rPr>
                <w:sz w:val="12"/>
                <w:szCs w:val="12"/>
                <w:color w:val="auto"/>
              </w:rPr>
            </w:pPr>
          </w:p>
        </w:tc>
        <w:tc>
          <w:tcPr>
            <w:tcW w:w="66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5"/>
          </w:tcPr>
          <w:p>
            <w:pPr>
              <w:jc w:val="center"/>
              <w:ind w:right="357"/>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50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liabilities measured</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457"/>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4"/>
                <w:szCs w:val="14"/>
                <w:color w:val="auto"/>
              </w:rPr>
            </w:pPr>
          </w:p>
        </w:tc>
        <w:tc>
          <w:tcPr>
            <w:tcW w:w="1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at fair value</w:t>
            </w:r>
          </w:p>
        </w:tc>
        <w:tc>
          <w:tcPr>
            <w:tcW w:w="80" w:type="dxa"/>
            <w:vAlign w:val="bottom"/>
          </w:tcPr>
          <w:p>
            <w:pPr>
              <w:spacing w:after="0"/>
              <w:rPr>
                <w:sz w:val="14"/>
                <w:szCs w:val="14"/>
                <w:color w:val="auto"/>
              </w:rPr>
            </w:pPr>
          </w:p>
        </w:tc>
        <w:tc>
          <w:tcPr>
            <w:tcW w:w="66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0"/>
              </w:rPr>
              <w:t>effect</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$681,725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(4,985)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356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$ 677,096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70,093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69,382</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109,612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104,247</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Amortization of purchased intangible assets and 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57"/>
              <w:spacing w:after="0"/>
              <w:rPr>
                <w:sz w:val="20"/>
                <w:szCs w:val="20"/>
                <w:color w:val="auto"/>
              </w:rPr>
            </w:pPr>
            <w:r>
              <w:rPr>
                <w:rFonts w:ascii="Arial" w:cs="Arial" w:eastAsia="Arial" w:hAnsi="Arial"/>
                <w:sz w:val="18"/>
                <w:szCs w:val="18"/>
                <w:color w:val="auto"/>
              </w:rPr>
              <w:t>(17,240)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878,670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(17,240)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356</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850,725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147,531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17"/>
              <w:spacing w:after="0"/>
              <w:rPr>
                <w:sz w:val="20"/>
                <w:szCs w:val="20"/>
                <w:color w:val="auto"/>
              </w:rPr>
            </w:pPr>
            <w:r>
              <w:rPr>
                <w:rFonts w:ascii="Arial" w:cs="Arial" w:eastAsia="Arial" w:hAnsi="Arial"/>
                <w:sz w:val="18"/>
                <w:szCs w:val="18"/>
                <w:color w:val="auto"/>
              </w:rPr>
              <w:t>17,240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175,476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24,707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17"/>
              <w:spacing w:after="0"/>
              <w:rPr>
                <w:sz w:val="20"/>
                <w:szCs w:val="20"/>
                <w:color w:val="auto"/>
              </w:rPr>
            </w:pPr>
            <w:r>
              <w:rPr>
                <w:rFonts w:ascii="Arial" w:cs="Arial" w:eastAsia="Arial" w:hAnsi="Arial"/>
                <w:sz w:val="18"/>
                <w:szCs w:val="18"/>
                <w:color w:val="auto"/>
              </w:rPr>
              <w:t>17,240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11,061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1"/>
              </w:rPr>
              <w:t>(5,154)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$ 143,198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8"/>
          </w:tcPr>
          <w:p>
            <w:pPr>
              <w:jc w:val="right"/>
              <w:ind w:right="5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jc w:val="center"/>
              <w:ind w:right="48"/>
              <w:spacing w:after="0" w:line="119" w:lineRule="exact"/>
              <w:rPr>
                <w:sz w:val="20"/>
                <w:szCs w:val="20"/>
                <w:color w:val="auto"/>
              </w:rPr>
            </w:pPr>
            <w:r>
              <w:rPr>
                <w:rFonts w:ascii="Arial" w:cs="Arial" w:eastAsia="Arial" w:hAnsi="Arial"/>
                <w:sz w:val="13"/>
                <w:szCs w:val="13"/>
                <w:b w:val="1"/>
                <w:bCs w:val="1"/>
                <w:color w:val="auto"/>
              </w:rPr>
              <w:t>Amortization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purchased</w:t>
            </w:r>
          </w:p>
        </w:tc>
        <w:tc>
          <w:tcPr>
            <w:tcW w:w="16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Equity based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intangible</w:t>
            </w: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148"/>
              <w:spacing w:after="0" w:line="149" w:lineRule="exact"/>
              <w:rPr>
                <w:sz w:val="20"/>
                <w:szCs w:val="20"/>
                <w:color w:val="auto"/>
              </w:rPr>
            </w:pPr>
            <w:r>
              <w:rPr>
                <w:rFonts w:ascii="Arial" w:cs="Arial" w:eastAsia="Arial" w:hAnsi="Arial"/>
                <w:sz w:val="14"/>
                <w:szCs w:val="14"/>
                <w:b w:val="1"/>
                <w:bCs w:val="1"/>
                <w:color w:val="auto"/>
                <w:w w:val="85"/>
              </w:rPr>
              <w:t>assets and</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5"/>
          </w:tcPr>
          <w:p>
            <w:pPr>
              <w:ind w:left="220"/>
              <w:spacing w:after="0"/>
              <w:rPr>
                <w:sz w:val="20"/>
                <w:szCs w:val="20"/>
                <w:color w:val="auto"/>
              </w:rPr>
            </w:pPr>
            <w:r>
              <w:rPr>
                <w:rFonts w:ascii="Arial" w:cs="Arial" w:eastAsia="Arial" w:hAnsi="Arial"/>
                <w:sz w:val="14"/>
                <w:szCs w:val="14"/>
                <w:b w:val="1"/>
                <w:bCs w:val="1"/>
                <w:color w:val="auto"/>
              </w:rPr>
              <w:t>at fair 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0"/>
              </w:rPr>
              <w:t>effect</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$664,862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8"/>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(5,080)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(2,076)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$ 657,706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67,768</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125,088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121,941</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Amortization of purchased intangible assets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882,384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(24,058)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(2,076)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177,289</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(2,025)</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5,316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131,448</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24,058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2,025</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(5,316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$ 163,126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6"/>
          </w:tcPr>
          <w:p>
            <w:pPr>
              <w:jc w:val="center"/>
              <w:ind w:right="190"/>
              <w:spacing w:after="0" w:line="119" w:lineRule="exact"/>
              <w:rPr>
                <w:sz w:val="20"/>
                <w:szCs w:val="20"/>
                <w:color w:val="auto"/>
              </w:rPr>
            </w:pPr>
            <w:r>
              <w:rPr>
                <w:rFonts w:ascii="Arial" w:cs="Arial" w:eastAsia="Arial" w:hAnsi="Arial"/>
                <w:sz w:val="13"/>
                <w:szCs w:val="13"/>
                <w:b w:val="1"/>
                <w:bCs w:val="1"/>
                <w:color w:val="auto"/>
              </w:rPr>
              <w:t>Amortization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purchased</w:t>
            </w:r>
          </w:p>
        </w:tc>
        <w:tc>
          <w:tcPr>
            <w:tcW w:w="60" w:type="dxa"/>
            <w:vAlign w:val="bottom"/>
          </w:tcPr>
          <w:p>
            <w:pPr>
              <w:spacing w:after="0"/>
              <w:rPr>
                <w:sz w:val="12"/>
                <w:szCs w:val="12"/>
                <w:color w:val="auto"/>
              </w:rPr>
            </w:pPr>
          </w:p>
        </w:tc>
        <w:tc>
          <w:tcPr>
            <w:tcW w:w="10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87"/>
              </w:rPr>
              <w:t>Equity based</w:t>
            </w:r>
          </w:p>
        </w:tc>
        <w:tc>
          <w:tcPr>
            <w:tcW w:w="4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intangible</w:t>
            </w:r>
          </w:p>
        </w:tc>
        <w:tc>
          <w:tcPr>
            <w:tcW w:w="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241"/>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260" w:type="dxa"/>
            <w:vAlign w:val="bottom"/>
            <w:gridSpan w:val="6"/>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assets and</w:t>
            </w:r>
          </w:p>
        </w:tc>
        <w:tc>
          <w:tcPr>
            <w:tcW w:w="6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2"/>
                <w:szCs w:val="12"/>
                <w:color w:val="auto"/>
              </w:rPr>
            </w:pPr>
          </w:p>
        </w:tc>
        <w:tc>
          <w:tcPr>
            <w:tcW w:w="14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other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4"/>
                <w:szCs w:val="14"/>
                <w:color w:val="auto"/>
              </w:rPr>
            </w:pPr>
          </w:p>
        </w:tc>
        <w:tc>
          <w:tcPr>
            <w:tcW w:w="1400" w:type="dxa"/>
            <w:vAlign w:val="bottom"/>
            <w:gridSpan w:val="6"/>
          </w:tcPr>
          <w:p>
            <w:pPr>
              <w:ind w:left="240"/>
              <w:spacing w:after="0"/>
              <w:rPr>
                <w:sz w:val="20"/>
                <w:szCs w:val="20"/>
                <w:color w:val="auto"/>
              </w:rPr>
            </w:pPr>
            <w:r>
              <w:rPr>
                <w:rFonts w:ascii="Arial" w:cs="Arial" w:eastAsia="Arial" w:hAnsi="Arial"/>
                <w:sz w:val="14"/>
                <w:szCs w:val="14"/>
                <w:b w:val="1"/>
                <w:bCs w:val="1"/>
                <w:color w:val="auto"/>
              </w:rPr>
              <w:t>at 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85"/>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740" w:type="dxa"/>
            <w:vAlign w:val="bottom"/>
            <w:gridSpan w:val="6"/>
          </w:tcPr>
          <w:p>
            <w:pPr>
              <w:jc w:val="right"/>
              <w:ind w:right="140"/>
              <w:spacing w:after="0"/>
              <w:rPr>
                <w:sz w:val="20"/>
                <w:szCs w:val="20"/>
                <w:color w:val="auto"/>
              </w:rPr>
            </w:pPr>
            <w:r>
              <w:rPr>
                <w:rFonts w:ascii="Arial" w:cs="Arial" w:eastAsia="Arial" w:hAnsi="Arial"/>
                <w:sz w:val="18"/>
                <w:szCs w:val="18"/>
                <w:color w:val="auto"/>
              </w:rPr>
              <w:t>$2,052,007</w:t>
            </w:r>
          </w:p>
        </w:tc>
        <w:tc>
          <w:tcPr>
            <w:tcW w:w="30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(15,024)</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8"/>
              </w:rPr>
              <w:t>4,328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$2,041,311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206,199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203,962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352,187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(15,309)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336,878</w:t>
            </w:r>
          </w:p>
        </w:tc>
        <w:tc>
          <w:tcPr>
            <w:tcW w:w="0" w:type="dxa"/>
            <w:vAlign w:val="bottom"/>
          </w:tcPr>
          <w:p>
            <w:pPr>
              <w:spacing w:after="0"/>
              <w:rPr>
                <w:sz w:val="1"/>
                <w:szCs w:val="1"/>
                <w:color w:val="auto"/>
              </w:rPr>
            </w:pPr>
          </w:p>
        </w:tc>
      </w:tr>
      <w:tr>
        <w:trPr>
          <w:trHeight w:val="202"/>
        </w:trPr>
        <w:tc>
          <w:tcPr>
            <w:tcW w:w="4340" w:type="dxa"/>
            <w:vAlign w:val="bottom"/>
            <w:tcBorders>
              <w:right w:val="single" w:sz="8" w:color="CCEEFF"/>
            </w:tcBorders>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 assets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57,878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(57,878)</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2,668,271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(57,878)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(32,570)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4,328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2,582,151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447,820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57,878</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1"/>
              </w:rPr>
              <w:t>(4,328)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533,940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79,384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363,377</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57,878</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32,570</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1"/>
              </w:rPr>
              <w:t>(4,328)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89"/>
              </w:rPr>
              <w:t>(16,455)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433,042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June 30, 2019</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8"/>
          </w:tcPr>
          <w:p>
            <w:pPr>
              <w:ind w:left="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rPr>
              <w:t>Amortization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purchased</w:t>
            </w:r>
          </w:p>
        </w:tc>
        <w:tc>
          <w:tcPr>
            <w:tcW w:w="180" w:type="dxa"/>
            <w:vAlign w:val="bottom"/>
          </w:tcPr>
          <w:p>
            <w:pPr>
              <w:spacing w:after="0"/>
              <w:rPr>
                <w:sz w:val="12"/>
                <w:szCs w:val="12"/>
                <w:color w:val="auto"/>
              </w:rPr>
            </w:pPr>
          </w:p>
        </w:tc>
        <w:tc>
          <w:tcPr>
            <w:tcW w:w="9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8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221"/>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80" w:type="dxa"/>
            <w:vAlign w:val="bottom"/>
          </w:tcPr>
          <w:p>
            <w:pPr>
              <w:spacing w:after="0"/>
              <w:rPr>
                <w:sz w:val="12"/>
                <w:szCs w:val="12"/>
                <w:color w:val="auto"/>
              </w:rPr>
            </w:pPr>
          </w:p>
        </w:tc>
        <w:tc>
          <w:tcPr>
            <w:tcW w:w="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80" w:type="dxa"/>
            <w:vAlign w:val="bottom"/>
          </w:tcPr>
          <w:p>
            <w:pPr>
              <w:spacing w:after="0"/>
              <w:rPr>
                <w:sz w:val="12"/>
                <w:szCs w:val="12"/>
                <w:color w:val="auto"/>
              </w:rPr>
            </w:pPr>
          </w:p>
        </w:tc>
        <w:tc>
          <w:tcPr>
            <w:tcW w:w="14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2"/>
              </w:rPr>
              <w:t>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4"/>
                <w:szCs w:val="14"/>
                <w:b w:val="1"/>
                <w:bCs w:val="1"/>
                <w:color w:val="auto"/>
              </w:rPr>
              <w:t>at fair value</w:t>
            </w:r>
          </w:p>
        </w:tc>
        <w:tc>
          <w:tcPr>
            <w:tcW w:w="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Cost of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$1,986,043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(15,261)</w:t>
            </w:r>
          </w:p>
        </w:tc>
        <w:tc>
          <w:tcPr>
            <w:tcW w:w="700" w:type="dxa"/>
            <w:vAlign w:val="bottom"/>
            <w:gridSpan w:val="2"/>
          </w:tcPr>
          <w:p>
            <w:pPr>
              <w:jc w:val="right"/>
              <w:ind w:right="36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(199)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$1,970,583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203,827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201,870</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367,411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(13,348)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354,063</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w:t>
            </w:r>
          </w:p>
        </w:tc>
        <w:tc>
          <w:tcPr>
            <w:tcW w:w="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assets and other</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73,543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(73,543)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2,630,824</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(73,543)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(30,566)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76"/>
              </w:rPr>
              <w:t>(199)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2,526,516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425,592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73,543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30,566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529,900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w w:val="98"/>
              </w:rPr>
              <w:t>15,800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79,670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357,419</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73,543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w w:val="86"/>
              </w:rPr>
              <w:t>199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(15,800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980" w:type="dxa"/>
            <w:vAlign w:val="bottom"/>
          </w:tcPr>
          <w:p>
            <w:pPr>
              <w:spacing w:after="0"/>
              <w:rPr>
                <w:sz w:val="10"/>
                <w:szCs w:val="10"/>
                <w:color w:val="auto"/>
              </w:rPr>
            </w:pPr>
          </w:p>
        </w:tc>
        <w:tc>
          <w:tcPr>
            <w:tcW w:w="84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$1,194,043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471,632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Accounts receivable, net, including unbilled of $182,847 and $227,061, respectively</w:t>
            </w:r>
          </w:p>
        </w:tc>
        <w:tc>
          <w:tcPr>
            <w:tcW w:w="840" w:type="dxa"/>
            <w:vAlign w:val="bottom"/>
          </w:tcPr>
          <w:p>
            <w:pPr>
              <w:jc w:val="right"/>
              <w:spacing w:after="0"/>
              <w:rPr>
                <w:sz w:val="20"/>
                <w:szCs w:val="20"/>
                <w:color w:val="auto"/>
              </w:rPr>
            </w:pPr>
            <w:r>
              <w:rPr>
                <w:rFonts w:ascii="Arial" w:cs="Arial" w:eastAsia="Arial" w:hAnsi="Arial"/>
                <w:sz w:val="18"/>
                <w:szCs w:val="18"/>
                <w:color w:val="auto"/>
              </w:rPr>
              <w:t>952,543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987,858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216,084</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2,399,297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1,675,574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525,314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Lease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304,501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2,667,997</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454,284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6,384,355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5,292,826</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$1,020,404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1,089,748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Lease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62,549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1,306,957</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1,207,930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840" w:type="dxa"/>
            <w:vAlign w:val="bottom"/>
          </w:tcPr>
          <w:p>
            <w:pPr>
              <w:jc w:val="right"/>
              <w:spacing w:after="0"/>
              <w:rPr>
                <w:sz w:val="20"/>
                <w:szCs w:val="20"/>
                <w:color w:val="auto"/>
              </w:rPr>
            </w:pPr>
            <w:r>
              <w:rPr>
                <w:rFonts w:ascii="Arial" w:cs="Arial" w:eastAsia="Arial" w:hAnsi="Arial"/>
                <w:sz w:val="18"/>
                <w:szCs w:val="18"/>
                <w:color w:val="auto"/>
              </w:rPr>
              <w:t>643,798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542,430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Total Amdocs Limited Shareholders’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3,604,658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3,499,957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3,647,167</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3,542,466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6,384,355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5,292,826</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2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9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363,377</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$ 357,419</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144,715</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155,258</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32,570</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30,566</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43,916</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(9,455)</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538</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22,721</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(12,603)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4,655</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(14,110)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3,370</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(9,869)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(98,670)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(79,232)</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(36,192)</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(13,752)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(4,605)</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442,752</w:t>
            </w:r>
          </w:p>
        </w:tc>
        <w:tc>
          <w:tcPr>
            <w:tcW w:w="120" w:type="dxa"/>
            <w:vAlign w:val="bottom"/>
          </w:tcPr>
          <w:p>
            <w:pPr>
              <w:spacing w:after="0"/>
              <w:rPr>
                <w:sz w:val="20"/>
                <w:szCs w:val="20"/>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 (*)</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(145,955)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(93,761)</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51,473</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(29,258)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(8,782)</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(5,290)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(180,503)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(49,954)</w:t>
            </w:r>
          </w:p>
        </w:tc>
        <w:tc>
          <w:tcPr>
            <w:tcW w:w="120" w:type="dxa"/>
            <w:vAlign w:val="bottom"/>
          </w:tcPr>
          <w:p>
            <w:pPr>
              <w:spacing w:after="0"/>
              <w:rPr>
                <w:sz w:val="20"/>
                <w:szCs w:val="20"/>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financing arrangements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(350,000)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Proceeds from issuance of debt,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645,685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(270,062)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(308,036)</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95,979</w:t>
            </w:r>
          </w:p>
        </w:tc>
        <w:tc>
          <w:tcPr>
            <w:tcW w:w="1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25,706</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(120,493)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(108,886)</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Investment by noncontrolling interests, net (*)</w:t>
            </w: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(4,776)</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(7,470)</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(240)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r>
      <w:tr>
        <w:trPr>
          <w:trHeight w:val="27"/>
        </w:trPr>
        <w:tc>
          <w:tcPr>
            <w:tcW w:w="12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(403,793)</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471,632</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418,783</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1,194,043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$ 407,788</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424" w:right="3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$133 and $74, for the nine months ended June 30, 2020 and 2019, respectively, and proceeds of $9,676 relating to the refund of betterment levy for the nine months ended June 30, 2019 ($4,776 of which was a refund to the noncontrolling interests).</w:t>
      </w:r>
    </w:p>
    <w:p>
      <w:pPr>
        <w:sectPr>
          <w:pgSz w:w="11900" w:h="16838" w:orient="portrait"/>
          <w:cols w:equalWidth="0" w:num="1">
            <w:col w:w="11024"/>
          </w:cols>
          <w:pgMar w:left="436"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685.9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643.9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Europe</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148.3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154.7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145.5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1,042.0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1,024.7</w:t>
            </w:r>
          </w:p>
        </w:tc>
        <w:tc>
          <w:tcPr>
            <w:tcW w:w="6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6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jc w:val="center"/>
              <w:ind w:right="22"/>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240" w:type="dxa"/>
            <w:vAlign w:val="bottom"/>
          </w:tcPr>
          <w:p>
            <w:pPr>
              <w:spacing w:after="0"/>
              <w:rPr>
                <w:sz w:val="10"/>
                <w:szCs w:val="10"/>
                <w:color w:val="auto"/>
              </w:rPr>
            </w:pPr>
          </w:p>
        </w:tc>
        <w:tc>
          <w:tcPr>
            <w:tcW w:w="7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8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10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left="141"/>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$604.5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$578.1</w:t>
            </w:r>
          </w:p>
        </w:tc>
        <w:tc>
          <w:tcPr>
            <w:tcW w:w="60" w:type="dxa"/>
            <w:vAlign w:val="bottom"/>
            <w:tcBorders>
              <w:top w:val="single" w:sz="8" w:color="CCEEFF"/>
            </w:tcBorders>
            <w:shd w:val="clear" w:color="auto" w:fill="CCEEFF"/>
          </w:tcPr>
          <w:p>
            <w:pPr>
              <w:spacing w:after="0"/>
              <w:rPr>
                <w:sz w:val="18"/>
                <w:szCs w:val="18"/>
                <w:color w:val="auto"/>
              </w:rPr>
            </w:pPr>
          </w:p>
        </w:tc>
      </w:tr>
      <w:tr>
        <w:trPr>
          <w:trHeight w:val="392"/>
        </w:trPr>
        <w:tc>
          <w:tcPr>
            <w:tcW w:w="6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240" w:type="dxa"/>
            <w:vAlign w:val="bottom"/>
          </w:tcPr>
          <w:p>
            <w:pPr>
              <w:spacing w:after="0"/>
              <w:rPr>
                <w:sz w:val="10"/>
                <w:szCs w:val="10"/>
                <w:color w:val="auto"/>
              </w:rPr>
            </w:pPr>
          </w:p>
        </w:tc>
        <w:tc>
          <w:tcPr>
            <w:tcW w:w="7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8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10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left="141"/>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$3,480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2020-08-06T05:18:23Z</dcterms:created>
  <dcterms:modified xsi:type="dcterms:W3CDTF">2020-08-06T05:18:23Z</dcterms:modified>
</cp:coreProperties>
</file>