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3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 20-F/A</w:t>
      </w:r>
    </w:p>
    <w:p>
      <w:pPr>
        <w:spacing w:after="0" w:line="3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AMENDMENT NO. 1</w:t>
      </w:r>
    </w:p>
    <w:p>
      <w:pPr>
        <w:spacing w:after="0" w:line="169" w:lineRule="exact"/>
        <w:rPr>
          <w:sz w:val="24"/>
          <w:szCs w:val="24"/>
          <w:color w:val="auto"/>
        </w:rPr>
      </w:pPr>
    </w:p>
    <w:p>
      <w:pPr>
        <w:ind w:left="540" w:right="1999" w:hanging="532"/>
        <w:spacing w:after="0" w:line="257"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REGISTRATION STATEMENT PURSUANT TO SECTION 12(b) OR (g) OF THE SECURITIES EXCHANGE ACT OF 1934</w:t>
      </w:r>
    </w:p>
    <w:p>
      <w:pPr>
        <w:ind w:left="4120"/>
        <w:spacing w:after="0"/>
        <w:rPr>
          <w:sz w:val="20"/>
          <w:szCs w:val="20"/>
          <w:color w:val="auto"/>
        </w:rPr>
      </w:pPr>
      <w:r>
        <w:rPr>
          <w:rFonts w:ascii="Courier New" w:cs="Courier New" w:eastAsia="Courier New" w:hAnsi="Courier New"/>
          <w:sz w:val="18"/>
          <w:szCs w:val="18"/>
          <w:color w:val="auto"/>
        </w:rPr>
        <w:t>OR</w:t>
      </w:r>
    </w:p>
    <w:p>
      <w:pPr>
        <w:spacing w:after="0" w:line="169" w:lineRule="exact"/>
        <w:rPr>
          <w:sz w:val="24"/>
          <w:szCs w:val="24"/>
          <w:color w:val="auto"/>
        </w:rPr>
      </w:pPr>
    </w:p>
    <w:p>
      <w:pPr>
        <w:ind w:left="540" w:right="2099" w:hanging="532"/>
        <w:spacing w:after="0" w:line="25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FISCAL YEAR ENDED SEPTEMBER 30, 2003</w:t>
      </w:r>
    </w:p>
    <w:p>
      <w:pPr>
        <w:spacing w:after="0" w:line="169"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420" w:right="1779" w:hanging="412"/>
        <w:spacing w:after="0" w:line="257"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TRANSITION PERIOD FROM ________ TO ________.</w:t>
      </w:r>
    </w:p>
    <w:p>
      <w:pPr>
        <w:spacing w:after="0" w:line="16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ISLAND OF GUERNSEY</w:t>
      </w:r>
    </w:p>
    <w:p>
      <w:pPr>
        <w:spacing w:after="0" w:line="2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(Jurisdiction of incorporation or organization)</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SUITE 5, TOWER HILL HOUSE LE BORDAGE</w:t>
      </w:r>
    </w:p>
    <w:p>
      <w:pPr>
        <w:spacing w:after="0" w:line="29"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ST. PETER PORT, ISLAND OF GUERNSEY, GY1 3QT CHANNEL ISLANDS</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AMDOCS, INC.</w:t>
      </w:r>
    </w:p>
    <w:p>
      <w:pPr>
        <w:jc w:val="center"/>
        <w:ind w:right="1899"/>
        <w:spacing w:after="0"/>
        <w:rPr>
          <w:sz w:val="20"/>
          <w:szCs w:val="20"/>
          <w:color w:val="auto"/>
        </w:rPr>
      </w:pPr>
      <w:r>
        <w:rPr>
          <w:rFonts w:ascii="Courier New" w:cs="Courier New" w:eastAsia="Courier New" w:hAnsi="Courier New"/>
          <w:sz w:val="18"/>
          <w:szCs w:val="18"/>
          <w:color w:val="auto"/>
        </w:rPr>
        <w:t>1390 TIMBERLAKE MANOR PARKWAY, CHESTERFIELD, MISSOURI 63017</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169"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Securities registered or to be registered pursuant to Section 12(b) of the</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Act:</w:t>
      </w:r>
    </w:p>
    <w:p>
      <w:pPr>
        <w:spacing w:after="0" w:line="169"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TITLE OF</w:t>
      </w:r>
    </w:p>
    <w:p>
      <w:pPr>
        <w:spacing w:after="0" w:line="31"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EACH CLASS</w:t>
      </w:r>
    </w:p>
    <w:p>
      <w:pPr>
        <w:spacing w:after="0" w:line="20"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NAME OF</w:t>
      </w:r>
    </w:p>
    <w:p>
      <w:pPr>
        <w:jc w:val="center"/>
        <w:ind w:right="9159"/>
        <w:spacing w:after="0" w:line="238" w:lineRule="auto"/>
        <w:rPr>
          <w:sz w:val="20"/>
          <w:szCs w:val="20"/>
          <w:color w:val="auto"/>
        </w:rPr>
      </w:pPr>
      <w:r>
        <w:rPr>
          <w:rFonts w:ascii="Courier New" w:cs="Courier New" w:eastAsia="Courier New" w:hAnsi="Courier New"/>
          <w:sz w:val="18"/>
          <w:szCs w:val="18"/>
          <w:color w:val="auto"/>
        </w:rPr>
        <w:t>EXCHANGE</w:t>
      </w:r>
    </w:p>
    <w:p>
      <w:pPr>
        <w:jc w:val="center"/>
        <w:ind w:right="9159"/>
        <w:spacing w:after="0"/>
        <w:rPr>
          <w:sz w:val="20"/>
          <w:szCs w:val="20"/>
          <w:color w:val="auto"/>
        </w:rPr>
      </w:pPr>
      <w:r>
        <w:rPr>
          <w:rFonts w:ascii="Courier New" w:cs="Courier New" w:eastAsia="Courier New" w:hAnsi="Courier New"/>
          <w:sz w:val="18"/>
          <w:szCs w:val="18"/>
          <w:color w:val="auto"/>
        </w:rPr>
        <w:t>ON WHICH</w:t>
      </w:r>
    </w:p>
    <w:p>
      <w:pPr>
        <w:jc w:val="center"/>
        <w:ind w:right="9159"/>
        <w:spacing w:after="0"/>
        <w:rPr>
          <w:sz w:val="20"/>
          <w:szCs w:val="20"/>
          <w:color w:val="auto"/>
        </w:rPr>
      </w:pPr>
      <w:r>
        <w:rPr>
          <w:rFonts w:ascii="Courier New" w:cs="Courier New" w:eastAsia="Courier New" w:hAnsi="Courier New"/>
          <w:sz w:val="16"/>
          <w:szCs w:val="16"/>
          <w:color w:val="auto"/>
        </w:rPr>
        <w:t>REGISTERED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Ordinary</w:t>
      </w:r>
    </w:p>
    <w:p>
      <w:pPr>
        <w:ind w:left="160"/>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9159"/>
        <w:spacing w:after="0"/>
        <w:rPr>
          <w:sz w:val="20"/>
          <w:szCs w:val="20"/>
          <w:color w:val="auto"/>
        </w:rPr>
      </w:pPr>
      <w:r>
        <w:rPr>
          <w:rFonts w:ascii="Courier New" w:cs="Courier New" w:eastAsia="Courier New" w:hAnsi="Courier New"/>
          <w:sz w:val="18"/>
          <w:szCs w:val="18"/>
          <w:color w:val="auto"/>
        </w:rPr>
        <w:t>par value</w:t>
      </w:r>
    </w:p>
    <w:p>
      <w:pPr>
        <w:jc w:val="center"/>
        <w:ind w:right="9159"/>
        <w:spacing w:after="0" w:line="238" w:lineRule="auto"/>
        <w:rPr>
          <w:sz w:val="20"/>
          <w:szCs w:val="20"/>
          <w:color w:val="auto"/>
        </w:rPr>
      </w:pPr>
      <w:r>
        <w:rPr>
          <w:rFonts w:ascii="Courier New" w:cs="Courier New" w:eastAsia="Courier New" w:hAnsi="Courier New"/>
          <w:sz w:val="18"/>
          <w:szCs w:val="18"/>
          <w:color w:val="auto"/>
        </w:rPr>
        <w:t>L0.01 New</w:t>
      </w:r>
    </w:p>
    <w:p>
      <w:pPr>
        <w:jc w:val="center"/>
        <w:ind w:right="9159"/>
        <w:spacing w:after="0"/>
        <w:rPr>
          <w:sz w:val="20"/>
          <w:szCs w:val="20"/>
          <w:color w:val="auto"/>
        </w:rPr>
      </w:pPr>
      <w:r>
        <w:rPr>
          <w:rFonts w:ascii="Courier New" w:cs="Courier New" w:eastAsia="Courier New" w:hAnsi="Courier New"/>
          <w:sz w:val="16"/>
          <w:szCs w:val="16"/>
          <w:color w:val="auto"/>
        </w:rPr>
        <w:t>York Stock</w:t>
      </w:r>
    </w:p>
    <w:p>
      <w:pPr>
        <w:spacing w:after="0" w:line="21"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Exchange</w:t>
      </w:r>
    </w:p>
    <w:p>
      <w:pPr>
        <w:spacing w:after="0" w:line="372"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Securities registered or to be registered pursuant to Section 12(g) of the</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Act:</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Securities for which there is a reporting obligation pursuant to Section 15(d) of the Act:</w:t>
      </w: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Indicate the number of outstanding shares of each of the issuer's classes of capital or common stock as of the close of the period covered by the Annual Report.</w:t>
      </w:r>
    </w:p>
    <w:p>
      <w:pPr>
        <w:sectPr>
          <w:pgSz w:w="11900" w:h="16838" w:orient="portrait"/>
          <w:cols w:equalWidth="0" w:num="1">
            <w:col w:w="10219"/>
          </w:cols>
          <w:pgMar w:left="240" w:top="623" w:right="1440" w:bottom="0" w:gutter="0" w:footer="0" w:header="0"/>
        </w:sectPr>
      </w:pPr>
    </w:p>
    <w:bookmarkStart w:id="1" w:name="page2"/>
    <w:bookmarkEnd w:id="1"/>
    <w:p>
      <w:pPr>
        <w:ind w:right="2440"/>
        <w:spacing w:after="0" w:line="347" w:lineRule="auto"/>
        <w:rPr>
          <w:sz w:val="20"/>
          <w:szCs w:val="20"/>
          <w:color w:val="auto"/>
        </w:rPr>
      </w:pPr>
      <w:r>
        <w:rPr>
          <w:rFonts w:ascii="Courier New" w:cs="Courier New" w:eastAsia="Courier New" w:hAnsi="Courier New"/>
          <w:sz w:val="18"/>
          <w:szCs w:val="18"/>
          <w:color w:val="auto"/>
        </w:rPr>
        <w:t>Ordinary Shares, par value L0.01 (Title of 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216,057,098(1)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w:t>
      </w:r>
    </w:p>
    <w:p>
      <w:pPr>
        <w:spacing w:after="0" w:line="373" w:lineRule="exact"/>
        <w:rPr>
          <w:sz w:val="20"/>
          <w:szCs w:val="20"/>
          <w:color w:val="auto"/>
        </w:rPr>
      </w:pPr>
    </w:p>
    <w:p>
      <w:pPr>
        <w:sectPr>
          <w:pgSz w:w="11900" w:h="16838" w:orient="portrait"/>
          <w:cols w:equalWidth="0" w:num="2">
            <w:col w:w="5820" w:space="720"/>
            <w:col w:w="3679"/>
          </w:cols>
          <w:pgMar w:left="240" w:top="312"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1779" w:hanging="412"/>
        <w:spacing w:after="0" w:line="24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of 7,732,500 shares held in treasury. Does not include (a) 25,314,760 ordinary shares reserved for issuance upon exercise of options granted under our stock option plan, (b) 250,930 ordinary shares reserved for issuance upon exercise of options granted by companies we have acquired, and (c) 4,348,410 ordinary shares reserved for issuance upon conversion of our 2% Convertible Notes due June 1, 2008. As of September 30, 2003, 4,126,299 ordinary shares remained available for future option grants under our stock option plan.</w:t>
      </w:r>
    </w:p>
    <w:p>
      <w:pPr>
        <w:spacing w:after="0" w:line="106" w:lineRule="exact"/>
        <w:rPr>
          <w:sz w:val="20"/>
          <w:szCs w:val="20"/>
          <w:color w:val="auto"/>
        </w:rPr>
      </w:pPr>
    </w:p>
    <w:p>
      <w:pPr>
        <w:ind w:right="1879" w:firstLine="527"/>
        <w:spacing w:after="0" w:line="245" w:lineRule="auto"/>
        <w:rPr>
          <w:sz w:val="20"/>
          <w:szCs w:val="20"/>
          <w:color w:val="auto"/>
        </w:rPr>
      </w:pPr>
      <w:r>
        <w:rPr>
          <w:rFonts w:ascii="Courier New" w:cs="Courier New" w:eastAsia="Courier New" w:hAnsi="Courier New"/>
          <w:sz w:val="18"/>
          <w:szCs w:val="18"/>
          <w:color w:val="auto"/>
        </w:rPr>
        <w:t>Indicate by check mark whether the registrant has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 w:lineRule="exact"/>
        <w:rPr>
          <w:sz w:val="20"/>
          <w:szCs w:val="20"/>
          <w:color w:val="auto"/>
        </w:rPr>
      </w:pPr>
    </w:p>
    <w:p>
      <w:pPr>
        <w:ind w:left="2740"/>
        <w:spacing w:after="0"/>
        <w:tabs>
          <w:tab w:leader="none" w:pos="504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6"/>
          <w:szCs w:val="16"/>
          <w:color w:val="auto"/>
        </w:rPr>
        <w:t>No [ ]</w:t>
      </w:r>
    </w:p>
    <w:p>
      <w:pPr>
        <w:spacing w:after="0" w:line="169" w:lineRule="exact"/>
        <w:rPr>
          <w:sz w:val="20"/>
          <w:szCs w:val="20"/>
          <w:color w:val="auto"/>
        </w:rPr>
      </w:pPr>
    </w:p>
    <w:p>
      <w:pPr>
        <w:ind w:right="2099" w:firstLine="527"/>
        <w:spacing w:after="0" w:line="257" w:lineRule="auto"/>
        <w:rPr>
          <w:sz w:val="20"/>
          <w:szCs w:val="20"/>
          <w:color w:val="auto"/>
        </w:rPr>
      </w:pPr>
      <w:r>
        <w:rPr>
          <w:rFonts w:ascii="Courier New" w:cs="Courier New" w:eastAsia="Courier New" w:hAnsi="Courier New"/>
          <w:sz w:val="18"/>
          <w:szCs w:val="18"/>
          <w:color w:val="auto"/>
        </w:rPr>
        <w:t>Indicate by check mark which financial statement item the registrant has selected to follow.</w:t>
      </w:r>
    </w:p>
    <w:p>
      <w:pPr>
        <w:ind w:left="2220"/>
        <w:spacing w:after="0"/>
        <w:tabs>
          <w:tab w:leader="none" w:pos="4940" w:val="left"/>
        </w:tabs>
        <w:rPr>
          <w:sz w:val="20"/>
          <w:szCs w:val="20"/>
          <w:color w:val="auto"/>
        </w:rPr>
      </w:pPr>
      <w:r>
        <w:rPr>
          <w:rFonts w:ascii="Courier New" w:cs="Courier New" w:eastAsia="Courier New" w:hAnsi="Courier New"/>
          <w:sz w:val="18"/>
          <w:szCs w:val="18"/>
          <w:color w:val="auto"/>
        </w:rPr>
        <w:t>Item 17 [ ]</w:t>
      </w:r>
      <w:r>
        <w:rPr>
          <w:sz w:val="20"/>
          <w:szCs w:val="20"/>
          <w:color w:val="auto"/>
        </w:rPr>
        <w:tab/>
      </w:r>
      <w:r>
        <w:rPr>
          <w:rFonts w:ascii="Courier New" w:cs="Courier New" w:eastAsia="Courier New" w:hAnsi="Courier New"/>
          <w:sz w:val="16"/>
          <w:szCs w:val="16"/>
          <w:color w:val="auto"/>
        </w:rPr>
        <w:t>Item 18 [X]</w:t>
      </w:r>
    </w:p>
    <w:p>
      <w:pPr>
        <w:sectPr>
          <w:pgSz w:w="11900" w:h="16838" w:orient="portrait"/>
          <w:cols w:equalWidth="0" w:num="1">
            <w:col w:w="10219"/>
          </w:cols>
          <w:pgMar w:left="240" w:top="312" w:right="1440" w:bottom="1440" w:gutter="0" w:footer="0" w:header="0"/>
          <w:type w:val="continuous"/>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EXPLANATORY NOTE</w:t>
      </w:r>
    </w:p>
    <w:p>
      <w:pPr>
        <w:spacing w:after="0" w:line="201"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THIS ANNUAL REPORT ON FORM 20-F/A IS BEING FILED AS AMENDMENT NO. 1 TO THE ANNUAL REPORT ON FORM 20-F OF AMDOCS LIMITED (THE "COMPANY") FILED WITH THE SECURITIES AND EXCHANGE COMMISSION (THE "SEC") ON DECEMBER 24, 2003, FOR THE PURPOSE OF AMENDING THE FOLLOWING ITEMS: ITEMS 3, 4, 5, 6, 7, 8, 11, 18 AND 19.</w:t>
      </w:r>
    </w:p>
    <w:p>
      <w:pPr>
        <w:sectPr>
          <w:pgSz w:w="11900" w:h="16838" w:orient="portrait"/>
          <w:cols w:equalWidth="0" w:num="1">
            <w:col w:w="10219"/>
          </w:cols>
          <w:pgMar w:left="240" w:top="691" w:right="1440" w:bottom="1440" w:gutter="0" w:footer="0" w:header="0"/>
        </w:sectPr>
      </w:pPr>
    </w:p>
    <w:bookmarkStart w:id="3" w:name="page4"/>
    <w:bookmarkEnd w:id="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00" w:type="dxa"/>
            <w:vAlign w:val="bottom"/>
          </w:tcPr>
          <w:p>
            <w:pPr>
              <w:spacing w:after="0"/>
              <w:rPr>
                <w:sz w:val="24"/>
                <w:szCs w:val="24"/>
                <w:color w:val="auto"/>
              </w:rPr>
            </w:pPr>
          </w:p>
        </w:tc>
        <w:tc>
          <w:tcPr>
            <w:tcW w:w="6640" w:type="dxa"/>
            <w:vAlign w:val="bottom"/>
          </w:tcPr>
          <w:p>
            <w:pPr>
              <w:ind w:left="2700"/>
              <w:spacing w:after="0"/>
              <w:rPr>
                <w:sz w:val="20"/>
                <w:szCs w:val="20"/>
                <w:color w:val="auto"/>
              </w:rPr>
            </w:pPr>
            <w:r>
              <w:rPr>
                <w:rFonts w:ascii="Courier New" w:cs="Courier New" w:eastAsia="Courier New" w:hAnsi="Courier New"/>
                <w:sz w:val="18"/>
                <w:szCs w:val="18"/>
                <w:color w:val="auto"/>
              </w:rPr>
              <w:t>FORM 20-F</w:t>
            </w:r>
          </w:p>
        </w:tc>
        <w:tc>
          <w:tcPr>
            <w:tcW w:w="380" w:type="dxa"/>
            <w:vAlign w:val="bottom"/>
          </w:tcPr>
          <w:p>
            <w:pPr>
              <w:spacing w:after="0"/>
              <w:rPr>
                <w:sz w:val="24"/>
                <w:szCs w:val="24"/>
                <w:color w:val="auto"/>
              </w:rPr>
            </w:pPr>
          </w:p>
        </w:tc>
      </w:tr>
      <w:tr>
        <w:trPr>
          <w:trHeight w:val="311"/>
        </w:trPr>
        <w:tc>
          <w:tcPr>
            <w:tcW w:w="1000" w:type="dxa"/>
            <w:vAlign w:val="bottom"/>
          </w:tcPr>
          <w:p>
            <w:pPr>
              <w:spacing w:after="0"/>
              <w:rPr>
                <w:sz w:val="24"/>
                <w:szCs w:val="24"/>
                <w:color w:val="auto"/>
              </w:rPr>
            </w:pPr>
          </w:p>
        </w:tc>
        <w:tc>
          <w:tcPr>
            <w:tcW w:w="6640" w:type="dxa"/>
            <w:vAlign w:val="bottom"/>
          </w:tcPr>
          <w:p>
            <w:pPr>
              <w:ind w:left="160"/>
              <w:spacing w:after="0"/>
              <w:rPr>
                <w:sz w:val="20"/>
                <w:szCs w:val="20"/>
                <w:color w:val="auto"/>
              </w:rPr>
            </w:pPr>
            <w:r>
              <w:rPr>
                <w:rFonts w:ascii="Courier New" w:cs="Courier New" w:eastAsia="Courier New" w:hAnsi="Courier New"/>
                <w:sz w:val="18"/>
                <w:szCs w:val="18"/>
                <w:color w:val="auto"/>
              </w:rPr>
              <w:t>ANNUAL REPORT FOR THE FISCAL YEAR ENDED SEPTEMBER 30, 2003</w:t>
            </w:r>
          </w:p>
        </w:tc>
        <w:tc>
          <w:tcPr>
            <w:tcW w:w="380" w:type="dxa"/>
            <w:vAlign w:val="bottom"/>
          </w:tcPr>
          <w:p>
            <w:pPr>
              <w:spacing w:after="0"/>
              <w:rPr>
                <w:sz w:val="24"/>
                <w:szCs w:val="24"/>
                <w:color w:val="auto"/>
              </w:rPr>
            </w:pPr>
          </w:p>
        </w:tc>
      </w:tr>
      <w:tr>
        <w:trPr>
          <w:trHeight w:val="296"/>
        </w:trPr>
        <w:tc>
          <w:tcPr>
            <w:tcW w:w="1000" w:type="dxa"/>
            <w:vAlign w:val="bottom"/>
          </w:tcPr>
          <w:p>
            <w:pPr>
              <w:spacing w:after="0"/>
              <w:rPr>
                <w:sz w:val="24"/>
                <w:szCs w:val="24"/>
                <w:color w:val="auto"/>
              </w:rPr>
            </w:pPr>
          </w:p>
        </w:tc>
        <w:tc>
          <w:tcPr>
            <w:tcW w:w="6640" w:type="dxa"/>
            <w:vAlign w:val="bottom"/>
          </w:tcPr>
          <w:p>
            <w:pPr>
              <w:ind w:left="1960"/>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24"/>
                <w:szCs w:val="24"/>
                <w:color w:val="auto"/>
              </w:rPr>
            </w:pPr>
          </w:p>
        </w:tc>
      </w:tr>
      <w:tr>
        <w:trPr>
          <w:trHeight w:val="405"/>
        </w:trPr>
        <w:tc>
          <w:tcPr>
            <w:tcW w:w="1000" w:type="dxa"/>
            <w:vAlign w:val="bottom"/>
          </w:tcPr>
          <w:p>
            <w:pPr>
              <w:spacing w:after="0"/>
              <w:rPr>
                <w:sz w:val="24"/>
                <w:szCs w:val="24"/>
                <w:color w:val="auto"/>
              </w:rPr>
            </w:pPr>
          </w:p>
        </w:tc>
        <w:tc>
          <w:tcPr>
            <w:tcW w:w="6640" w:type="dxa"/>
            <w:vAlign w:val="bottom"/>
          </w:tcPr>
          <w:p>
            <w:pPr>
              <w:jc w:val="right"/>
              <w:ind w:right="3112"/>
              <w:spacing w:after="0"/>
              <w:rPr>
                <w:sz w:val="20"/>
                <w:szCs w:val="20"/>
                <w:color w:val="auto"/>
              </w:rPr>
            </w:pPr>
            <w:r>
              <w:rPr>
                <w:rFonts w:ascii="Courier New" w:cs="Courier New" w:eastAsia="Courier New" w:hAnsi="Courier New"/>
                <w:sz w:val="18"/>
                <w:szCs w:val="18"/>
                <w:color w:val="auto"/>
              </w:rPr>
              <w:t>INDEX</w:t>
            </w:r>
          </w:p>
        </w:tc>
        <w:tc>
          <w:tcPr>
            <w:tcW w:w="380" w:type="dxa"/>
            <w:vAlign w:val="bottom"/>
          </w:tcPr>
          <w:p>
            <w:pPr>
              <w:spacing w:after="0"/>
              <w:rPr>
                <w:sz w:val="24"/>
                <w:szCs w:val="24"/>
                <w:color w:val="auto"/>
              </w:rPr>
            </w:pPr>
          </w:p>
        </w:tc>
      </w:tr>
      <w:tr>
        <w:trPr>
          <w:trHeight w:val="810"/>
        </w:trPr>
        <w:tc>
          <w:tcPr>
            <w:tcW w:w="1000" w:type="dxa"/>
            <w:vAlign w:val="bottom"/>
          </w:tcPr>
          <w:p>
            <w:pPr>
              <w:spacing w:after="0"/>
              <w:rPr>
                <w:sz w:val="24"/>
                <w:szCs w:val="24"/>
                <w:color w:val="auto"/>
              </w:rPr>
            </w:pPr>
          </w:p>
        </w:tc>
        <w:tc>
          <w:tcPr>
            <w:tcW w:w="6640" w:type="dxa"/>
            <w:vAlign w:val="bottom"/>
          </w:tcPr>
          <w:p>
            <w:pPr>
              <w:ind w:left="2700"/>
              <w:spacing w:after="0"/>
              <w:rPr>
                <w:sz w:val="20"/>
                <w:szCs w:val="20"/>
                <w:color w:val="auto"/>
              </w:rPr>
            </w:pPr>
            <w:r>
              <w:rPr>
                <w:rFonts w:ascii="Courier New" w:cs="Courier New" w:eastAsia="Courier New" w:hAnsi="Courier New"/>
                <w:sz w:val="18"/>
                <w:szCs w:val="18"/>
                <w:color w:val="auto"/>
              </w:rPr>
              <w:t>PART I</w:t>
            </w:r>
          </w:p>
        </w:tc>
        <w:tc>
          <w:tcPr>
            <w:tcW w:w="380" w:type="dxa"/>
            <w:vAlign w:val="bottom"/>
          </w:tcPr>
          <w:p>
            <w:pPr>
              <w:spacing w:after="0"/>
              <w:rPr>
                <w:sz w:val="24"/>
                <w:szCs w:val="24"/>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640" w:type="dxa"/>
            <w:vAlign w:val="bottom"/>
          </w:tcPr>
          <w:p>
            <w:pPr>
              <w:ind w:left="160"/>
              <w:spacing w:after="0"/>
              <w:rPr>
                <w:sz w:val="20"/>
                <w:szCs w:val="20"/>
                <w:color w:val="auto"/>
              </w:rPr>
            </w:pPr>
            <w:r>
              <w:rPr>
                <w:rFonts w:ascii="Courier New" w:cs="Courier New" w:eastAsia="Courier New" w:hAnsi="Courier New"/>
                <w:sz w:val="18"/>
                <w:szCs w:val="18"/>
                <w:color w:val="auto"/>
                <w:w w:val="99"/>
              </w:rPr>
              <w:t>Key Information.............................................</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Information on the Company..................................</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6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Operating and Financial Review and Prospects................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6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Directors, Senior Management and Employees..................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Major Shareholders and Related Party Transactions...........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6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Financial Information.......................................</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11.</w:t>
            </w:r>
          </w:p>
        </w:tc>
        <w:tc>
          <w:tcPr>
            <w:tcW w:w="6640" w:type="dxa"/>
            <w:vAlign w:val="bottom"/>
          </w:tcPr>
          <w:p>
            <w:pPr>
              <w:ind w:left="160"/>
              <w:spacing w:after="0"/>
              <w:rPr>
                <w:sz w:val="20"/>
                <w:szCs w:val="20"/>
                <w:color w:val="auto"/>
              </w:rPr>
            </w:pPr>
            <w:r>
              <w:rPr>
                <w:rFonts w:ascii="Courier New" w:cs="Courier New" w:eastAsia="Courier New" w:hAnsi="Courier New"/>
                <w:sz w:val="18"/>
                <w:szCs w:val="18"/>
                <w:color w:val="auto"/>
                <w:w w:val="99"/>
              </w:rPr>
              <w:t>Quantitative and Qualitative Disclosure about Market Risk...</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57</w:t>
            </w:r>
          </w:p>
        </w:tc>
      </w:tr>
      <w:tr>
        <w:trPr>
          <w:trHeight w:val="405"/>
        </w:trPr>
        <w:tc>
          <w:tcPr>
            <w:tcW w:w="1000" w:type="dxa"/>
            <w:vAlign w:val="bottom"/>
          </w:tcPr>
          <w:p>
            <w:pPr>
              <w:spacing w:after="0"/>
              <w:rPr>
                <w:sz w:val="24"/>
                <w:szCs w:val="24"/>
                <w:color w:val="auto"/>
              </w:rPr>
            </w:pPr>
          </w:p>
        </w:tc>
        <w:tc>
          <w:tcPr>
            <w:tcW w:w="6640" w:type="dxa"/>
            <w:vAlign w:val="bottom"/>
          </w:tcPr>
          <w:p>
            <w:pPr>
              <w:jc w:val="right"/>
              <w:ind w:right="3112"/>
              <w:spacing w:after="0"/>
              <w:rPr>
                <w:sz w:val="20"/>
                <w:szCs w:val="20"/>
                <w:color w:val="auto"/>
              </w:rPr>
            </w:pPr>
            <w:r>
              <w:rPr>
                <w:rFonts w:ascii="Courier New" w:cs="Courier New" w:eastAsia="Courier New" w:hAnsi="Courier New"/>
                <w:sz w:val="18"/>
                <w:szCs w:val="18"/>
                <w:color w:val="auto"/>
              </w:rPr>
              <w:t>PART III</w:t>
            </w:r>
          </w:p>
        </w:tc>
        <w:tc>
          <w:tcPr>
            <w:tcW w:w="380" w:type="dxa"/>
            <w:vAlign w:val="bottom"/>
          </w:tcPr>
          <w:p>
            <w:pPr>
              <w:spacing w:after="0"/>
              <w:rPr>
                <w:sz w:val="24"/>
                <w:szCs w:val="24"/>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18.</w:t>
            </w:r>
          </w:p>
        </w:tc>
        <w:tc>
          <w:tcPr>
            <w:tcW w:w="6640" w:type="dxa"/>
            <w:vAlign w:val="bottom"/>
          </w:tcPr>
          <w:p>
            <w:pPr>
              <w:ind w:left="160"/>
              <w:spacing w:after="0"/>
              <w:rPr>
                <w:sz w:val="20"/>
                <w:szCs w:val="20"/>
                <w:color w:val="auto"/>
              </w:rPr>
            </w:pPr>
            <w:r>
              <w:rPr>
                <w:rFonts w:ascii="Courier New" w:cs="Courier New" w:eastAsia="Courier New" w:hAnsi="Courier New"/>
                <w:sz w:val="18"/>
                <w:szCs w:val="18"/>
                <w:color w:val="auto"/>
                <w:w w:val="99"/>
              </w:rPr>
              <w:t>Financial Statements........................................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58</w:t>
            </w:r>
          </w:p>
        </w:tc>
      </w:t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19.</w:t>
            </w:r>
          </w:p>
        </w:tc>
        <w:tc>
          <w:tcPr>
            <w:tcW w:w="6640" w:type="dxa"/>
            <w:vAlign w:val="bottom"/>
          </w:tcPr>
          <w:p>
            <w:pPr>
              <w:ind w:left="160"/>
              <w:spacing w:after="0"/>
              <w:rPr>
                <w:sz w:val="20"/>
                <w:szCs w:val="20"/>
                <w:color w:val="auto"/>
              </w:rPr>
            </w:pPr>
            <w:r>
              <w:rPr>
                <w:rFonts w:ascii="Courier New" w:cs="Courier New" w:eastAsia="Courier New" w:hAnsi="Courier New"/>
                <w:sz w:val="18"/>
                <w:szCs w:val="18"/>
                <w:color w:val="auto"/>
                <w:w w:val="99"/>
              </w:rPr>
              <w:t>Exhibits....................................................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59</w:t>
            </w:r>
          </w:p>
        </w:tc>
      </w:tr>
      <w:tr>
        <w:trPr>
          <w:trHeight w:val="608"/>
        </w:trPr>
        <w:tc>
          <w:tcPr>
            <w:tcW w:w="1000" w:type="dxa"/>
            <w:vAlign w:val="bottom"/>
          </w:tcPr>
          <w:p>
            <w:pPr>
              <w:spacing w:after="0"/>
              <w:rPr>
                <w:sz w:val="24"/>
                <w:szCs w:val="24"/>
                <w:color w:val="auto"/>
              </w:rPr>
            </w:pPr>
          </w:p>
        </w:tc>
        <w:tc>
          <w:tcPr>
            <w:tcW w:w="6640" w:type="dxa"/>
            <w:vAlign w:val="bottom"/>
          </w:tcPr>
          <w:p>
            <w:pPr>
              <w:ind w:left="3220"/>
              <w:spacing w:after="0"/>
              <w:rPr>
                <w:sz w:val="20"/>
                <w:szCs w:val="20"/>
                <w:color w:val="auto"/>
              </w:rPr>
            </w:pPr>
            <w:r>
              <w:rPr>
                <w:rFonts w:ascii="Courier New" w:cs="Courier New" w:eastAsia="Courier New" w:hAnsi="Courier New"/>
                <w:sz w:val="18"/>
                <w:szCs w:val="18"/>
                <w:color w:val="auto"/>
              </w:rPr>
              <w:t>1</w:t>
            </w:r>
          </w:p>
        </w:tc>
        <w:tc>
          <w:tcPr>
            <w:tcW w:w="380" w:type="dxa"/>
            <w:vAlign w:val="bottom"/>
          </w:tcPr>
          <w:p>
            <w:pPr>
              <w:spacing w:after="0"/>
              <w:rPr>
                <w:sz w:val="24"/>
                <w:szCs w:val="24"/>
                <w:color w:val="auto"/>
              </w:rPr>
            </w:pPr>
          </w:p>
        </w:tc>
      </w:tr>
    </w:tbl>
    <w:p>
      <w:pPr>
        <w:sectPr>
          <w:pgSz w:w="11900" w:h="16838" w:orient="portrait"/>
          <w:cols w:equalWidth="0" w:num="1">
            <w:col w:w="10219"/>
          </w:cols>
          <w:pgMar w:left="240" w:top="691" w:right="1440" w:bottom="1440" w:gutter="0" w:footer="0" w:header="0"/>
        </w:sectPr>
      </w:pPr>
    </w:p>
    <w:bookmarkStart w:id="4" w:name="page5"/>
    <w:bookmarkEnd w:id="4"/>
    <w:p>
      <w:pPr>
        <w:ind w:right="1779" w:firstLine="527"/>
        <w:spacing w:after="0" w:line="253" w:lineRule="auto"/>
        <w:rPr>
          <w:sz w:val="20"/>
          <w:szCs w:val="20"/>
          <w:color w:val="auto"/>
        </w:rPr>
      </w:pPr>
      <w:r>
        <w:rPr>
          <w:rFonts w:ascii="Courier New" w:cs="Courier New" w:eastAsia="Courier New" w:hAnsi="Courier New"/>
          <w:sz w:val="18"/>
          <w:szCs w:val="18"/>
          <w:color w:val="auto"/>
        </w:rPr>
        <w:t>Unless the context otherwise requires, all references in this Annual Report on Form 20-F to "Amdocs", "we", "our", "us" and the "Company" refer to Amdocs Limited and its consolidated subsidiaries and their respective predecessors. Our consolidated financial statements are prepared in accordance with U.S. GAAP and are expressed in U.S. dollars. References to "dollars" or "$" are to U.S. dollars. Our fiscal year ends on September 30 of each year. References to any specific financial year refer to the year ended September 30 of the calendar year specified.</w:t>
      </w:r>
    </w:p>
    <w:p>
      <w:pPr>
        <w:spacing w:after="0" w:line="104"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We own or have rights to trademarks or trade names that we use in conjunction with the sale of our products and services, including, without limitation, each of the following: Amdocs(TM), Ensemble(TM), AmdocsEnabler(TM) and Clarify(TM).</w:t>
      </w:r>
    </w:p>
    <w:p>
      <w:pPr>
        <w:spacing w:after="0" w:line="8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 LOOKING STATEMENTS</w:t>
      </w:r>
    </w:p>
    <w:p>
      <w:pPr>
        <w:spacing w:after="0" w:line="201"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This Annual Report on Form 20-F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08" w:lineRule="exact"/>
        <w:rPr>
          <w:sz w:val="20"/>
          <w:szCs w:val="20"/>
          <w:color w:val="auto"/>
        </w:rPr>
      </w:pPr>
    </w:p>
    <w:p>
      <w:pPr>
        <w:ind w:right="1999" w:firstLine="527"/>
        <w:spacing w:after="0" w:line="248" w:lineRule="auto"/>
        <w:rPr>
          <w:sz w:val="20"/>
          <w:szCs w:val="20"/>
          <w:color w:val="auto"/>
        </w:rPr>
      </w:pPr>
      <w:r>
        <w:rPr>
          <w:rFonts w:ascii="Courier New" w:cs="Courier New" w:eastAsia="Courier New" w:hAnsi="Courier New"/>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below under the caption "Risk Factors".</w:t>
      </w:r>
    </w:p>
    <w:p>
      <w:pPr>
        <w:spacing w:after="0" w:line="1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5" w:name="page6"/>
    <w:bookmarkEnd w:id="5"/>
    <w:p>
      <w:pPr>
        <w:ind w:left="39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KEY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SELECTED FINANCIAL DATA</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Our historical consolidated financial statements are prepared in accordance with accounting principles generally accepted in the United States ("GAAP") and presented in U.S. dollars. The selected historical consolidated financial information set forth below has been derived from our historical consolidated financial statements for the years presented. Historical information as of and for the five years ended September 30, 2003 is derived from our consolidated financial statements, which have been audited by Ernst &amp; Young LLP, our independent auditors. You should read the information presented below in conjunction with those statements.</w:t>
      </w:r>
    </w:p>
    <w:p>
      <w:pPr>
        <w:spacing w:after="0" w:line="99" w:lineRule="exact"/>
        <w:rPr>
          <w:sz w:val="20"/>
          <w:szCs w:val="20"/>
          <w:color w:val="auto"/>
        </w:rPr>
      </w:pPr>
    </w:p>
    <w:p>
      <w:pPr>
        <w:ind w:right="2619" w:firstLine="527"/>
        <w:spacing w:after="0" w:line="274" w:lineRule="auto"/>
        <w:rPr>
          <w:sz w:val="20"/>
          <w:szCs w:val="20"/>
          <w:color w:val="auto"/>
        </w:rPr>
      </w:pPr>
      <w:r>
        <w:rPr>
          <w:rFonts w:ascii="Courier New" w:cs="Courier New" w:eastAsia="Courier New" w:hAnsi="Courier New"/>
          <w:sz w:val="18"/>
          <w:szCs w:val="18"/>
          <w:color w:val="auto"/>
        </w:rPr>
        <w:t>The information presented below is qualified by the more detailed historical consolidated financial statements, the notes thereto and the discussion under "Operating and Financial Review and Prospects" included elsewhere in this Annual Report.</w:t>
      </w:r>
    </w:p>
    <w:p>
      <w:pPr>
        <w:spacing w:after="0" w:line="8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tbl>
      <w:tblPr>
        <w:tblLayout w:type="fixed"/>
        <w:tblInd w:w="60" w:type="dxa"/>
        <w:tblCellMar>
          <w:top w:w="0" w:type="dxa"/>
          <w:left w:w="0" w:type="dxa"/>
          <w:bottom w:w="0" w:type="dxa"/>
          <w:right w:w="0" w:type="dxa"/>
        </w:tblCellMar>
      </w:tblPr>
      <w:tr>
        <w:trPr>
          <w:trHeight w:val="171"/>
        </w:trPr>
        <w:tc>
          <w:tcPr>
            <w:tcW w:w="2320" w:type="dxa"/>
            <w:vAlign w:val="bottom"/>
            <w:vMerge w:val="restart"/>
          </w:tcPr>
          <w:p>
            <w:pPr>
              <w:jc w:val="right"/>
              <w:ind w:right="18"/>
              <w:spacing w:after="0"/>
              <w:rPr>
                <w:sz w:val="20"/>
                <w:szCs w:val="20"/>
                <w:color w:val="auto"/>
              </w:rPr>
            </w:pPr>
            <w:r>
              <w:rPr>
                <w:rFonts w:ascii="Courier New" w:cs="Courier New" w:eastAsia="Courier New" w:hAnsi="Courier New"/>
                <w:sz w:val="29"/>
                <w:szCs w:val="29"/>
                <w:color w:val="auto"/>
                <w:w w:val="70"/>
                <w:vertAlign w:val="subscript"/>
              </w:rPr>
              <w:t>2001</w:t>
            </w:r>
            <w:r>
              <w:rPr>
                <w:rFonts w:ascii="Courier New" w:cs="Courier New" w:eastAsia="Courier New" w:hAnsi="Courier New"/>
                <w:sz w:val="15"/>
                <w:szCs w:val="15"/>
                <w:color w:val="auto"/>
                <w:w w:val="70"/>
              </w:rPr>
              <w:t>-------------------</w:t>
            </w:r>
            <w:r>
              <w:rPr>
                <w:rFonts w:ascii="Courier New" w:cs="Courier New" w:eastAsia="Courier New" w:hAnsi="Courier New"/>
                <w:sz w:val="29"/>
                <w:szCs w:val="29"/>
                <w:color w:val="auto"/>
                <w:w w:val="70"/>
                <w:vertAlign w:val="subscript"/>
              </w:rPr>
              <w:t>20001999</w:t>
            </w:r>
          </w:p>
        </w:tc>
        <w:tc>
          <w:tcPr>
            <w:tcW w:w="1160" w:type="dxa"/>
            <w:vAlign w:val="bottom"/>
          </w:tcPr>
          <w:p>
            <w:pPr>
              <w:jc w:val="right"/>
              <w:ind w:right="132"/>
              <w:spacing w:after="0" w:line="170" w:lineRule="exact"/>
              <w:rPr>
                <w:sz w:val="20"/>
                <w:szCs w:val="20"/>
                <w:color w:val="auto"/>
              </w:rPr>
            </w:pPr>
            <w:r>
              <w:rPr>
                <w:rFonts w:ascii="Courier New" w:cs="Courier New" w:eastAsia="Courier New" w:hAnsi="Courier New"/>
                <w:sz w:val="18"/>
                <w:szCs w:val="18"/>
                <w:color w:val="auto"/>
                <w:w w:val="94"/>
              </w:rPr>
              <w:t>2003 2002</w:t>
            </w:r>
          </w:p>
        </w:tc>
        <w:tc>
          <w:tcPr>
            <w:tcW w:w="0" w:type="dxa"/>
            <w:vAlign w:val="bottom"/>
          </w:tcPr>
          <w:p>
            <w:pPr>
              <w:spacing w:after="0"/>
              <w:rPr>
                <w:sz w:val="1"/>
                <w:szCs w:val="1"/>
                <w:color w:val="auto"/>
              </w:rPr>
            </w:pPr>
          </w:p>
        </w:tc>
      </w:tr>
      <w:tr>
        <w:trPr>
          <w:trHeight w:val="235"/>
        </w:trPr>
        <w:tc>
          <w:tcPr>
            <w:tcW w:w="232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left="480" w:hanging="421"/>
        <w:spacing w:after="0" w:line="238" w:lineRule="auto"/>
        <w:tabs>
          <w:tab w:leader="none" w:pos="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 THOUSANDS, EXCEPT PER SHARE</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DATA) STATEMENT OF OPERATIONS</w:t>
      </w:r>
    </w:p>
    <w:p>
      <w:pPr>
        <w:jc w:val="center"/>
        <w:ind w:right="6639"/>
        <w:spacing w:after="0"/>
        <w:rPr>
          <w:sz w:val="20"/>
          <w:szCs w:val="20"/>
          <w:color w:val="auto"/>
        </w:rPr>
      </w:pPr>
      <w:r>
        <w:rPr>
          <w:rFonts w:ascii="Courier New" w:cs="Courier New" w:eastAsia="Courier New" w:hAnsi="Courier New"/>
          <w:sz w:val="18"/>
          <w:szCs w:val="18"/>
          <w:color w:val="auto"/>
        </w:rPr>
        <w:t>DATA:</w:t>
      </w:r>
    </w:p>
    <w:p>
      <w:pPr>
        <w:spacing w:after="0" w:line="238" w:lineRule="auto"/>
        <w:rPr>
          <w:sz w:val="20"/>
          <w:szCs w:val="20"/>
          <w:color w:val="auto"/>
        </w:rPr>
      </w:pPr>
      <w:r>
        <w:rPr>
          <w:rFonts w:ascii="Courier New" w:cs="Courier New" w:eastAsia="Courier New" w:hAnsi="Courier New"/>
          <w:sz w:val="18"/>
          <w:szCs w:val="18"/>
          <w:color w:val="auto"/>
        </w:rPr>
        <w:t>Revenue...........................</w:t>
      </w:r>
    </w:p>
    <w:p>
      <w:pPr>
        <w:jc w:val="center"/>
        <w:ind w:right="6639"/>
        <w:spacing w:after="0"/>
        <w:rPr>
          <w:sz w:val="20"/>
          <w:szCs w:val="20"/>
          <w:color w:val="auto"/>
        </w:rPr>
      </w:pPr>
      <w:r>
        <w:rPr>
          <w:rFonts w:ascii="Courier New" w:cs="Courier New" w:eastAsia="Courier New" w:hAnsi="Courier New"/>
          <w:sz w:val="18"/>
          <w:szCs w:val="18"/>
          <w:color w:val="auto"/>
        </w:rPr>
        <w:t>$1,483,327 $1,613,565 $1,533,910</w:t>
      </w:r>
    </w:p>
    <w:p>
      <w:pPr>
        <w:jc w:val="center"/>
        <w:ind w:right="6639"/>
        <w:spacing w:after="0" w:line="238" w:lineRule="auto"/>
        <w:rPr>
          <w:sz w:val="20"/>
          <w:szCs w:val="20"/>
          <w:color w:val="auto"/>
        </w:rPr>
      </w:pPr>
      <w:r>
        <w:rPr>
          <w:rFonts w:ascii="Courier New" w:cs="Courier New" w:eastAsia="Courier New" w:hAnsi="Courier New"/>
          <w:sz w:val="18"/>
          <w:szCs w:val="18"/>
          <w:color w:val="auto"/>
        </w:rPr>
        <w:t>$1,118,320 $626,855 Operating</w:t>
      </w:r>
    </w:p>
    <w:p>
      <w:pPr>
        <w:jc w:val="center"/>
        <w:ind w:right="6639"/>
        <w:spacing w:after="0"/>
        <w:rPr>
          <w:sz w:val="20"/>
          <w:szCs w:val="20"/>
          <w:color w:val="auto"/>
        </w:rPr>
      </w:pPr>
      <w:r>
        <w:rPr>
          <w:rFonts w:ascii="Courier New" w:cs="Courier New" w:eastAsia="Courier New" w:hAnsi="Courier New"/>
          <w:sz w:val="18"/>
          <w:szCs w:val="18"/>
          <w:color w:val="auto"/>
        </w:rPr>
        <w:t>income(1)(2)(3)......... 210,418</w:t>
      </w:r>
    </w:p>
    <w:p>
      <w:pPr>
        <w:jc w:val="center"/>
        <w:ind w:right="6639"/>
        <w:spacing w:after="0" w:line="238" w:lineRule="auto"/>
        <w:rPr>
          <w:sz w:val="20"/>
          <w:szCs w:val="20"/>
          <w:color w:val="auto"/>
        </w:rPr>
      </w:pPr>
      <w:r>
        <w:rPr>
          <w:rFonts w:ascii="Courier New" w:cs="Courier New" w:eastAsia="Courier New" w:hAnsi="Courier New"/>
          <w:sz w:val="18"/>
          <w:szCs w:val="18"/>
          <w:color w:val="auto"/>
        </w:rPr>
        <w:t>49,161 159,281 74,124 146,998 Net</w:t>
      </w:r>
    </w:p>
    <w:p>
      <w:pPr>
        <w:jc w:val="center"/>
        <w:ind w:right="6639"/>
        <w:spacing w:after="0"/>
        <w:rPr>
          <w:sz w:val="20"/>
          <w:szCs w:val="20"/>
          <w:color w:val="auto"/>
        </w:rPr>
      </w:pPr>
      <w:r>
        <w:rPr>
          <w:rFonts w:ascii="Courier New" w:cs="Courier New" w:eastAsia="Courier New" w:hAnsi="Courier New"/>
          <w:sz w:val="18"/>
          <w:szCs w:val="18"/>
          <w:color w:val="auto"/>
        </w:rPr>
        <w:t>income (loss)(1)(2)(3)(4).....</w:t>
      </w:r>
    </w:p>
    <w:p>
      <w:pPr>
        <w:jc w:val="center"/>
        <w:ind w:right="6639"/>
        <w:spacing w:after="0" w:line="238" w:lineRule="auto"/>
        <w:rPr>
          <w:sz w:val="20"/>
          <w:szCs w:val="20"/>
          <w:color w:val="auto"/>
        </w:rPr>
      </w:pPr>
      <w:r>
        <w:rPr>
          <w:rFonts w:ascii="Courier New" w:cs="Courier New" w:eastAsia="Courier New" w:hAnsi="Courier New"/>
          <w:sz w:val="18"/>
          <w:szCs w:val="18"/>
          <w:color w:val="auto"/>
        </w:rPr>
        <w:t>168,883 (5,061) 66,386 5,978</w:t>
      </w:r>
    </w:p>
    <w:p>
      <w:pPr>
        <w:jc w:val="center"/>
        <w:ind w:right="6639"/>
        <w:spacing w:after="0"/>
        <w:rPr>
          <w:sz w:val="20"/>
          <w:szCs w:val="20"/>
          <w:color w:val="auto"/>
        </w:rPr>
      </w:pPr>
      <w:r>
        <w:rPr>
          <w:rFonts w:ascii="Courier New" w:cs="Courier New" w:eastAsia="Courier New" w:hAnsi="Courier New"/>
          <w:sz w:val="18"/>
          <w:szCs w:val="18"/>
          <w:color w:val="auto"/>
        </w:rPr>
        <w:t>98,543 Basic earnings (loss) per</w:t>
      </w:r>
    </w:p>
    <w:tbl>
      <w:tblPr>
        <w:tblLayout w:type="fixed"/>
        <w:tblInd w:w="220" w:type="dxa"/>
        <w:tblCellMar>
          <w:top w:w="0" w:type="dxa"/>
          <w:left w:w="0" w:type="dxa"/>
          <w:bottom w:w="0" w:type="dxa"/>
          <w:right w:w="0" w:type="dxa"/>
        </w:tblCellMar>
      </w:tblP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0.78 (0.02) 0.30 0.03</w:t>
            </w:r>
          </w:p>
        </w:tc>
      </w:tr>
    </w:tbl>
    <w:p>
      <w:pPr>
        <w:ind w:left="120"/>
        <w:spacing w:after="0" w:line="238" w:lineRule="auto"/>
        <w:rPr>
          <w:sz w:val="20"/>
          <w:szCs w:val="20"/>
          <w:color w:val="auto"/>
        </w:rPr>
      </w:pPr>
      <w:r>
        <w:rPr>
          <w:rFonts w:ascii="Courier New" w:cs="Courier New" w:eastAsia="Courier New" w:hAnsi="Courier New"/>
          <w:sz w:val="18"/>
          <w:szCs w:val="18"/>
          <w:color w:val="auto"/>
        </w:rPr>
        <w:t>0.50 Diluted earnings (loss) per</w:t>
      </w:r>
    </w:p>
    <w:tbl>
      <w:tblPr>
        <w:tblLayout w:type="fixed"/>
        <w:tblInd w:w="120" w:type="dxa"/>
        <w:tblCellMar>
          <w:top w:w="0" w:type="dxa"/>
          <w:left w:w="0" w:type="dxa"/>
          <w:bottom w:w="0" w:type="dxa"/>
          <w:right w:w="0" w:type="dxa"/>
        </w:tblCellMar>
      </w:tblPr>
      <w:tr>
        <w:trPr>
          <w:trHeight w:val="171"/>
        </w:trPr>
        <w:tc>
          <w:tcPr>
            <w:tcW w:w="1580" w:type="dxa"/>
            <w:vAlign w:val="bottom"/>
          </w:tcPr>
          <w:p>
            <w:pPr>
              <w:jc w:val="right"/>
              <w:spacing w:after="0"/>
              <w:rPr>
                <w:sz w:val="20"/>
                <w:szCs w:val="20"/>
                <w:color w:val="auto"/>
              </w:rPr>
            </w:pPr>
            <w:r>
              <w:rPr>
                <w:rFonts w:ascii="Courier New" w:cs="Courier New" w:eastAsia="Courier New" w:hAnsi="Courier New"/>
                <w:sz w:val="11"/>
                <w:szCs w:val="11"/>
                <w:color w:val="auto"/>
                <w:w w:val="73"/>
              </w:rPr>
              <w:t>share...........................</w:t>
            </w:r>
          </w:p>
        </w:tc>
        <w:tc>
          <w:tcPr>
            <w:tcW w:w="1000" w:type="dxa"/>
            <w:vAlign w:val="bottom"/>
            <w:vMerge w:val="restart"/>
          </w:tcPr>
          <w:p>
            <w:pPr>
              <w:spacing w:after="0"/>
              <w:rPr>
                <w:sz w:val="20"/>
                <w:szCs w:val="20"/>
                <w:color w:val="auto"/>
              </w:rPr>
            </w:pPr>
            <w:r>
              <w:rPr>
                <w:rFonts w:ascii="Courier New" w:cs="Courier New" w:eastAsia="Courier New" w:hAnsi="Courier New"/>
                <w:sz w:val="18"/>
                <w:szCs w:val="18"/>
                <w:color w:val="auto"/>
              </w:rPr>
              <w:t>0.29 0.03</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0.49</w:t>
            </w:r>
          </w:p>
        </w:tc>
        <w:tc>
          <w:tcPr>
            <w:tcW w:w="0" w:type="dxa"/>
            <w:vAlign w:val="bottom"/>
          </w:tcPr>
          <w:p>
            <w:pPr>
              <w:spacing w:after="0"/>
              <w:rPr>
                <w:sz w:val="1"/>
                <w:szCs w:val="1"/>
                <w:color w:val="auto"/>
              </w:rPr>
            </w:pPr>
          </w:p>
        </w:tc>
      </w:tr>
      <w:tr>
        <w:trPr>
          <w:trHeight w:val="203"/>
        </w:trPr>
        <w:tc>
          <w:tcPr>
            <w:tcW w:w="158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0.77 (0.02)</w:t>
            </w:r>
          </w:p>
        </w:tc>
        <w:tc>
          <w:tcPr>
            <w:tcW w:w="100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Dividends</w:t>
            </w:r>
          </w:p>
        </w:tc>
        <w:tc>
          <w:tcPr>
            <w:tcW w:w="1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declared per</w:t>
            </w:r>
          </w:p>
        </w:tc>
        <w:tc>
          <w:tcPr>
            <w:tcW w:w="0" w:type="dxa"/>
            <w:vAlign w:val="bottom"/>
          </w:tcPr>
          <w:p>
            <w:pPr>
              <w:spacing w:after="0"/>
              <w:rPr>
                <w:sz w:val="1"/>
                <w:szCs w:val="1"/>
                <w:color w:val="auto"/>
              </w:rPr>
            </w:pPr>
          </w:p>
        </w:tc>
      </w:tr>
      <w:tr>
        <w:trPr>
          <w:trHeight w:val="296"/>
        </w:trPr>
        <w:tc>
          <w:tcPr>
            <w:tcW w:w="1580" w:type="dxa"/>
            <w:vAlign w:val="bottom"/>
          </w:tcPr>
          <w:p>
            <w:pPr>
              <w:jc w:val="right"/>
              <w:ind w:right="40"/>
              <w:spacing w:after="0"/>
              <w:rPr>
                <w:sz w:val="20"/>
                <w:szCs w:val="20"/>
                <w:color w:val="auto"/>
              </w:rPr>
            </w:pPr>
            <w:r>
              <w:rPr>
                <w:rFonts w:ascii="Courier New" w:cs="Courier New" w:eastAsia="Courier New" w:hAnsi="Courier New"/>
                <w:sz w:val="18"/>
                <w:szCs w:val="18"/>
                <w:color w:val="auto"/>
              </w:rPr>
              <w:t>share......</w:t>
            </w:r>
          </w:p>
        </w:tc>
        <w:tc>
          <w:tcPr>
            <w:tcW w:w="14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 -- -- -- --</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tbl>
      <w:tblPr>
        <w:tblLayout w:type="fixed"/>
        <w:tblInd w:w="60" w:type="dxa"/>
        <w:tblCellMar>
          <w:top w:w="0" w:type="dxa"/>
          <w:left w:w="0" w:type="dxa"/>
          <w:bottom w:w="0" w:type="dxa"/>
          <w:right w:w="0" w:type="dxa"/>
        </w:tblCellMar>
      </w:tblPr>
      <w:tr>
        <w:trPr>
          <w:trHeight w:val="171"/>
        </w:trPr>
        <w:tc>
          <w:tcPr>
            <w:tcW w:w="2160" w:type="dxa"/>
            <w:vAlign w:val="bottom"/>
            <w:vMerge w:val="restart"/>
          </w:tcPr>
          <w:p>
            <w:pPr>
              <w:jc w:val="right"/>
              <w:ind w:right="20"/>
              <w:spacing w:after="0"/>
              <w:rPr>
                <w:sz w:val="20"/>
                <w:szCs w:val="20"/>
                <w:color w:val="auto"/>
              </w:rPr>
            </w:pPr>
            <w:r>
              <w:rPr>
                <w:rFonts w:ascii="Courier New" w:cs="Courier New" w:eastAsia="Courier New" w:hAnsi="Courier New"/>
                <w:sz w:val="26"/>
                <w:szCs w:val="26"/>
                <w:color w:val="auto"/>
                <w:w w:val="73"/>
                <w:vertAlign w:val="subscript"/>
              </w:rPr>
              <w:t>2001</w:t>
            </w:r>
            <w:r>
              <w:rPr>
                <w:rFonts w:ascii="Courier New" w:cs="Courier New" w:eastAsia="Courier New" w:hAnsi="Courier New"/>
                <w:sz w:val="14"/>
                <w:szCs w:val="14"/>
                <w:color w:val="auto"/>
                <w:w w:val="73"/>
              </w:rPr>
              <w:t>------------------</w:t>
            </w:r>
            <w:r>
              <w:rPr>
                <w:rFonts w:ascii="Courier New" w:cs="Courier New" w:eastAsia="Courier New" w:hAnsi="Courier New"/>
                <w:sz w:val="26"/>
                <w:szCs w:val="26"/>
                <w:color w:val="auto"/>
                <w:w w:val="73"/>
                <w:vertAlign w:val="subscript"/>
              </w:rPr>
              <w:t>20001999</w:t>
            </w:r>
          </w:p>
        </w:tc>
        <w:tc>
          <w:tcPr>
            <w:tcW w:w="1100" w:type="dxa"/>
            <w:vAlign w:val="bottom"/>
          </w:tcPr>
          <w:p>
            <w:pPr>
              <w:jc w:val="right"/>
              <w:ind w:right="72"/>
              <w:spacing w:after="0" w:line="170" w:lineRule="exact"/>
              <w:rPr>
                <w:sz w:val="20"/>
                <w:szCs w:val="20"/>
                <w:color w:val="auto"/>
              </w:rPr>
            </w:pPr>
            <w:r>
              <w:rPr>
                <w:rFonts w:ascii="Courier New" w:cs="Courier New" w:eastAsia="Courier New" w:hAnsi="Courier New"/>
                <w:sz w:val="18"/>
                <w:szCs w:val="18"/>
                <w:color w:val="auto"/>
                <w:w w:val="94"/>
              </w:rPr>
              <w:t>2003 2002</w:t>
            </w:r>
          </w:p>
        </w:tc>
        <w:tc>
          <w:tcPr>
            <w:tcW w:w="0" w:type="dxa"/>
            <w:vAlign w:val="bottom"/>
          </w:tcPr>
          <w:p>
            <w:pPr>
              <w:spacing w:after="0"/>
              <w:rPr>
                <w:sz w:val="1"/>
                <w:szCs w:val="1"/>
                <w:color w:val="auto"/>
              </w:rPr>
            </w:pPr>
          </w:p>
        </w:tc>
      </w:tr>
      <w:tr>
        <w:trPr>
          <w:trHeight w:val="235"/>
        </w:trPr>
        <w:tc>
          <w:tcPr>
            <w:tcW w:w="216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left="680" w:hanging="623"/>
        <w:spacing w:after="0" w:line="238" w:lineRule="auto"/>
        <w:tabs>
          <w:tab w:leader="none" w:pos="6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840" w:hanging="625"/>
        <w:spacing w:after="0" w:line="238" w:lineRule="auto"/>
        <w:tabs>
          <w:tab w:leader="none" w:pos="8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THOUSANDS) BALANCE</w:t>
      </w:r>
    </w:p>
    <w:p>
      <w:pPr>
        <w:jc w:val="center"/>
        <w:ind w:right="6839"/>
        <w:spacing w:after="0"/>
        <w:rPr>
          <w:sz w:val="20"/>
          <w:szCs w:val="20"/>
          <w:color w:val="auto"/>
        </w:rPr>
      </w:pPr>
      <w:r>
        <w:rPr>
          <w:rFonts w:ascii="Courier New" w:cs="Courier New" w:eastAsia="Courier New" w:hAnsi="Courier New"/>
          <w:sz w:val="18"/>
          <w:szCs w:val="18"/>
          <w:color w:val="auto"/>
        </w:rPr>
        <w:t>SHEET DATA: Total</w:t>
      </w:r>
    </w:p>
    <w:p>
      <w:pPr>
        <w:ind w:left="220"/>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6839"/>
        <w:spacing w:after="0"/>
        <w:rPr>
          <w:sz w:val="20"/>
          <w:szCs w:val="20"/>
          <w:color w:val="auto"/>
        </w:rPr>
      </w:pPr>
      <w:r>
        <w:rPr>
          <w:rFonts w:ascii="Courier New" w:cs="Courier New" w:eastAsia="Courier New" w:hAnsi="Courier New"/>
          <w:sz w:val="18"/>
          <w:szCs w:val="18"/>
          <w:color w:val="auto"/>
        </w:rPr>
        <w:t>$2,877,517 $2,540,094</w:t>
      </w:r>
    </w:p>
    <w:p>
      <w:pPr>
        <w:jc w:val="center"/>
        <w:ind w:right="6839"/>
        <w:spacing w:after="0" w:line="238" w:lineRule="auto"/>
        <w:rPr>
          <w:sz w:val="20"/>
          <w:szCs w:val="20"/>
          <w:color w:val="auto"/>
        </w:rPr>
      </w:pPr>
      <w:r>
        <w:rPr>
          <w:rFonts w:ascii="Courier New" w:cs="Courier New" w:eastAsia="Courier New" w:hAnsi="Courier New"/>
          <w:sz w:val="18"/>
          <w:szCs w:val="18"/>
          <w:color w:val="auto"/>
        </w:rPr>
        <w:t>$2,624,436 $1,935,085 $430,011</w:t>
      </w:r>
    </w:p>
    <w:p>
      <w:pPr>
        <w:jc w:val="center"/>
        <w:ind w:right="6839"/>
        <w:spacing w:after="0"/>
        <w:rPr>
          <w:sz w:val="20"/>
          <w:szCs w:val="20"/>
          <w:color w:val="auto"/>
        </w:rPr>
      </w:pPr>
      <w:r>
        <w:rPr>
          <w:rFonts w:ascii="Courier New" w:cs="Courier New" w:eastAsia="Courier New" w:hAnsi="Courier New"/>
          <w:sz w:val="18"/>
          <w:szCs w:val="18"/>
          <w:color w:val="auto"/>
        </w:rPr>
        <w:t>Long term obligations 2%</w:t>
      </w:r>
    </w:p>
    <w:p>
      <w:pPr>
        <w:jc w:val="center"/>
        <w:ind w:right="6839"/>
        <w:spacing w:after="0" w:line="238" w:lineRule="auto"/>
        <w:rPr>
          <w:sz w:val="20"/>
          <w:szCs w:val="20"/>
          <w:color w:val="auto"/>
        </w:rPr>
      </w:pPr>
      <w:r>
        <w:rPr>
          <w:rFonts w:ascii="Courier New" w:cs="Courier New" w:eastAsia="Courier New" w:hAnsi="Courier New"/>
          <w:sz w:val="18"/>
          <w:szCs w:val="18"/>
          <w:color w:val="auto"/>
        </w:rPr>
        <w:t>Convertible Notes due June 1,</w:t>
      </w:r>
    </w:p>
    <w:p>
      <w:pPr>
        <w:jc w:val="center"/>
        <w:ind w:right="6839"/>
        <w:spacing w:after="0"/>
        <w:rPr>
          <w:sz w:val="20"/>
          <w:szCs w:val="20"/>
          <w:color w:val="auto"/>
        </w:rPr>
      </w:pPr>
      <w:r>
        <w:rPr>
          <w:rFonts w:ascii="Courier New" w:cs="Courier New" w:eastAsia="Courier New" w:hAnsi="Courier New"/>
          <w:sz w:val="16"/>
          <w:szCs w:val="16"/>
          <w:color w:val="auto"/>
        </w:rPr>
        <w:t>2008(4).........................</w:t>
      </w:r>
    </w:p>
    <w:p>
      <w:pPr>
        <w:spacing w:after="0" w:line="20"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400,454 445,054 500,000 -- --</w:t>
      </w:r>
    </w:p>
    <w:p>
      <w:pPr>
        <w:ind w:left="220"/>
        <w:spacing w:after="0" w:line="238" w:lineRule="auto"/>
        <w:rPr>
          <w:sz w:val="20"/>
          <w:szCs w:val="20"/>
          <w:color w:val="auto"/>
        </w:rPr>
      </w:pPr>
      <w:r>
        <w:rPr>
          <w:rFonts w:ascii="Courier New" w:cs="Courier New" w:eastAsia="Courier New" w:hAnsi="Courier New"/>
          <w:sz w:val="18"/>
          <w:szCs w:val="18"/>
          <w:color w:val="auto"/>
        </w:rPr>
        <w:t>Long-term portion of capital</w:t>
      </w:r>
    </w:p>
    <w:p>
      <w:pPr>
        <w:ind w:left="160"/>
        <w:spacing w:after="0"/>
        <w:rPr>
          <w:sz w:val="20"/>
          <w:szCs w:val="20"/>
          <w:color w:val="auto"/>
        </w:rPr>
      </w:pPr>
      <w:r>
        <w:rPr>
          <w:rFonts w:ascii="Courier New" w:cs="Courier New" w:eastAsia="Courier New" w:hAnsi="Courier New"/>
          <w:sz w:val="18"/>
          <w:szCs w:val="18"/>
          <w:color w:val="auto"/>
        </w:rPr>
        <w:t>lease obligations............</w:t>
      </w:r>
    </w:p>
    <w:p>
      <w:pPr>
        <w:jc w:val="center"/>
        <w:ind w:right="6839"/>
        <w:spacing w:after="0" w:line="238" w:lineRule="auto"/>
        <w:rPr>
          <w:sz w:val="20"/>
          <w:szCs w:val="20"/>
          <w:color w:val="auto"/>
        </w:rPr>
      </w:pPr>
      <w:r>
        <w:rPr>
          <w:rFonts w:ascii="Courier New" w:cs="Courier New" w:eastAsia="Courier New" w:hAnsi="Courier New"/>
          <w:sz w:val="18"/>
          <w:szCs w:val="18"/>
          <w:color w:val="auto"/>
        </w:rPr>
        <w:t>23,825 15,138 24,779 23,417</w:t>
      </w:r>
    </w:p>
    <w:p>
      <w:pPr>
        <w:jc w:val="center"/>
        <w:ind w:right="6839"/>
        <w:spacing w:after="0"/>
        <w:rPr>
          <w:sz w:val="20"/>
          <w:szCs w:val="20"/>
          <w:color w:val="auto"/>
        </w:rPr>
      </w:pPr>
      <w:r>
        <w:rPr>
          <w:rFonts w:ascii="Courier New" w:cs="Courier New" w:eastAsia="Courier New" w:hAnsi="Courier New"/>
          <w:sz w:val="18"/>
          <w:szCs w:val="18"/>
          <w:color w:val="auto"/>
        </w:rPr>
        <w:t>17,148 Shareholders' equity(5)</w:t>
      </w:r>
    </w:p>
    <w:p>
      <w:pPr>
        <w:ind w:left="60"/>
        <w:spacing w:after="0" w:line="238" w:lineRule="auto"/>
        <w:rPr>
          <w:sz w:val="20"/>
          <w:szCs w:val="20"/>
          <w:color w:val="auto"/>
        </w:rPr>
      </w:pPr>
      <w:r>
        <w:rPr>
          <w:rFonts w:ascii="Courier New" w:cs="Courier New" w:eastAsia="Courier New" w:hAnsi="Courier New"/>
          <w:sz w:val="18"/>
          <w:szCs w:val="18"/>
          <w:color w:val="auto"/>
        </w:rPr>
        <w:t>(6)........ 1,591,600 1,416,275</w:t>
      </w:r>
    </w:p>
    <w:p>
      <w:pPr>
        <w:ind w:left="260"/>
        <w:spacing w:after="0"/>
        <w:rPr>
          <w:sz w:val="20"/>
          <w:szCs w:val="20"/>
          <w:color w:val="auto"/>
        </w:rPr>
      </w:pPr>
      <w:r>
        <w:rPr>
          <w:rFonts w:ascii="Courier New" w:cs="Courier New" w:eastAsia="Courier New" w:hAnsi="Courier New"/>
          <w:sz w:val="18"/>
          <w:szCs w:val="18"/>
          <w:color w:val="auto"/>
        </w:rPr>
        <w:t>1,512,091 1,430,772 123,737</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6" w:name="page7"/>
    <w:bookmarkEnd w:id="6"/>
    <w:p>
      <w:pPr>
        <w:ind w:left="60"/>
        <w:spacing w:after="0"/>
        <w:rPr>
          <w:sz w:val="20"/>
          <w:szCs w:val="20"/>
          <w:color w:val="auto"/>
        </w:rPr>
      </w:pPr>
      <w:r>
        <w:rPr>
          <w:rFonts w:ascii="Courier New" w:cs="Courier New" w:eastAsia="Courier New" w:hAnsi="Courier New"/>
          <w:sz w:val="18"/>
          <w:szCs w:val="18"/>
          <w:color w:val="auto"/>
        </w:rPr>
        <w:t>ORDINARY SHARES ADDITIONAL -----</w:t>
      </w:r>
    </w:p>
    <w:p>
      <w:pPr>
        <w:spacing w:after="0" w:line="29"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 PAID-IN SHARES</w:t>
      </w:r>
    </w:p>
    <w:p>
      <w:pPr>
        <w:ind w:left="60"/>
        <w:spacing w:after="0" w:line="238" w:lineRule="auto"/>
        <w:rPr>
          <w:sz w:val="20"/>
          <w:szCs w:val="20"/>
          <w:color w:val="auto"/>
        </w:rPr>
      </w:pPr>
      <w:r>
        <w:rPr>
          <w:rFonts w:ascii="Courier New" w:cs="Courier New" w:eastAsia="Courier New" w:hAnsi="Courier New"/>
          <w:sz w:val="18"/>
          <w:szCs w:val="18"/>
          <w:color w:val="auto"/>
        </w:rPr>
        <w:t>AMOUNT CAPITAL TREASURY STOCK --</w:t>
      </w:r>
    </w:p>
    <w:p>
      <w:pPr>
        <w:ind w:left="680" w:hanging="622"/>
        <w:spacing w:after="0"/>
        <w:tabs>
          <w:tab w:leader="none" w:pos="6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 THOUSANDS) STATEMENT</w:t>
      </w:r>
    </w:p>
    <w:p>
      <w:pPr>
        <w:spacing w:after="0" w:line="200" w:lineRule="exact"/>
        <w:rPr>
          <w:sz w:val="20"/>
          <w:szCs w:val="20"/>
          <w:color w:val="auto"/>
        </w:rPr>
      </w:pPr>
    </w:p>
    <w:p>
      <w:pPr>
        <w:spacing w:after="0" w:line="373"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740" w:type="dxa"/>
            <w:vAlign w:val="bottom"/>
          </w:tcPr>
          <w:p>
            <w:pPr>
              <w:jc w:val="right"/>
              <w:spacing w:after="0"/>
              <w:rPr>
                <w:sz w:val="20"/>
                <w:szCs w:val="20"/>
                <w:color w:val="auto"/>
              </w:rPr>
            </w:pPr>
            <w:r>
              <w:rPr>
                <w:rFonts w:ascii="Courier New" w:cs="Courier New" w:eastAsia="Courier New" w:hAnsi="Courier New"/>
                <w:sz w:val="8"/>
                <w:szCs w:val="8"/>
                <w:color w:val="auto"/>
                <w:w w:val="71"/>
              </w:rPr>
              <w:t>1999.................</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$ 489,099</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198,800</w:t>
            </w:r>
          </w:p>
        </w:tc>
        <w:tc>
          <w:tcPr>
            <w:tcW w:w="0" w:type="dxa"/>
            <w:vAlign w:val="bottom"/>
          </w:tcPr>
          <w:p>
            <w:pPr>
              <w:spacing w:after="0"/>
              <w:rPr>
                <w:sz w:val="1"/>
                <w:szCs w:val="1"/>
                <w:color w:val="auto"/>
              </w:rPr>
            </w:pPr>
          </w:p>
        </w:tc>
      </w:tr>
      <w:tr>
        <w:trPr>
          <w:trHeight w:val="235"/>
        </w:trPr>
        <w:tc>
          <w:tcPr>
            <w:tcW w:w="740" w:type="dxa"/>
            <w:vAlign w:val="bottom"/>
          </w:tcPr>
          <w:p>
            <w:pPr>
              <w:jc w:val="right"/>
              <w:ind w:right="37"/>
              <w:spacing w:after="0"/>
              <w:rPr>
                <w:sz w:val="20"/>
                <w:szCs w:val="20"/>
                <w:color w:val="auto"/>
              </w:rPr>
            </w:pPr>
            <w:r>
              <w:rPr>
                <w:rFonts w:ascii="Courier New" w:cs="Courier New" w:eastAsia="Courier New" w:hAnsi="Courier New"/>
                <w:sz w:val="18"/>
                <w:szCs w:val="18"/>
                <w:color w:val="auto"/>
                <w:w w:val="95"/>
              </w:rPr>
              <w:t>$3,181</w:t>
            </w:r>
          </w:p>
        </w:tc>
        <w:tc>
          <w:tcPr>
            <w:tcW w:w="1000" w:type="dxa"/>
            <w:vAlign w:val="bottom"/>
            <w:vMerge w:val="continue"/>
          </w:tcPr>
          <w:p>
            <w:pPr>
              <w:spacing w:after="0"/>
              <w:rPr>
                <w:sz w:val="20"/>
                <w:szCs w:val="20"/>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 -- Issuance</w:t>
            </w:r>
          </w:p>
        </w:tc>
        <w:tc>
          <w:tcPr>
            <w:tcW w:w="0" w:type="dxa"/>
            <w:vAlign w:val="bottom"/>
          </w:tcPr>
          <w:p>
            <w:pPr>
              <w:spacing w:after="0"/>
              <w:rPr>
                <w:sz w:val="1"/>
                <w:szCs w:val="1"/>
                <w:color w:val="auto"/>
              </w:rPr>
            </w:pP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of ordinary shares related to</w:t>
      </w:r>
    </w:p>
    <w:p>
      <w:pPr>
        <w:jc w:val="center"/>
        <w:ind w:right="6739"/>
        <w:spacing w:after="0"/>
        <w:rPr>
          <w:sz w:val="20"/>
          <w:szCs w:val="20"/>
          <w:color w:val="auto"/>
        </w:rPr>
      </w:pPr>
      <w:r>
        <w:rPr>
          <w:rFonts w:ascii="Courier New" w:cs="Courier New" w:eastAsia="Courier New" w:hAnsi="Courier New"/>
          <w:sz w:val="18"/>
          <w:szCs w:val="18"/>
          <w:color w:val="auto"/>
        </w:rPr>
        <w:t>acquisitions,</w:t>
      </w:r>
    </w:p>
    <w:p>
      <w:pPr>
        <w:ind w:left="160"/>
        <w:spacing w:after="0" w:line="238" w:lineRule="auto"/>
        <w:rPr>
          <w:sz w:val="20"/>
          <w:szCs w:val="20"/>
          <w:color w:val="auto"/>
        </w:rPr>
      </w:pPr>
      <w:r>
        <w:rPr>
          <w:rFonts w:ascii="Courier New" w:cs="Courier New" w:eastAsia="Courier New" w:hAnsi="Courier New"/>
          <w:sz w:val="18"/>
          <w:szCs w:val="18"/>
          <w:color w:val="auto"/>
        </w:rPr>
        <w:t>net(5)........................</w:t>
      </w:r>
    </w:p>
    <w:p>
      <w:pPr>
        <w:jc w:val="center"/>
        <w:ind w:right="6739"/>
        <w:spacing w:after="0"/>
        <w:rPr>
          <w:sz w:val="20"/>
          <w:szCs w:val="20"/>
          <w:color w:val="auto"/>
        </w:rPr>
      </w:pPr>
      <w:r>
        <w:rPr>
          <w:rFonts w:ascii="Courier New" w:cs="Courier New" w:eastAsia="Courier New" w:hAnsi="Courier New"/>
          <w:sz w:val="18"/>
          <w:szCs w:val="18"/>
          <w:color w:val="auto"/>
        </w:rPr>
        <w:t>20,307 325 1,263,330 -- Employee</w:t>
      </w:r>
    </w:p>
    <w:p>
      <w:pPr>
        <w:jc w:val="center"/>
        <w:ind w:right="6739"/>
        <w:spacing w:after="0" w:line="238" w:lineRule="auto"/>
        <w:rPr>
          <w:sz w:val="20"/>
          <w:szCs w:val="20"/>
          <w:color w:val="auto"/>
        </w:rPr>
      </w:pPr>
      <w:r>
        <w:rPr>
          <w:rFonts w:ascii="Courier New" w:cs="Courier New" w:eastAsia="Courier New" w:hAnsi="Courier New"/>
          <w:sz w:val="18"/>
          <w:szCs w:val="18"/>
          <w:color w:val="auto"/>
        </w:rPr>
        <w:t>stock options</w:t>
      </w:r>
    </w:p>
    <w:p>
      <w:pPr>
        <w:ind w:left="160"/>
        <w:spacing w:after="0"/>
        <w:rPr>
          <w:sz w:val="20"/>
          <w:szCs w:val="20"/>
          <w:color w:val="auto"/>
        </w:rPr>
      </w:pPr>
      <w:r>
        <w:rPr>
          <w:rFonts w:ascii="Courier New" w:cs="Courier New" w:eastAsia="Courier New" w:hAnsi="Courier New"/>
          <w:sz w:val="18"/>
          <w:szCs w:val="18"/>
          <w:color w:val="auto"/>
        </w:rPr>
        <w:t>exercised............... 2,058</w:t>
      </w:r>
    </w:p>
    <w:p>
      <w:pPr>
        <w:jc w:val="center"/>
        <w:ind w:right="6739"/>
        <w:spacing w:after="0" w:line="238" w:lineRule="auto"/>
        <w:rPr>
          <w:sz w:val="20"/>
          <w:szCs w:val="20"/>
          <w:color w:val="auto"/>
        </w:rPr>
      </w:pPr>
      <w:r>
        <w:rPr>
          <w:rFonts w:ascii="Courier New" w:cs="Courier New" w:eastAsia="Courier New" w:hAnsi="Courier New"/>
          <w:sz w:val="18"/>
          <w:szCs w:val="18"/>
          <w:color w:val="auto"/>
        </w:rPr>
        <w:t>33 21,327 -- Tax benefit of</w:t>
      </w:r>
    </w:p>
    <w:p>
      <w:pPr>
        <w:ind w:left="60"/>
        <w:spacing w:after="0"/>
        <w:rPr>
          <w:sz w:val="20"/>
          <w:szCs w:val="20"/>
          <w:color w:val="auto"/>
        </w:rPr>
      </w:pPr>
      <w:r>
        <w:rPr>
          <w:rFonts w:ascii="Courier New" w:cs="Courier New" w:eastAsia="Courier New" w:hAnsi="Courier New"/>
          <w:sz w:val="18"/>
          <w:szCs w:val="18"/>
          <w:color w:val="auto"/>
        </w:rPr>
        <w:t>stock options exercised.........</w:t>
      </w:r>
    </w:p>
    <w:p>
      <w:pPr>
        <w:ind w:right="6739" w:firstLine="216"/>
        <w:spacing w:after="0" w:line="268" w:lineRule="auto"/>
        <w:tabs>
          <w:tab w:leader="none" w:pos="524"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-- 10,825 -- Stock options granted..........................</w:t>
      </w:r>
    </w:p>
    <w:p>
      <w:pPr>
        <w:ind w:left="380" w:hanging="322"/>
        <w:spacing w:after="0"/>
        <w:tabs>
          <w:tab w:leader="none" w:pos="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-- 235 -- ------- ------ ----</w:t>
      </w:r>
    </w:p>
    <w:p>
      <w:pPr>
        <w:spacing w:after="0" w:line="168"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2380" w:type="dxa"/>
            <w:vAlign w:val="bottom"/>
          </w:tcPr>
          <w:p>
            <w:pPr>
              <w:ind w:left="900"/>
              <w:spacing w:after="0"/>
              <w:rPr>
                <w:sz w:val="20"/>
                <w:szCs w:val="20"/>
                <w:color w:val="auto"/>
              </w:rPr>
            </w:pPr>
            <w:r>
              <w:rPr>
                <w:rFonts w:ascii="Courier New" w:cs="Courier New" w:eastAsia="Courier New" w:hAnsi="Courier New"/>
                <w:sz w:val="18"/>
                <w:szCs w:val="18"/>
                <w:color w:val="auto"/>
              </w:rPr>
              <w:t>September 30,</w:t>
            </w:r>
          </w:p>
        </w:tc>
        <w:tc>
          <w:tcPr>
            <w:tcW w:w="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221,165</w:t>
            </w:r>
          </w:p>
        </w:tc>
        <w:tc>
          <w:tcPr>
            <w:tcW w:w="0" w:type="dxa"/>
            <w:vAlign w:val="bottom"/>
          </w:tcPr>
          <w:p>
            <w:pPr>
              <w:spacing w:after="0"/>
              <w:rPr>
                <w:sz w:val="1"/>
                <w:szCs w:val="1"/>
                <w:color w:val="auto"/>
              </w:rPr>
            </w:pPr>
          </w:p>
        </w:tc>
      </w:tr>
      <w:tr>
        <w:trPr>
          <w:trHeight w:val="203"/>
        </w:trPr>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3,539 1,784,816 -- Employee</w:t>
            </w:r>
          </w:p>
        </w:tc>
        <w:tc>
          <w:tcPr>
            <w:tcW w:w="0" w:type="dxa"/>
            <w:vAlign w:val="bottom"/>
          </w:tcPr>
          <w:p>
            <w:pPr>
              <w:spacing w:after="0"/>
              <w:rPr>
                <w:sz w:val="1"/>
                <w:szCs w:val="1"/>
                <w:color w:val="auto"/>
              </w:rPr>
            </w:pPr>
          </w:p>
        </w:tc>
      </w:tr>
      <w:tr>
        <w:trPr>
          <w:trHeight w:val="203"/>
        </w:trPr>
        <w:tc>
          <w:tcPr>
            <w:tcW w:w="2380" w:type="dxa"/>
            <w:vAlign w:val="bottom"/>
          </w:tcPr>
          <w:p>
            <w:pPr>
              <w:ind w:left="900"/>
              <w:spacing w:after="0" w:line="203" w:lineRule="exact"/>
              <w:rPr>
                <w:sz w:val="20"/>
                <w:szCs w:val="20"/>
                <w:color w:val="auto"/>
              </w:rPr>
            </w:pPr>
            <w:r>
              <w:rPr>
                <w:rFonts w:ascii="Courier New" w:cs="Courier New" w:eastAsia="Courier New" w:hAnsi="Courier New"/>
                <w:sz w:val="20"/>
                <w:szCs w:val="20"/>
                <w:color w:val="auto"/>
                <w:w w:val="71"/>
                <w:vertAlign w:val="superscript"/>
              </w:rPr>
              <w:t>stock</w:t>
            </w: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perscript"/>
              </w:rPr>
              <w:t>options</w:t>
            </w:r>
          </w:p>
        </w:tc>
        <w:tc>
          <w:tcPr>
            <w:tcW w:w="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1,463</w:t>
            </w:r>
          </w:p>
        </w:tc>
        <w:tc>
          <w:tcPr>
            <w:tcW w:w="0" w:type="dxa"/>
            <w:vAlign w:val="bottom"/>
          </w:tcPr>
          <w:p>
            <w:pPr>
              <w:spacing w:after="0"/>
              <w:rPr>
                <w:sz w:val="1"/>
                <w:szCs w:val="1"/>
                <w:color w:val="auto"/>
              </w:rPr>
            </w:pPr>
          </w:p>
        </w:tc>
      </w:tr>
      <w:tr>
        <w:trPr>
          <w:trHeight w:val="235"/>
        </w:trPr>
        <w:tc>
          <w:tcPr>
            <w:tcW w:w="2380" w:type="dxa"/>
            <w:vAlign w:val="bottom"/>
          </w:tcPr>
          <w:p>
            <w:pPr>
              <w:spacing w:after="0"/>
              <w:rPr>
                <w:sz w:val="20"/>
                <w:szCs w:val="20"/>
                <w:color w:val="auto"/>
              </w:rPr>
            </w:pPr>
            <w:r>
              <w:rPr>
                <w:rFonts w:ascii="Courier New" w:cs="Courier New" w:eastAsia="Courier New" w:hAnsi="Courier New"/>
                <w:sz w:val="18"/>
                <w:szCs w:val="18"/>
                <w:color w:val="auto"/>
              </w:rPr>
              <w:t>exercised</w:t>
            </w: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21 13,946 -- Tax benefit of</w:t>
      </w:r>
    </w:p>
    <w:p>
      <w:pPr>
        <w:ind w:left="60"/>
        <w:spacing w:after="0"/>
        <w:rPr>
          <w:sz w:val="20"/>
          <w:szCs w:val="20"/>
          <w:color w:val="auto"/>
        </w:rPr>
      </w:pPr>
      <w:r>
        <w:rPr>
          <w:rFonts w:ascii="Courier New" w:cs="Courier New" w:eastAsia="Courier New" w:hAnsi="Courier New"/>
          <w:sz w:val="18"/>
          <w:szCs w:val="18"/>
          <w:color w:val="auto"/>
        </w:rPr>
        <w:t>stock options exercised.........</w:t>
      </w:r>
    </w:p>
    <w:p>
      <w:pPr>
        <w:ind w:right="6739" w:firstLine="269"/>
        <w:spacing w:after="0" w:line="268" w:lineRule="auto"/>
        <w:tabs>
          <w:tab w:leader="none" w:pos="577"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-- 7,345 -- Stock options granted..........................</w:t>
      </w:r>
    </w:p>
    <w:p>
      <w:pPr>
        <w:ind w:left="380" w:hanging="322"/>
        <w:spacing w:after="0"/>
        <w:tabs>
          <w:tab w:leader="none" w:pos="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-- 183 -- ------- ------ ----</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2480" w:type="dxa"/>
            <w:vAlign w:val="bottom"/>
          </w:tcPr>
          <w:p>
            <w:pPr>
              <w:jc w:val="center"/>
              <w:ind w:left="792"/>
              <w:spacing w:after="0"/>
              <w:rPr>
                <w:sz w:val="20"/>
                <w:szCs w:val="20"/>
                <w:color w:val="auto"/>
              </w:rPr>
            </w:pPr>
            <w:r>
              <w:rPr>
                <w:rFonts w:ascii="Courier New" w:cs="Courier New" w:eastAsia="Courier New" w:hAnsi="Courier New"/>
                <w:sz w:val="18"/>
                <w:szCs w:val="18"/>
                <w:color w:val="auto"/>
                <w:w w:val="96"/>
              </w:rPr>
              <w:t>September 30,</w:t>
            </w:r>
          </w:p>
        </w:tc>
        <w:tc>
          <w:tcPr>
            <w:tcW w:w="880" w:type="dxa"/>
            <w:vAlign w:val="bottom"/>
            <w:gridSpan w:val="2"/>
            <w:vMerge w:val="restart"/>
          </w:tcPr>
          <w:p>
            <w:pPr>
              <w:jc w:val="right"/>
              <w:ind w:right="52"/>
              <w:spacing w:after="0"/>
              <w:rPr>
                <w:sz w:val="20"/>
                <w:szCs w:val="20"/>
                <w:color w:val="auto"/>
              </w:rPr>
            </w:pPr>
            <w:r>
              <w:rPr>
                <w:rFonts w:ascii="Courier New" w:cs="Courier New" w:eastAsia="Courier New" w:hAnsi="Courier New"/>
                <w:sz w:val="18"/>
                <w:szCs w:val="18"/>
                <w:color w:val="auto"/>
                <w:w w:val="95"/>
              </w:rPr>
              <w:t>222,628</w:t>
            </w:r>
          </w:p>
        </w:tc>
        <w:tc>
          <w:tcPr>
            <w:tcW w:w="0" w:type="dxa"/>
            <w:vAlign w:val="bottom"/>
          </w:tcPr>
          <w:p>
            <w:pPr>
              <w:spacing w:after="0"/>
              <w:rPr>
                <w:sz w:val="1"/>
                <w:szCs w:val="1"/>
                <w:color w:val="auto"/>
              </w:rPr>
            </w:pPr>
          </w:p>
        </w:tc>
      </w:tr>
      <w:tr>
        <w:trPr>
          <w:trHeight w:val="203"/>
        </w:trPr>
        <w:tc>
          <w:tcPr>
            <w:tcW w:w="2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2001.................</w:t>
            </w: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3,560 1,806,290 -- Employee</w:t>
            </w:r>
          </w:p>
        </w:tc>
        <w:tc>
          <w:tcPr>
            <w:tcW w:w="0" w:type="dxa"/>
            <w:vAlign w:val="bottom"/>
          </w:tcPr>
          <w:p>
            <w:pPr>
              <w:spacing w:after="0"/>
              <w:rPr>
                <w:sz w:val="1"/>
                <w:szCs w:val="1"/>
                <w:color w:val="auto"/>
              </w:rPr>
            </w:pPr>
          </w:p>
        </w:tc>
      </w:tr>
      <w:tr>
        <w:trPr>
          <w:trHeight w:val="203"/>
        </w:trPr>
        <w:tc>
          <w:tcPr>
            <w:tcW w:w="2480" w:type="dxa"/>
            <w:vAlign w:val="bottom"/>
          </w:tcPr>
          <w:p>
            <w:pPr>
              <w:jc w:val="center"/>
              <w:ind w:left="792"/>
              <w:spacing w:after="0" w:line="203" w:lineRule="exact"/>
              <w:rPr>
                <w:sz w:val="20"/>
                <w:szCs w:val="20"/>
                <w:color w:val="auto"/>
              </w:rPr>
            </w:pPr>
            <w:r>
              <w:rPr>
                <w:rFonts w:ascii="Courier New" w:cs="Courier New" w:eastAsia="Courier New" w:hAnsi="Courier New"/>
                <w:sz w:val="18"/>
                <w:szCs w:val="18"/>
                <w:color w:val="auto"/>
                <w:w w:val="96"/>
              </w:rPr>
              <w:t>stock options</w:t>
            </w:r>
          </w:p>
        </w:tc>
        <w:tc>
          <w:tcPr>
            <w:tcW w:w="10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687 12</w:t>
            </w:r>
          </w:p>
        </w:tc>
        <w:tc>
          <w:tcPr>
            <w:tcW w:w="0" w:type="dxa"/>
            <w:vAlign w:val="bottom"/>
          </w:tcPr>
          <w:p>
            <w:pPr>
              <w:spacing w:after="0"/>
              <w:rPr>
                <w:sz w:val="1"/>
                <w:szCs w:val="1"/>
                <w:color w:val="auto"/>
              </w:rPr>
            </w:pP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exercised...............</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5,149 -- Tax benefit of stock</w:t>
            </w:r>
          </w:p>
        </w:tc>
        <w:tc>
          <w:tcPr>
            <w:tcW w:w="0" w:type="dxa"/>
            <w:vAlign w:val="bottom"/>
          </w:tcPr>
          <w:p>
            <w:pPr>
              <w:spacing w:after="0"/>
              <w:rPr>
                <w:sz w:val="1"/>
                <w:szCs w:val="1"/>
                <w:color w:val="auto"/>
              </w:rPr>
            </w:pP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options exercised.........</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33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6,808 -- Expense related to</w:t>
            </w:r>
          </w:p>
        </w:tc>
        <w:tc>
          <w:tcPr>
            <w:tcW w:w="0" w:type="dxa"/>
            <w:vAlign w:val="bottom"/>
          </w:tcPr>
          <w:p>
            <w:pPr>
              <w:spacing w:after="0"/>
              <w:rPr>
                <w:sz w:val="1"/>
                <w:szCs w:val="1"/>
                <w:color w:val="auto"/>
              </w:rPr>
            </w:pPr>
          </w:p>
        </w:tc>
      </w:tr>
      <w:tr>
        <w:trPr>
          <w:trHeight w:val="235"/>
        </w:trPr>
        <w:tc>
          <w:tcPr>
            <w:tcW w:w="2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vesting of stock options</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w w:val="95"/>
              </w:rPr>
              <w:t>.... --</w:t>
            </w:r>
          </w:p>
        </w:tc>
        <w:tc>
          <w:tcPr>
            <w:tcW w:w="0" w:type="dxa"/>
            <w:vAlign w:val="bottom"/>
          </w:tcPr>
          <w:p>
            <w:pPr>
              <w:spacing w:after="0"/>
              <w:rPr>
                <w:sz w:val="1"/>
                <w:szCs w:val="1"/>
                <w:color w:val="auto"/>
              </w:rPr>
            </w:pPr>
          </w:p>
        </w:tc>
      </w:tr>
    </w:tbl>
    <w:p>
      <w:pPr>
        <w:ind w:right="6739" w:firstLine="585"/>
        <w:spacing w:after="0" w:line="268" w:lineRule="auto"/>
        <w:tabs>
          <w:tab w:leader="none" w:pos="89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98 -- Repurchase of shares(6)........................</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(7,732) -- -- (109,281) -------</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Balance as of September 30,</w:t>
      </w:r>
    </w:p>
    <w:tbl>
      <w:tblPr>
        <w:tblLayout w:type="fixed"/>
        <w:tblInd w:w="60" w:type="dxa"/>
        <w:tblCellMar>
          <w:top w:w="0" w:type="dxa"/>
          <w:left w:w="0" w:type="dxa"/>
          <w:bottom w:w="0" w:type="dxa"/>
          <w:right w:w="0" w:type="dxa"/>
        </w:tblCellMar>
      </w:tblPr>
      <w:tr>
        <w:trPr>
          <w:trHeight w:val="171"/>
        </w:trPr>
        <w:tc>
          <w:tcPr>
            <w:tcW w:w="1000" w:type="dxa"/>
            <w:vAlign w:val="bottom"/>
          </w:tcPr>
          <w:p>
            <w:pPr>
              <w:ind w:left="160"/>
              <w:spacing w:after="0"/>
              <w:rPr>
                <w:sz w:val="20"/>
                <w:szCs w:val="20"/>
                <w:color w:val="auto"/>
              </w:rPr>
            </w:pPr>
            <w:r>
              <w:rPr>
                <w:rFonts w:ascii="Courier New" w:cs="Courier New" w:eastAsia="Courier New" w:hAnsi="Courier New"/>
                <w:sz w:val="9"/>
                <w:szCs w:val="9"/>
                <w:color w:val="auto"/>
                <w:w w:val="72"/>
              </w:rPr>
              <w:t>2002.................</w:t>
            </w:r>
          </w:p>
        </w:tc>
        <w:tc>
          <w:tcPr>
            <w:tcW w:w="1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4"/>
              </w:rPr>
              <w:t>1,818,345</w:t>
            </w:r>
          </w:p>
        </w:tc>
        <w:tc>
          <w:tcPr>
            <w:tcW w:w="1300" w:type="dxa"/>
            <w:vAlign w:val="bottom"/>
            <w:gridSpan w:val="2"/>
          </w:tcPr>
          <w:p>
            <w:pPr>
              <w:jc w:val="right"/>
              <w:ind w:right="52"/>
              <w:spacing w:after="0" w:line="171" w:lineRule="exact"/>
              <w:rPr>
                <w:sz w:val="20"/>
                <w:szCs w:val="20"/>
                <w:color w:val="auto"/>
              </w:rPr>
            </w:pPr>
            <w:r>
              <w:rPr>
                <w:rFonts w:ascii="Courier New" w:cs="Courier New" w:eastAsia="Courier New" w:hAnsi="Courier New"/>
                <w:sz w:val="18"/>
                <w:szCs w:val="18"/>
                <w:color w:val="auto"/>
              </w:rPr>
              <w:t>215,583</w:t>
            </w:r>
          </w:p>
        </w:tc>
        <w:tc>
          <w:tcPr>
            <w:tcW w:w="0" w:type="dxa"/>
            <w:vAlign w:val="bottom"/>
          </w:tcPr>
          <w:p>
            <w:pPr>
              <w:spacing w:after="0"/>
              <w:rPr>
                <w:sz w:val="1"/>
                <w:szCs w:val="1"/>
                <w:color w:val="auto"/>
              </w:rPr>
            </w:pPr>
          </w:p>
        </w:tc>
      </w:tr>
      <w:tr>
        <w:trPr>
          <w:trHeight w:val="203"/>
        </w:trPr>
        <w:tc>
          <w:tcPr>
            <w:tcW w:w="100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3,572</w:t>
            </w:r>
          </w:p>
        </w:tc>
        <w:tc>
          <w:tcPr>
            <w:tcW w:w="1060" w:type="dxa"/>
            <w:vAlign w:val="bottom"/>
            <w:vMerge w:val="continue"/>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(109,281)</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Employee stock options</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exercised...............</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475 8</w:t>
            </w:r>
          </w:p>
        </w:tc>
        <w:tc>
          <w:tcPr>
            <w:tcW w:w="0" w:type="dxa"/>
            <w:vAlign w:val="bottom"/>
          </w:tcPr>
          <w:p>
            <w:pPr>
              <w:spacing w:after="0"/>
              <w:rPr>
                <w:sz w:val="1"/>
                <w:szCs w:val="1"/>
                <w:color w:val="auto"/>
              </w:rPr>
            </w:pPr>
          </w:p>
        </w:tc>
      </w:tr>
      <w:tr>
        <w:trPr>
          <w:trHeight w:val="203"/>
        </w:trPr>
        <w:tc>
          <w:tcPr>
            <w:tcW w:w="336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2,312 -- Tax benefit of stock</w:t>
            </w:r>
          </w:p>
        </w:tc>
        <w:tc>
          <w:tcPr>
            <w:tcW w:w="0" w:type="dxa"/>
            <w:vAlign w:val="bottom"/>
          </w:tcPr>
          <w:p>
            <w:pPr>
              <w:spacing w:after="0"/>
              <w:rPr>
                <w:sz w:val="1"/>
                <w:szCs w:val="1"/>
                <w:color w:val="auto"/>
              </w:rPr>
            </w:pPr>
          </w:p>
        </w:tc>
      </w:tr>
      <w:tr>
        <w:trPr>
          <w:trHeight w:val="203"/>
        </w:trPr>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options exercised.........</w:t>
            </w:r>
          </w:p>
        </w:tc>
        <w:tc>
          <w:tcPr>
            <w:tcW w:w="1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3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262 -- Expense related to</w:t>
            </w:r>
          </w:p>
        </w:tc>
        <w:tc>
          <w:tcPr>
            <w:tcW w:w="3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30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vesting of stock options....</w:t>
            </w:r>
          </w:p>
        </w:tc>
        <w:tc>
          <w:tcPr>
            <w:tcW w:w="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380" w:hanging="322"/>
        <w:spacing w:after="0" w:line="238" w:lineRule="auto"/>
        <w:tabs>
          <w:tab w:leader="none" w:pos="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37 -- ------- ------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Balance as of</w:t>
      </w:r>
    </w:p>
    <w:p>
      <w:pPr>
        <w:jc w:val="center"/>
        <w:ind w:right="6739"/>
        <w:spacing w:after="0"/>
        <w:rPr>
          <w:sz w:val="20"/>
          <w:szCs w:val="20"/>
          <w:color w:val="auto"/>
        </w:rPr>
      </w:pPr>
      <w:r>
        <w:rPr>
          <w:rFonts w:ascii="Courier New" w:cs="Courier New" w:eastAsia="Courier New" w:hAnsi="Courier New"/>
          <w:sz w:val="18"/>
          <w:szCs w:val="18"/>
          <w:color w:val="auto"/>
        </w:rPr>
        <w:t>September 30,</w:t>
      </w:r>
    </w:p>
    <w:p>
      <w:pPr>
        <w:ind w:left="220"/>
        <w:spacing w:after="0" w:line="238" w:lineRule="auto"/>
        <w:rPr>
          <w:sz w:val="20"/>
          <w:szCs w:val="20"/>
          <w:color w:val="auto"/>
        </w:rPr>
      </w:pPr>
      <w:r>
        <w:rPr>
          <w:rFonts w:ascii="Courier New" w:cs="Courier New" w:eastAsia="Courier New" w:hAnsi="Courier New"/>
          <w:sz w:val="18"/>
          <w:szCs w:val="18"/>
          <w:color w:val="auto"/>
        </w:rPr>
        <w:t>2003................. 216,058</w:t>
      </w:r>
    </w:p>
    <w:p>
      <w:pPr>
        <w:jc w:val="center"/>
        <w:ind w:right="6739"/>
        <w:spacing w:after="0"/>
        <w:rPr>
          <w:sz w:val="20"/>
          <w:szCs w:val="20"/>
          <w:color w:val="auto"/>
        </w:rPr>
      </w:pPr>
      <w:r>
        <w:rPr>
          <w:rFonts w:ascii="Courier New" w:cs="Courier New" w:eastAsia="Courier New" w:hAnsi="Courier New"/>
          <w:sz w:val="18"/>
          <w:szCs w:val="18"/>
          <w:color w:val="auto"/>
        </w:rPr>
        <w:t>$3,580 $1,820,956 $(109,281)</w:t>
      </w:r>
    </w:p>
    <w:p>
      <w:pPr>
        <w:jc w:val="center"/>
        <w:ind w:right="6739"/>
        <w:spacing w:after="0" w:line="238" w:lineRule="auto"/>
        <w:rPr>
          <w:sz w:val="20"/>
          <w:szCs w:val="20"/>
          <w:color w:val="auto"/>
        </w:rPr>
      </w:pPr>
      <w:r>
        <w:rPr>
          <w:rFonts w:ascii="Courier New" w:cs="Courier New" w:eastAsia="Courier New" w:hAnsi="Courier New"/>
          <w:sz w:val="18"/>
          <w:szCs w:val="18"/>
          <w:color w:val="auto"/>
        </w:rPr>
        <w:t>======= ====== ==========</w:t>
      </w:r>
    </w:p>
    <w:p>
      <w:pPr>
        <w:jc w:val="center"/>
        <w:ind w:right="6739"/>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right="1779" w:hanging="412"/>
        <w:spacing w:after="0" w:line="260"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2000, we recorded acquisition-related charges of $75,617, relating to our acquisitions of International Telecommunication Data Systems, Inc. ("ITDS") in November 1999 and Solect Technology Group Inc. ("Solect") in April 2000, in stock-for-stock transactions. These charges included write-offs of purchased in-process research and development and other indirect acquisition-related costs.</w:t>
      </w:r>
    </w:p>
    <w:p>
      <w:pPr>
        <w:spacing w:after="0" w:line="92" w:lineRule="exact"/>
        <w:rPr>
          <w:rFonts w:ascii="Courier New" w:cs="Courier New" w:eastAsia="Courier New" w:hAnsi="Courier New"/>
          <w:sz w:val="18"/>
          <w:szCs w:val="18"/>
          <w:color w:val="auto"/>
        </w:rPr>
      </w:pPr>
    </w:p>
    <w:p>
      <w:pPr>
        <w:ind w:left="420" w:right="2099" w:hanging="412"/>
        <w:spacing w:after="0" w:line="306" w:lineRule="auto"/>
        <w:tabs>
          <w:tab w:leader="none" w:pos="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fiscal 2002, we recorded acquisition-related charges for in-process research and development of $17,400, relating to our November 2001 acquisition from Nortel Networks Corporation of substantially all of the assets of its Clarify business ("Clarify") for cash. We also recorded restructuring charges of $34,230 relating to the closure of our Stamford,</w:t>
      </w:r>
    </w:p>
    <w:p>
      <w:pPr>
        <w:sectPr>
          <w:pgSz w:w="11900" w:h="16838" w:orient="portrait"/>
          <w:cols w:equalWidth="0" w:num="1">
            <w:col w:w="10219"/>
          </w:cols>
          <w:pgMar w:left="240" w:top="691" w:right="1440" w:bottom="0" w:gutter="0" w:footer="0" w:header="0"/>
        </w:sectPr>
      </w:pPr>
    </w:p>
    <w:bookmarkStart w:id="7" w:name="page8"/>
    <w:bookmarkEnd w:id="7"/>
    <w:p>
      <w:pPr>
        <w:ind w:left="412"/>
        <w:spacing w:after="0"/>
        <w:rPr>
          <w:sz w:val="20"/>
          <w:szCs w:val="20"/>
          <w:color w:val="auto"/>
        </w:rPr>
      </w:pPr>
      <w:r>
        <w:rPr>
          <w:rFonts w:ascii="Courier New" w:cs="Courier New" w:eastAsia="Courier New" w:hAnsi="Courier New"/>
          <w:sz w:val="18"/>
          <w:szCs w:val="18"/>
          <w:color w:val="auto"/>
        </w:rPr>
        <w:t>Connecticut data center and our cost reduction program.</w:t>
      </w:r>
    </w:p>
    <w:p>
      <w:pPr>
        <w:spacing w:after="0" w:line="201" w:lineRule="exact"/>
        <w:rPr>
          <w:sz w:val="20"/>
          <w:szCs w:val="20"/>
          <w:color w:val="auto"/>
        </w:rPr>
      </w:pPr>
    </w:p>
    <w:p>
      <w:pPr>
        <w:ind w:left="412" w:right="1779" w:hanging="412"/>
        <w:spacing w:after="0" w:line="256" w:lineRule="auto"/>
        <w:tabs>
          <w:tab w:leader="none" w:pos="41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first quarter of fiscal 2003, we recorded a restructuring charge of $9,956 related to our cost reduction program. In the fourth quarter of fiscal 2003, we recorded an acquisition-related charge of $4,133 related to our July 2003 acquisition from Bell Canada of its 90% ownership interest in Certen Inc. ("Certen") for cash. Prior to this acquisition, we had 10% ownership interest in Certen. This charge reflects our 10% share in Certen's pre-acquisition results.</w:t>
      </w:r>
    </w:p>
    <w:p>
      <w:pPr>
        <w:spacing w:after="0" w:line="98" w:lineRule="exact"/>
        <w:rPr>
          <w:rFonts w:ascii="Courier New" w:cs="Courier New" w:eastAsia="Courier New" w:hAnsi="Courier New"/>
          <w:sz w:val="18"/>
          <w:szCs w:val="18"/>
          <w:color w:val="auto"/>
        </w:rPr>
      </w:pPr>
    </w:p>
    <w:p>
      <w:pPr>
        <w:ind w:left="412" w:right="1779" w:hanging="412"/>
        <w:spacing w:after="0" w:line="248" w:lineRule="auto"/>
        <w:tabs>
          <w:tab w:leader="none" w:pos="41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May 2001, we issued $500,000 aggregate principal amount of our 2% Convertible Notes dues June 1, 2008 (the "2% Notes"). On July 23, 2002, our Board of Directors authorized us to repurchase 2% Notes in such amounts, at such prices and at such times considered appropriate. During the fourth quarter of fiscal 2003, we repurchased $44,600 aggregate principal amount of 2% Notes, at an average price of 99% of the principal amount. During fiscal 2002, we repurchased $54,946 aggregate principal amount of 2% Notes, at an average price of 89% of the principal amount. In fiscal 2003 and 2002, we recorded gains of $448 and $6,012, respectively, relating to the repurchases of the 2% Notes. As of September 30, 2003, $400,454 aggregate principal amount of 2% Notes was outstanding. As of that date, the aggregate principal amount of 2% Notes outstanding</w:t>
      </w:r>
    </w:p>
    <w:p>
      <w:pPr>
        <w:spacing w:after="0" w:line="105"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1"/>
          </w:cols>
          <w:pgMar w:left="248" w:top="110" w:right="1440" w:bottom="1440" w:gutter="0" w:footer="0" w:header="0"/>
        </w:sectPr>
      </w:pPr>
    </w:p>
    <w:bookmarkStart w:id="8" w:name="page9"/>
    <w:bookmarkEnd w:id="8"/>
    <w:p>
      <w:pPr>
        <w:ind w:left="412" w:right="1999"/>
        <w:spacing w:after="0" w:line="347" w:lineRule="auto"/>
        <w:rPr>
          <w:sz w:val="20"/>
          <w:szCs w:val="20"/>
          <w:color w:val="auto"/>
        </w:rPr>
      </w:pPr>
      <w:r>
        <w:rPr>
          <w:rFonts w:ascii="Courier New" w:cs="Courier New" w:eastAsia="Courier New" w:hAnsi="Courier New"/>
          <w:sz w:val="18"/>
          <w:szCs w:val="18"/>
          <w:color w:val="auto"/>
        </w:rPr>
        <w:t>is presented as a current liability, due to the holders' option to require us to repurchase the 2% Notes on June 1, 2004.</w:t>
      </w:r>
    </w:p>
    <w:p>
      <w:pPr>
        <w:spacing w:after="0" w:line="18" w:lineRule="exact"/>
        <w:rPr>
          <w:sz w:val="20"/>
          <w:szCs w:val="20"/>
          <w:color w:val="auto"/>
        </w:rPr>
      </w:pPr>
    </w:p>
    <w:p>
      <w:pPr>
        <w:ind w:left="412" w:right="1879" w:hanging="412"/>
        <w:spacing w:after="0" w:line="292" w:lineRule="auto"/>
        <w:tabs>
          <w:tab w:leader="none" w:pos="41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options to purchase an aggregate of 2,757 ordinary shares were issued in exchange for employee options in connection with the Solect and ITDS acquisitions.</w:t>
      </w:r>
    </w:p>
    <w:p>
      <w:pPr>
        <w:spacing w:after="0" w:line="66" w:lineRule="exact"/>
        <w:rPr>
          <w:rFonts w:ascii="Courier New" w:cs="Courier New" w:eastAsia="Courier New" w:hAnsi="Courier New"/>
          <w:sz w:val="18"/>
          <w:szCs w:val="18"/>
          <w:color w:val="auto"/>
        </w:rPr>
      </w:pPr>
    </w:p>
    <w:p>
      <w:pPr>
        <w:ind w:left="412" w:right="2099" w:hanging="412"/>
        <w:spacing w:after="0" w:line="289" w:lineRule="auto"/>
        <w:tabs>
          <w:tab w:leader="none" w:pos="41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November 6, 2001, our Board of Directors approved a twelve-month share repurchase program and authorized us to repurchase our ordinary shares. During fiscal 2002, we repurchased 7,732 ordinary shares, at an average price of $14.13 per share. During fiscal 2003, we did not repurchase any ordinary shares. On November 5, 2003, our Board of Directors approved an additional twelve-month share repurchase program. In accordance with this program, as of December 22, 2003, we had repurchased an additional 4,990 ordinary shares, at an average price of $24.82 per share.</w:t>
      </w:r>
    </w:p>
    <w:p>
      <w:pPr>
        <w:spacing w:after="0" w:line="77"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691"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ind w:left="220" w:right="1879"/>
        <w:spacing w:after="0" w:line="347" w:lineRule="auto"/>
        <w:rPr>
          <w:sz w:val="20"/>
          <w:szCs w:val="20"/>
          <w:color w:val="auto"/>
        </w:rPr>
      </w:pPr>
      <w:r>
        <w:rPr>
          <w:rFonts w:ascii="Courier New" w:cs="Courier New" w:eastAsia="Courier New" w:hAnsi="Courier New"/>
          <w:sz w:val="18"/>
          <w:szCs w:val="18"/>
          <w:color w:val="auto"/>
        </w:rPr>
        <w:t>WE ARE EXPOSED TO GENERAL GLOBAL ECONOMIC AND MARKET CONDITIONS, PARTICULARLY THOSE IMPACTING THE COMMUNICATIONS INDUSTRY.</w:t>
      </w:r>
    </w:p>
    <w:p>
      <w:pPr>
        <w:spacing w:after="0" w:line="18"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w:t>
      </w:r>
    </w:p>
    <w:p>
      <w:pPr>
        <w:spacing w:after="0" w:line="105"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our revenues declined in the second half of fiscal 2002 and continued to decline in the first quarter of fiscal 2003. As a result, we undertook restructuring programs in fiscal 2002 and fiscal 2003 to reduce costs. Adverse market conditions could continue to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108" w:lineRule="exact"/>
        <w:rPr>
          <w:sz w:val="20"/>
          <w:szCs w:val="20"/>
          <w:color w:val="auto"/>
        </w:rPr>
      </w:pPr>
    </w:p>
    <w:p>
      <w:pPr>
        <w:ind w:left="220" w:right="1999"/>
        <w:spacing w:after="0" w:line="402" w:lineRule="auto"/>
        <w:rPr>
          <w:sz w:val="20"/>
          <w:szCs w:val="20"/>
          <w:color w:val="auto"/>
        </w:rPr>
      </w:pPr>
      <w:r>
        <w:rPr>
          <w:rFonts w:ascii="Courier New" w:cs="Courier New" w:eastAsia="Courier New" w:hAnsi="Courier New"/>
          <w:sz w:val="16"/>
          <w:szCs w:val="16"/>
          <w:color w:val="auto"/>
        </w:rPr>
        <w:t>IF WE FAIL TO ADAPT TO CHANGING MARKET CONDITIONS AND CANNOT COMPETE SUCCESSFULLY WITH EXISTING OR NEW COMPETITORS, OUR BUSINESS COULD BE HARMED.</w:t>
      </w:r>
    </w:p>
    <w:p>
      <w:pPr>
        <w:spacing w:after="0" w:line="1"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a combination of services, such as system modernization and consolidation, management and operation of data centers, purchase and management of related hardware assets, billing operations and application support.</w:t>
      </w:r>
    </w:p>
    <w:p>
      <w:pPr>
        <w:spacing w:after="0" w:line="104"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104"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We believe that our ability to compete depends on a number of factors, including:</w:t>
      </w:r>
    </w:p>
    <w:p>
      <w:pPr>
        <w:spacing w:after="0" w:line="18" w:lineRule="exact"/>
        <w:rPr>
          <w:sz w:val="20"/>
          <w:szCs w:val="20"/>
          <w:color w:val="auto"/>
        </w:rPr>
      </w:pPr>
    </w:p>
    <w:p>
      <w:pPr>
        <w:ind w:left="860" w:right="2419" w:hanging="325"/>
        <w:spacing w:after="0" w:line="347"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development by others of software that is competitive with our products and services,</w:t>
      </w:r>
    </w:p>
    <w:p>
      <w:pPr>
        <w:spacing w:after="0" w:line="18"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others offer competitive software and services,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responsiveness of our competitors to customer needs, and</w:t>
      </w:r>
    </w:p>
    <w:p>
      <w:pPr>
        <w:spacing w:after="0" w:line="201" w:lineRule="exact"/>
        <w:rPr>
          <w:rFonts w:ascii="Courier New" w:cs="Courier New" w:eastAsia="Courier New" w:hAnsi="Courier New"/>
          <w:sz w:val="18"/>
          <w:szCs w:val="18"/>
          <w:color w:val="auto"/>
        </w:rPr>
      </w:pPr>
    </w:p>
    <w:p>
      <w:pPr>
        <w:ind w:left="860" w:right="2739" w:hanging="325"/>
        <w:spacing w:after="0" w:line="347"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our competitors to hire, retain and motivate key personnel.</w:t>
      </w:r>
    </w:p>
    <w:p>
      <w:pPr>
        <w:spacing w:after="0" w:line="18" w:lineRule="exact"/>
        <w:rPr>
          <w:sz w:val="20"/>
          <w:szCs w:val="20"/>
          <w:color w:val="auto"/>
        </w:rPr>
      </w:pPr>
    </w:p>
    <w:p>
      <w:pPr>
        <w:ind w:right="1879" w:firstLine="527"/>
        <w:spacing w:after="0" w:line="244" w:lineRule="auto"/>
        <w:rPr>
          <w:sz w:val="20"/>
          <w:szCs w:val="20"/>
          <w:color w:val="auto"/>
        </w:rPr>
      </w:pPr>
      <w:r>
        <w:rPr>
          <w:rFonts w:ascii="Courier New" w:cs="Courier New" w:eastAsia="Courier New" w:hAnsi="Courier New"/>
          <w:sz w:val="18"/>
          <w:szCs w:val="18"/>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0" w:gutter="0" w:footer="0" w:header="0"/>
        </w:sectPr>
      </w:pPr>
    </w:p>
    <w:bookmarkStart w:id="10" w:name="page11"/>
    <w:bookmarkEnd w:id="10"/>
    <w:p>
      <w:pPr>
        <w:ind w:right="1779"/>
        <w:spacing w:after="0" w:line="249" w:lineRule="auto"/>
        <w:rPr>
          <w:sz w:val="20"/>
          <w:szCs w:val="20"/>
          <w:color w:val="auto"/>
        </w:rPr>
      </w:pPr>
      <w:r>
        <w:rPr>
          <w:rFonts w:ascii="Courier New" w:cs="Courier New" w:eastAsia="Courier New" w:hAnsi="Courier New"/>
          <w:sz w:val="18"/>
          <w:szCs w:val="18"/>
          <w:color w:val="auto"/>
        </w:rPr>
        <w:t>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04" w:lineRule="exact"/>
        <w:rPr>
          <w:sz w:val="20"/>
          <w:szCs w:val="20"/>
          <w:color w:val="auto"/>
        </w:rPr>
      </w:pPr>
    </w:p>
    <w:p>
      <w:pPr>
        <w:ind w:left="220" w:right="2099"/>
        <w:spacing w:after="0" w:line="402" w:lineRule="auto"/>
        <w:rPr>
          <w:sz w:val="20"/>
          <w:szCs w:val="20"/>
          <w:color w:val="auto"/>
        </w:rPr>
      </w:pPr>
      <w:r>
        <w:rPr>
          <w:rFonts w:ascii="Courier New" w:cs="Courier New" w:eastAsia="Courier New" w:hAnsi="Courier New"/>
          <w:sz w:val="16"/>
          <w:szCs w:val="16"/>
          <w:color w:val="auto"/>
        </w:rPr>
        <w:t>IF WE DO NOT CONTINUALLY ENHANCE OUR PRODUCTS AND SERVICE OFFERINGS, WE MAY HAVE DIFFICULTY RETAINING EXISTING CUSTOMERS AND ATTRACTING NEW CUSTOMERS.</w:t>
      </w:r>
    </w:p>
    <w:p>
      <w:pPr>
        <w:spacing w:after="0" w:line="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104" w:lineRule="exact"/>
        <w:rPr>
          <w:sz w:val="20"/>
          <w:szCs w:val="20"/>
          <w:color w:val="auto"/>
        </w:rPr>
      </w:pPr>
    </w:p>
    <w:p>
      <w:pPr>
        <w:ind w:left="220" w:right="1999"/>
        <w:spacing w:after="0" w:line="292" w:lineRule="auto"/>
        <w:rPr>
          <w:sz w:val="20"/>
          <w:szCs w:val="20"/>
          <w:color w:val="auto"/>
        </w:rPr>
      </w:pPr>
      <w:r>
        <w:rPr>
          <w:rFonts w:ascii="Courier New" w:cs="Courier New" w:eastAsia="Courier New" w:hAnsi="Courier New"/>
          <w:sz w:val="18"/>
          <w:szCs w:val="18"/>
          <w:color w:val="auto"/>
        </w:rPr>
        <w:t>WE MAY SEEK TO ACQUIRE COMPANIES OR TECHNOLOGIES, WHICH COULD DISRUPT OUR ONGOING BUSINESS, DISTRACT OUR MANAGEMENT AND EMPLOYEES AND ADVERSELY AFFECT OUR RESULTS OF OPERATIONS.</w:t>
      </w:r>
    </w:p>
    <w:p>
      <w:pPr>
        <w:spacing w:after="0" w:line="66" w:lineRule="exact"/>
        <w:rPr>
          <w:sz w:val="20"/>
          <w:szCs w:val="20"/>
          <w:color w:val="auto"/>
        </w:rPr>
      </w:pPr>
    </w:p>
    <w:p>
      <w:pPr>
        <w:ind w:right="1879" w:firstLine="527"/>
        <w:spacing w:after="0" w:line="247" w:lineRule="auto"/>
        <w:rPr>
          <w:sz w:val="20"/>
          <w:szCs w:val="20"/>
          <w:color w:val="auto"/>
        </w:rPr>
      </w:pPr>
      <w:r>
        <w:rPr>
          <w:rFonts w:ascii="Courier New" w:cs="Courier New" w:eastAsia="Courier New" w:hAnsi="Courier New"/>
          <w:sz w:val="18"/>
          <w:szCs w:val="18"/>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108" w:lineRule="exact"/>
        <w:rPr>
          <w:sz w:val="20"/>
          <w:szCs w:val="20"/>
          <w:color w:val="auto"/>
        </w:rPr>
      </w:pPr>
    </w:p>
    <w:p>
      <w:pPr>
        <w:jc w:val="both"/>
        <w:ind w:left="220" w:right="2099"/>
        <w:spacing w:after="0" w:line="292" w:lineRule="auto"/>
        <w:rPr>
          <w:sz w:val="20"/>
          <w:szCs w:val="20"/>
          <w:color w:val="auto"/>
        </w:rPr>
      </w:pPr>
      <w:r>
        <w:rPr>
          <w:rFonts w:ascii="Courier New" w:cs="Courier New" w:eastAsia="Courier New" w:hAnsi="Courier New"/>
          <w:sz w:val="18"/>
          <w:szCs w:val="18"/>
          <w:color w:val="auto"/>
        </w:rPr>
        <w:t>OUR BUSINESS IS DEPENDENT ON A LIMITED NUMBER OF SIGNIFICANT CUSTOMERS, AND THE LOSS OF ANY ONE OF OUR SIGNIFICANT CUSTOMERS COULD HARM OUR RESULTS OF OPERATIONS.</w:t>
      </w:r>
    </w:p>
    <w:p>
      <w:pPr>
        <w:spacing w:after="0" w:line="66"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Our business is dependent on a limited number of significant customers. Our three largest groups of customers are comprised of Bell, Canada Nextel Communications ("Nextel"), and SBC Communications Inc. ("SBC") and certain of their subsidiaries, each of which accounted for more than 10% of our revenue in fiscal 2003. Aggregate revenue derived from the multiple business arrangements we have with our five largest customer groups accounted for approximately 55% of our revenue in fiscal 2003. SBC has historically been one of our largest shareholders, and, as of November 28, 2003, it beneficially owned approximately 9.4% of our outstanding ordinary shares. The loss of any significant customer or a significant decrease in business from any such customer could harm our results of operations and financial condition.</w:t>
      </w:r>
    </w:p>
    <w:p>
      <w:pPr>
        <w:spacing w:after="0" w:line="104"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1440" w:gutter="0" w:footer="0" w:header="0"/>
        </w:sectPr>
      </w:pPr>
    </w:p>
    <w:bookmarkStart w:id="11" w:name="page12"/>
    <w:bookmarkEnd w:id="11"/>
    <w:p>
      <w:pPr>
        <w:ind w:left="220" w:right="1999"/>
        <w:spacing w:after="0" w:line="292" w:lineRule="auto"/>
        <w:rPr>
          <w:sz w:val="20"/>
          <w:szCs w:val="20"/>
          <w:color w:val="auto"/>
        </w:rPr>
      </w:pPr>
      <w:r>
        <w:rPr>
          <w:rFonts w:ascii="Courier New" w:cs="Courier New" w:eastAsia="Courier New" w:hAnsi="Courier New"/>
          <w:sz w:val="18"/>
          <w:szCs w:val="18"/>
          <w:color w:val="auto"/>
        </w:rPr>
        <w:t>OUR FUTURE SUCCESS WILL DEPEND ON OUR ABILITY TO DEVELOP LONG-TERM RELATIONSHIPS WITH OUR CUSTOMERS AND TO MEET THEIR EXPECTATIONS IN PROVIDING PRODUCTS AND PERFORMING SERVICES.</w:t>
      </w:r>
    </w:p>
    <w:p>
      <w:pPr>
        <w:spacing w:after="0" w:line="66"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75" w:lineRule="exact"/>
        <w:rPr>
          <w:sz w:val="20"/>
          <w:szCs w:val="20"/>
          <w:color w:val="auto"/>
        </w:rPr>
      </w:pPr>
    </w:p>
    <w:p>
      <w:pPr>
        <w:ind w:left="220" w:right="2199"/>
        <w:spacing w:after="0" w:line="347" w:lineRule="auto"/>
        <w:rPr>
          <w:sz w:val="20"/>
          <w:szCs w:val="20"/>
          <w:color w:val="auto"/>
        </w:rPr>
      </w:pPr>
      <w:r>
        <w:rPr>
          <w:rFonts w:ascii="Courier New" w:cs="Courier New" w:eastAsia="Courier New" w:hAnsi="Courier New"/>
          <w:sz w:val="18"/>
          <w:szCs w:val="18"/>
          <w:color w:val="auto"/>
        </w:rPr>
        <w:t>WE MAY BE EXPOSED TO THE CREDIT RISK OF CUSTOMERS THAT HAVE BEEN ADVERSELY AFFECTED BY WEAKENED MARKETS.</w:t>
      </w:r>
    </w:p>
    <w:p>
      <w:pPr>
        <w:spacing w:after="0" w:line="18"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93" w:lineRule="exact"/>
        <w:rPr>
          <w:sz w:val="20"/>
          <w:szCs w:val="20"/>
          <w:color w:val="auto"/>
        </w:rPr>
      </w:pPr>
    </w:p>
    <w:p>
      <w:pPr>
        <w:ind w:left="220" w:right="1879"/>
        <w:spacing w:after="0" w:line="274" w:lineRule="auto"/>
        <w:rPr>
          <w:sz w:val="20"/>
          <w:szCs w:val="20"/>
          <w:color w:val="auto"/>
        </w:rPr>
      </w:pPr>
      <w:r>
        <w:rPr>
          <w:rFonts w:ascii="Courier New" w:cs="Courier New" w:eastAsia="Courier New" w:hAnsi="Courier New"/>
          <w:sz w:val="18"/>
          <w:szCs w:val="18"/>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82"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300"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82" w:lineRule="exact"/>
        <w:rPr>
          <w:sz w:val="20"/>
          <w:szCs w:val="20"/>
          <w:color w:val="auto"/>
        </w:rPr>
      </w:pPr>
    </w:p>
    <w:p>
      <w:pPr>
        <w:ind w:left="220" w:right="1779"/>
        <w:spacing w:after="0" w:line="292" w:lineRule="auto"/>
        <w:rPr>
          <w:sz w:val="20"/>
          <w:szCs w:val="20"/>
          <w:color w:val="auto"/>
        </w:rPr>
      </w:pPr>
      <w:r>
        <w:rPr>
          <w:rFonts w:ascii="Courier New" w:cs="Courier New" w:eastAsia="Courier New" w:hAnsi="Courier New"/>
          <w:sz w:val="18"/>
          <w:szCs w:val="18"/>
          <w:color w:val="auto"/>
        </w:rPr>
        <w:t>OUR QUARTERLY OPERATING RESULTS MAY FLUCTUATE, AND A DECLINE IN REVENUE IN ANY QUARTER COULD RESULT IN LOWER PROFITABILITY FOR THAT QUARTER AND FLUCTUATIONS IN THE MARKET PRICE OF OUR ORDINARY SHARES.</w:t>
      </w:r>
    </w:p>
    <w:p>
      <w:pPr>
        <w:spacing w:after="0" w:line="66"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We have experienced fluctuations in our quarterly operating results and anticipate that such movement may continue and could intensify. Fluctuations may result from many factors, including:</w:t>
      </w:r>
    </w:p>
    <w:p>
      <w:pPr>
        <w:spacing w:after="0" w:line="66" w:lineRule="exact"/>
        <w:rPr>
          <w:sz w:val="20"/>
          <w:szCs w:val="20"/>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size and timing of significant customer projects and license fees,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delays in or cancellations of significant projects by customers,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operating expenses,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competition,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strategy,</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793" w:gutter="0" w:footer="0" w:header="0"/>
        </w:sectPr>
      </w:pPr>
    </w:p>
    <w:bookmarkStart w:id="12" w:name="page13"/>
    <w:bookmarkEnd w:id="12"/>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changes,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currency exchange rate fluctuations,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and political conditions.</w:t>
      </w:r>
    </w:p>
    <w:p>
      <w:pPr>
        <w:spacing w:after="0" w:line="20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Generally, our license fee revenue and our service fee revenue relating to customization and modification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93"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104" w:lineRule="exact"/>
        <w:rPr>
          <w:sz w:val="20"/>
          <w:szCs w:val="20"/>
          <w:color w:val="auto"/>
        </w:rPr>
      </w:pPr>
    </w:p>
    <w:p>
      <w:pPr>
        <w:ind w:left="220" w:right="2099"/>
        <w:spacing w:after="0" w:line="292" w:lineRule="auto"/>
        <w:rPr>
          <w:sz w:val="20"/>
          <w:szCs w:val="20"/>
          <w:color w:val="auto"/>
        </w:rPr>
      </w:pPr>
      <w:r>
        <w:rPr>
          <w:rFonts w:ascii="Courier New" w:cs="Courier New" w:eastAsia="Courier New" w:hAnsi="Courier New"/>
          <w:sz w:val="18"/>
          <w:szCs w:val="18"/>
          <w:color w:val="auto"/>
        </w:rPr>
        <w:t>OUR REVENUE, EARNINGS AND PROFITABILITY ARE IMPACTED BY THE LENGTH OF OUR SALES CYCLE, AND A LONGER SALES CYCLE COULD ADVERSELY AFFECT OUR RESULTS OF OPERATIONS AND FINANCIAL CONDITION.</w:t>
      </w:r>
    </w:p>
    <w:p>
      <w:pPr>
        <w:spacing w:after="0" w:line="66"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Beginning in the second half of fiscal 2002,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299" w:lineRule="exact"/>
        <w:rPr>
          <w:sz w:val="20"/>
          <w:szCs w:val="20"/>
          <w:color w:val="auto"/>
        </w:rPr>
      </w:pPr>
    </w:p>
    <w:p>
      <w:pPr>
        <w:ind w:left="220" w:right="2839"/>
        <w:spacing w:after="0" w:line="347" w:lineRule="auto"/>
        <w:rPr>
          <w:sz w:val="20"/>
          <w:szCs w:val="20"/>
          <w:color w:val="auto"/>
        </w:rPr>
      </w:pPr>
      <w:r>
        <w:rPr>
          <w:rFonts w:ascii="Courier New" w:cs="Courier New" w:eastAsia="Courier New" w:hAnsi="Courier New"/>
          <w:sz w:val="18"/>
          <w:szCs w:val="18"/>
          <w:color w:val="auto"/>
        </w:rPr>
        <w:t>IF THE MARKET FOR OUR PRODUCTS DETERIORATES, WE MAY INCUR ADDITIONAL RESTRUCTURING CHARGES.</w:t>
      </w:r>
    </w:p>
    <w:p>
      <w:pPr>
        <w:spacing w:after="0" w:line="18"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 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104" w:lineRule="exact"/>
        <w:rPr>
          <w:sz w:val="20"/>
          <w:szCs w:val="20"/>
          <w:color w:val="auto"/>
        </w:rPr>
      </w:pPr>
    </w:p>
    <w:p>
      <w:pPr>
        <w:ind w:left="220" w:right="2739"/>
        <w:spacing w:after="0" w:line="347" w:lineRule="auto"/>
        <w:rPr>
          <w:sz w:val="20"/>
          <w:szCs w:val="20"/>
          <w:color w:val="auto"/>
        </w:rPr>
      </w:pPr>
      <w:r>
        <w:rPr>
          <w:rFonts w:ascii="Courier New" w:cs="Courier New" w:eastAsia="Courier New" w:hAnsi="Courier New"/>
          <w:sz w:val="18"/>
          <w:szCs w:val="18"/>
          <w:color w:val="auto"/>
        </w:rPr>
        <w:t>IF WE FAIL TO SUCCESSFULLY PLAN AND MANAGE CHANGES IN THE SIZE OF OUR OPERATIONS OUR BUSINESS WILL SUFFER.</w:t>
      </w:r>
    </w:p>
    <w:p>
      <w:pPr>
        <w:spacing w:after="0" w:line="18"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90" w:lineRule="exact"/>
        <w:rPr>
          <w:sz w:val="20"/>
          <w:szCs w:val="20"/>
          <w:color w:val="auto"/>
        </w:rPr>
      </w:pPr>
    </w:p>
    <w:p>
      <w:pPr>
        <w:ind w:right="1879" w:firstLine="527"/>
        <w:spacing w:after="0" w:line="244" w:lineRule="auto"/>
        <w:rPr>
          <w:sz w:val="20"/>
          <w:szCs w:val="20"/>
          <w:color w:val="auto"/>
        </w:rPr>
      </w:pPr>
      <w:r>
        <w:rPr>
          <w:rFonts w:ascii="Courier New" w:cs="Courier New" w:eastAsia="Courier New" w:hAnsi="Courier New"/>
          <w:sz w:val="18"/>
          <w:szCs w:val="18"/>
          <w:color w:val="auto"/>
        </w:rPr>
        <w:t>Our restructurings and cost reduction measures reduced the size of our operations. On January 31, 2003, we employed approximately 7,800 individuals in software and information technology positions, compared to approximately 9,100 on November 30, 2001. Our software and information technology workforce increased to 9,000 positions as of November 30, 2003, primarily as a result of the Certen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0" w:gutter="0" w:footer="0" w:header="0"/>
        </w:sectPr>
      </w:pPr>
    </w:p>
    <w:bookmarkStart w:id="13" w:name="page14"/>
    <w:bookmarkEnd w:id="13"/>
    <w:p>
      <w:pPr>
        <w:ind w:right="1879"/>
        <w:spacing w:after="0" w:line="249" w:lineRule="auto"/>
        <w:rPr>
          <w:sz w:val="20"/>
          <w:szCs w:val="20"/>
          <w:color w:val="auto"/>
        </w:rPr>
      </w:pPr>
      <w:r>
        <w:rPr>
          <w:rFonts w:ascii="Courier New" w:cs="Courier New" w:eastAsia="Courier New" w:hAnsi="Courier New"/>
          <w:sz w:val="18"/>
          <w:szCs w:val="18"/>
          <w:color w:val="auto"/>
        </w:rPr>
        <w:t>acquisition in July 2003 and a Managed Services agreement signed in January 2003. During periods of contraction, we disposed of office space and related obligations in an effort to keep pace with the changing size of our operations. Our recent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104" w:lineRule="exact"/>
        <w:rPr>
          <w:sz w:val="20"/>
          <w:szCs w:val="20"/>
          <w:color w:val="auto"/>
        </w:rPr>
      </w:pPr>
    </w:p>
    <w:p>
      <w:pPr>
        <w:ind w:left="220" w:right="2319"/>
        <w:spacing w:after="0" w:line="347" w:lineRule="auto"/>
        <w:rPr>
          <w:sz w:val="20"/>
          <w:szCs w:val="20"/>
          <w:color w:val="auto"/>
        </w:rPr>
      </w:pPr>
      <w:r>
        <w:rPr>
          <w:rFonts w:ascii="Courier New" w:cs="Courier New" w:eastAsia="Courier New" w:hAnsi="Courier New"/>
          <w:sz w:val="18"/>
          <w:szCs w:val="18"/>
          <w:color w:val="auto"/>
        </w:rPr>
        <w:t>OUR INTERNATIONAL PRESENCE EXPOSES US TO RISKS ASSOCIATED WITH VARIED AND CHANGING POLITICAL, CULTURAL AND ECONOMIC CONDITIONS WORLDWIDE.</w:t>
      </w:r>
    </w:p>
    <w:p>
      <w:pPr>
        <w:spacing w:after="0" w:line="18"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We are affected by risks associated with conducting business internationally. We maintain development facilities in Israel, the United States, Cyprus, Ireland and Canada, operate a support center in Brazil and have operations in North America, Europe, Latin America and the Asia-Pacific region. Although a majority of our revenue is derived from customers in North America and Europe, we obtain 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104" w:lineRule="exact"/>
        <w:rPr>
          <w:sz w:val="20"/>
          <w:szCs w:val="20"/>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acceptance of non-localized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and cultural differences in the conduct of business,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staffing and managing foreign operations,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longer payment cycles,</w:t>
      </w:r>
    </w:p>
    <w:p>
      <w:pPr>
        <w:spacing w:after="0" w:line="201"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collecting accounts receivable and withholding taxes that limit the repatriation of earnings,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barriers,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immigration regulations that limit our ability to deploy our employees,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instability, and</w:t>
      </w:r>
    </w:p>
    <w:p>
      <w:pPr>
        <w:spacing w:after="0" w:line="201"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effective income tax rates among countries where we conduct business.</w:t>
      </w:r>
    </w:p>
    <w:p>
      <w:pPr>
        <w:spacing w:after="0" w:line="18"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One or more of these factors could have a material adverse effect on our international operations, which could harm our results of operations and financial condition.</w:t>
      </w:r>
    </w:p>
    <w:p>
      <w:pPr>
        <w:spacing w:after="0" w:line="66" w:lineRule="exact"/>
        <w:rPr>
          <w:sz w:val="20"/>
          <w:szCs w:val="20"/>
          <w:color w:val="auto"/>
        </w:rPr>
      </w:pPr>
    </w:p>
    <w:p>
      <w:pPr>
        <w:ind w:left="220" w:right="1879"/>
        <w:spacing w:after="0" w:line="292" w:lineRule="auto"/>
        <w:rPr>
          <w:sz w:val="20"/>
          <w:szCs w:val="20"/>
          <w:color w:val="auto"/>
        </w:rPr>
      </w:pPr>
      <w:r>
        <w:rPr>
          <w:rFonts w:ascii="Courier New" w:cs="Courier New" w:eastAsia="Courier New" w:hAnsi="Courier New"/>
          <w:sz w:val="18"/>
          <w:szCs w:val="18"/>
          <w:color w:val="auto"/>
        </w:rPr>
        <w:t>POLITICAL AND ECONOMIC CONDITIONS IN THE MIDDLE EAST MAY ADVERSELY AFFECT OUR BUSINESS AND OUR DEVELOPMENT FACILITY IN CYPRUS MAY BE ADVERSELY AFFECTED BY POLITICAL CONDITIONS IN THAT COUNTRY.</w:t>
      </w:r>
    </w:p>
    <w:p>
      <w:pPr>
        <w:spacing w:after="0" w:line="66"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Of the five development centers we maintain worldwide, our largest development center is located in five different sites throughout Israel. Approximately half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108"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While Israel has entered into peace agreements with both Egypt and Jordan, Israel has not entered into peace arrangements with any other neighboring countries. Over the past three years there has been a significant deterioration in Israel's relationship with the Palestinian Authority and a related increase in</w:t>
      </w:r>
    </w:p>
    <w:p>
      <w:pPr>
        <w:spacing w:after="0" w:line="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1" w:right="1440" w:bottom="388" w:gutter="0" w:footer="0" w:header="0"/>
        </w:sectPr>
      </w:pPr>
    </w:p>
    <w:bookmarkStart w:id="14" w:name="page15"/>
    <w:bookmarkEnd w:id="14"/>
    <w:p>
      <w:pPr>
        <w:ind w:right="1999"/>
        <w:spacing w:after="0" w:line="260" w:lineRule="auto"/>
        <w:rPr>
          <w:sz w:val="20"/>
          <w:szCs w:val="20"/>
          <w:color w:val="auto"/>
        </w:rPr>
      </w:pPr>
      <w:r>
        <w:rPr>
          <w:rFonts w:ascii="Courier New" w:cs="Courier New" w:eastAsia="Courier New" w:hAnsi="Courier New"/>
          <w:sz w:val="18"/>
          <w:szCs w:val="18"/>
          <w:color w:val="auto"/>
        </w:rPr>
        <w:t>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93"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recently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104" w:lineRule="exact"/>
        <w:rPr>
          <w:sz w:val="20"/>
          <w:szCs w:val="20"/>
          <w:color w:val="auto"/>
        </w:rPr>
      </w:pPr>
    </w:p>
    <w:p>
      <w:pPr>
        <w:jc w:val="both"/>
        <w:ind w:left="220" w:right="1999"/>
        <w:spacing w:after="0" w:line="402" w:lineRule="auto"/>
        <w:rPr>
          <w:sz w:val="20"/>
          <w:szCs w:val="20"/>
          <w:color w:val="auto"/>
        </w:rPr>
      </w:pPr>
      <w:r>
        <w:rPr>
          <w:rFonts w:ascii="Courier New" w:cs="Courier New" w:eastAsia="Courier New" w:hAnsi="Courier New"/>
          <w:sz w:val="16"/>
          <w:szCs w:val="16"/>
          <w:color w:val="auto"/>
        </w:rPr>
        <w:t>OUR INTERNATIONAL OPERATIONS EXPOSE US TO RISKS ASSOCIATED WITH FLUCTUATIONS IN FOREIGN CURRENCY EXCHANGE RATES THAT COULD ADVERSELY AFFECT OUR BUSINESS.</w:t>
      </w:r>
    </w:p>
    <w:p>
      <w:pPr>
        <w:spacing w:after="0" w:line="1"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Although approximately half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29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In addition, a portion of our revenue (approximately 20% in fiscal 2003)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98"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68"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The imposition of exchange or price controls or other restrictions on the conversion of foreign currencies could also have a material adverse effect on our business, results of operations and financial condition.</w:t>
      </w:r>
    </w:p>
    <w:p>
      <w:pPr>
        <w:spacing w:after="0" w:line="66" w:lineRule="exact"/>
        <w:rPr>
          <w:sz w:val="20"/>
          <w:szCs w:val="20"/>
          <w:color w:val="auto"/>
        </w:rPr>
      </w:pPr>
    </w:p>
    <w:p>
      <w:pPr>
        <w:ind w:left="220" w:right="1879"/>
        <w:spacing w:after="0" w:line="347" w:lineRule="auto"/>
        <w:rPr>
          <w:sz w:val="20"/>
          <w:szCs w:val="20"/>
          <w:color w:val="auto"/>
        </w:rPr>
      </w:pPr>
      <w:r>
        <w:rPr>
          <w:rFonts w:ascii="Courier New" w:cs="Courier New" w:eastAsia="Courier New" w:hAnsi="Courier New"/>
          <w:sz w:val="18"/>
          <w:szCs w:val="18"/>
          <w:color w:val="auto"/>
        </w:rPr>
        <w:t>IF WE ARE UNABLE TO PROTECT OUR PROPRIETARY TECHNOLOGY FROM MISAPPROPRIATION, OUR BUSINESS MAY BE HARMED.</w:t>
      </w:r>
    </w:p>
    <w:p>
      <w:pPr>
        <w:spacing w:after="0" w:line="18" w:lineRule="exact"/>
        <w:rPr>
          <w:sz w:val="20"/>
          <w:szCs w:val="20"/>
          <w:color w:val="auto"/>
        </w:rPr>
      </w:pPr>
    </w:p>
    <w:p>
      <w:pPr>
        <w:ind w:right="1779" w:firstLine="527"/>
        <w:spacing w:after="0" w:line="242" w:lineRule="auto"/>
        <w:rPr>
          <w:sz w:val="20"/>
          <w:szCs w:val="20"/>
          <w:color w:val="auto"/>
        </w:rPr>
      </w:pPr>
      <w:r>
        <w:rPr>
          <w:rFonts w:ascii="Courier New" w:cs="Courier New" w:eastAsia="Courier New" w:hAnsi="Courier New"/>
          <w:sz w:val="18"/>
          <w:szCs w:val="18"/>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1440" w:gutter="0" w:footer="0" w:header="0"/>
        </w:sectPr>
      </w:pPr>
    </w:p>
    <w:bookmarkStart w:id="15" w:name="page16"/>
    <w:bookmarkEnd w:id="15"/>
    <w:p>
      <w:pPr>
        <w:ind w:right="1779" w:firstLine="527"/>
        <w:spacing w:after="0" w:line="289" w:lineRule="auto"/>
        <w:rPr>
          <w:sz w:val="20"/>
          <w:szCs w:val="20"/>
          <w:color w:val="auto"/>
        </w:rPr>
      </w:pPr>
      <w:r>
        <w:rPr>
          <w:rFonts w:ascii="Courier New" w:cs="Courier New" w:eastAsia="Courier New" w:hAnsi="Courier New"/>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77"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If we have to resort to legal proceedings to enforce our intellectual property rights, the proceedings could be burdensome, protracted and expensive and could involve a high degree of risk.</w:t>
      </w:r>
    </w:p>
    <w:p>
      <w:pPr>
        <w:spacing w:after="0" w:line="66" w:lineRule="exact"/>
        <w:rPr>
          <w:sz w:val="20"/>
          <w:szCs w:val="20"/>
          <w:color w:val="auto"/>
        </w:rPr>
      </w:pPr>
    </w:p>
    <w:p>
      <w:pPr>
        <w:ind w:left="220" w:right="1879"/>
        <w:spacing w:after="0" w:line="347" w:lineRule="auto"/>
        <w:rPr>
          <w:sz w:val="20"/>
          <w:szCs w:val="20"/>
          <w:color w:val="auto"/>
        </w:rPr>
      </w:pPr>
      <w:r>
        <w:rPr>
          <w:rFonts w:ascii="Courier New" w:cs="Courier New" w:eastAsia="Courier New" w:hAnsi="Courier New"/>
          <w:sz w:val="18"/>
          <w:szCs w:val="18"/>
          <w:color w:val="auto"/>
        </w:rPr>
        <w:t>CLAIMS BY OTHERS THAT WE INFRINGE THEIR PROPRIETARY TECHNOLOGY COULD HARM OUR BUSINESS.</w:t>
      </w:r>
    </w:p>
    <w:p>
      <w:pPr>
        <w:spacing w:after="0" w:line="18"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290"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 DEFECTS OR SOFTWARE ERRORS COULD ADVERSELY AFFECT OUR BUSINESS.</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90"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291" w:lineRule="exact"/>
        <w:rPr>
          <w:sz w:val="20"/>
          <w:szCs w:val="20"/>
          <w:color w:val="auto"/>
        </w:rPr>
      </w:pPr>
    </w:p>
    <w:p>
      <w:pPr>
        <w:ind w:left="120" w:right="2619"/>
        <w:spacing w:after="0" w:line="292" w:lineRule="auto"/>
        <w:rPr>
          <w:sz w:val="20"/>
          <w:szCs w:val="20"/>
          <w:color w:val="auto"/>
        </w:rPr>
      </w:pPr>
      <w:r>
        <w:rPr>
          <w:rFonts w:ascii="Courier New" w:cs="Courier New" w:eastAsia="Courier New" w:hAnsi="Courier New"/>
          <w:sz w:val="18"/>
          <w:szCs w:val="18"/>
          <w:color w:val="auto"/>
        </w:rPr>
        <w:t>SYSTEM DISRUPTIONS AND FAILURES MAY RESULT IN CUSTOMER DISSATISFACTION, CUSTOMER LOSS OR BOTH, WHICH COULD MATERIALLY AND ADVERSELY AFFECT OUR REPUTATION AND BUSINESS.</w:t>
      </w:r>
    </w:p>
    <w:p>
      <w:pPr>
        <w:spacing w:after="0" w:line="66"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Our Integrated Customer Management systems are an integral part of our customers' business operations. The continued and uninterrupted performance of these systems by our customers is critical to our success. Customers may become dissatisfied by any system failure that interrupts our ability to provide</w:t>
      </w:r>
    </w:p>
    <w:p>
      <w:pPr>
        <w:spacing w:after="0" w:line="5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1" w:right="1440" w:bottom="996" w:gutter="0" w:footer="0" w:header="0"/>
        </w:sectPr>
      </w:pPr>
    </w:p>
    <w:bookmarkStart w:id="16" w:name="page17"/>
    <w:bookmarkEnd w:id="16"/>
    <w:p>
      <w:pPr>
        <w:ind w:right="2319"/>
        <w:spacing w:after="0" w:line="292" w:lineRule="auto"/>
        <w:rPr>
          <w:sz w:val="20"/>
          <w:szCs w:val="20"/>
          <w:color w:val="auto"/>
        </w:rPr>
      </w:pPr>
      <w:r>
        <w:rPr>
          <w:rFonts w:ascii="Courier New" w:cs="Courier New" w:eastAsia="Courier New" w:hAnsi="Courier New"/>
          <w:sz w:val="18"/>
          <w:szCs w:val="18"/>
          <w:color w:val="auto"/>
        </w:rPr>
        <w:t>services to them. Sustained or repeated system failures would reduce the attractiveness of our services significantly, and could result in decreased demand for our products and services.</w:t>
      </w:r>
    </w:p>
    <w:p>
      <w:pPr>
        <w:spacing w:after="0" w:line="66"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Our Managed Services include a combination of services, such as system modernization and consolidation, management and operation of data centers, purchase and management of related hardware assets, billing operations and application support. 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80"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104" w:lineRule="exact"/>
        <w:rPr>
          <w:sz w:val="20"/>
          <w:szCs w:val="20"/>
          <w:color w:val="auto"/>
        </w:rPr>
      </w:pPr>
    </w:p>
    <w:p>
      <w:pPr>
        <w:ind w:left="120" w:right="2099"/>
        <w:spacing w:after="0" w:line="347" w:lineRule="auto"/>
        <w:rPr>
          <w:sz w:val="20"/>
          <w:szCs w:val="20"/>
          <w:color w:val="auto"/>
        </w:rPr>
      </w:pPr>
      <w:r>
        <w:rPr>
          <w:rFonts w:ascii="Courier New" w:cs="Courier New" w:eastAsia="Courier New" w:hAnsi="Courier New"/>
          <w:sz w:val="18"/>
          <w:szCs w:val="18"/>
          <w:color w:val="auto"/>
        </w:rPr>
        <w:t>THE TERMINATION OR REDUCTION OF CERTAIN GOVERNMENT PROGRAMS AND TAX BENEFITS COULD ADVERSELY AFFECT OUR OVERALL EFFECTIVE TAX RATE.</w:t>
      </w:r>
    </w:p>
    <w:p>
      <w:pPr>
        <w:spacing w:after="0" w:line="18"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There can be no assurance that our effective tax rate of 25% for the year ended September 30, 2003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93" w:lineRule="exact"/>
        <w:rPr>
          <w:sz w:val="20"/>
          <w:szCs w:val="20"/>
          <w:color w:val="auto"/>
        </w:rPr>
      </w:pPr>
    </w:p>
    <w:p>
      <w:pPr>
        <w:ind w:right="1779" w:firstLine="527"/>
        <w:spacing w:after="0" w:line="280" w:lineRule="auto"/>
        <w:rPr>
          <w:sz w:val="20"/>
          <w:szCs w:val="20"/>
          <w:color w:val="auto"/>
        </w:rPr>
      </w:pPr>
      <w:r>
        <w:rPr>
          <w:rFonts w:ascii="Courier New" w:cs="Courier New" w:eastAsia="Courier New" w:hAnsi="Courier New"/>
          <w:sz w:val="16"/>
          <w:szCs w:val="16"/>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Israeli companies are generally subject to a company tax of 36% of taxable income,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290"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If we fail to meet the conditions upon which certain favorable tax treatment area based, we could be required to refund tax benefits already received. Additionally, some of these programs and the related tax benefits are available to us for a limited number of years, and these benefits expire from time to time.</w:t>
      </w:r>
    </w:p>
    <w:p>
      <w:pPr>
        <w:spacing w:after="0" w:line="90"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Any of the following could have a material effect on our overall effective tax rate:</w:t>
      </w:r>
    </w:p>
    <w:p>
      <w:pPr>
        <w:spacing w:after="0" w:line="18" w:lineRule="exact"/>
        <w:rPr>
          <w:sz w:val="20"/>
          <w:szCs w:val="20"/>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programs may be discontinued,</w:t>
      </w:r>
    </w:p>
    <w:p>
      <w:pPr>
        <w:spacing w:after="0" w:line="201" w:lineRule="exact"/>
        <w:rPr>
          <w:rFonts w:ascii="Courier New" w:cs="Courier New" w:eastAsia="Courier New" w:hAnsi="Courier New"/>
          <w:sz w:val="18"/>
          <w:szCs w:val="18"/>
          <w:color w:val="auto"/>
        </w:rPr>
      </w:pPr>
    </w:p>
    <w:p>
      <w:pPr>
        <w:ind w:left="740" w:right="1999" w:hanging="205"/>
        <w:spacing w:after="0" w:line="347"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unable to meet the requirements for continuing to qualify for some programs,</w:t>
      </w:r>
    </w:p>
    <w:p>
      <w:pPr>
        <w:spacing w:after="0" w:line="18" w:lineRule="exact"/>
        <w:rPr>
          <w:rFonts w:ascii="Courier New" w:cs="Courier New" w:eastAsia="Courier New" w:hAnsi="Courier New"/>
          <w:sz w:val="18"/>
          <w:szCs w:val="18"/>
          <w:color w:val="auto"/>
        </w:rPr>
      </w:pPr>
    </w:p>
    <w:p>
      <w:pPr>
        <w:ind w:left="740" w:right="2419" w:hanging="205"/>
        <w:spacing w:after="0" w:line="347"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programs and tax benefits may be unavailable at their current levels,</w:t>
      </w:r>
    </w:p>
    <w:p>
      <w:pPr>
        <w:spacing w:after="0" w:line="18" w:lineRule="exact"/>
        <w:rPr>
          <w:rFonts w:ascii="Courier New" w:cs="Courier New" w:eastAsia="Courier New" w:hAnsi="Courier New"/>
          <w:sz w:val="18"/>
          <w:szCs w:val="18"/>
          <w:color w:val="auto"/>
        </w:rPr>
      </w:pPr>
    </w:p>
    <w:p>
      <w:pPr>
        <w:ind w:left="740" w:right="1879" w:hanging="205"/>
        <w:spacing w:after="0" w:line="292"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expiration of a particular benefit, we may not be eligible to participate in a new program or qualify for a new tax benefit that would offset the loss of the expiring tax benefit, or</w:t>
      </w:r>
    </w:p>
    <w:p>
      <w:pPr>
        <w:spacing w:after="0" w:line="66"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required to refund previously recognized tax benefits if we are found to be in violation of the stipulated conditions.</w:t>
      </w: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1" w:right="1440" w:bottom="388" w:gutter="0" w:footer="0" w:header="0"/>
        </w:sectPr>
      </w:pPr>
    </w:p>
    <w:bookmarkStart w:id="17" w:name="page18"/>
    <w:bookmarkEnd w:id="17"/>
    <w:p>
      <w:pPr>
        <w:ind w:left="220" w:right="1879"/>
        <w:spacing w:after="0" w:line="292" w:lineRule="auto"/>
        <w:rPr>
          <w:sz w:val="20"/>
          <w:szCs w:val="20"/>
          <w:color w:val="auto"/>
        </w:rPr>
      </w:pPr>
      <w:r>
        <w:rPr>
          <w:rFonts w:ascii="Courier New" w:cs="Courier New" w:eastAsia="Courier New" w:hAnsi="Courier New"/>
          <w:sz w:val="18"/>
          <w:szCs w:val="18"/>
          <w:color w:val="auto"/>
        </w:rPr>
        <w:t>WE ARE CURRENTLY A PARTY TO SECURITIES LITIGATION CLASS ACTION LAWSUITS AND A SECURITIES EXCHANGE COMMISSION INVESTIGATION, WHICH COULD NEGATIVELY AFFECT OUR BUSINESS AND RESULTS OF OPERATIONS.</w:t>
      </w:r>
    </w:p>
    <w:p>
      <w:pPr>
        <w:spacing w:after="0" w:line="66"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Beginning in June 2002, a number of complaints were filed by holders of our ordinary shares against us and certain of our officers and directors in the United States District Court for the Eastern District of Missouri and the Southern District of New York. The cases were transferred to and consolidated in the Eastern District of Missouri. The consolidated amended complaint filed in the action alleged that we and the individual defendants had made false or misleading statements about our business and future prospects during a putative class period between July 18, 2000 and June 20, 2002. On December 1, 2003, the court issued an order granting our motion to dismiss the securities class action lawsuits and directing that judgment be entered in favor of the defendants. On December 29, 2003, the lead plaintiffs appealed to the United States Court of Appeals for the Eighth Circuit from the final judgment entered on December 1, 2003. The litigation has been, and, if the plaintiffs pursue an appeal, may continue to be, time-consuming and costly and could divert the attention of our management personnel. These lawsuits or any future lawsuits filed against us could harm our business.</w:t>
      </w:r>
    </w:p>
    <w:p>
      <w:pPr>
        <w:spacing w:after="0" w:line="113"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In addition, we have been informed that the Midwest Regional Office of the United States Securities and Exchange Commission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104" w:lineRule="exact"/>
        <w:rPr>
          <w:sz w:val="20"/>
          <w:szCs w:val="20"/>
          <w:color w:val="auto"/>
        </w:rPr>
      </w:pPr>
    </w:p>
    <w:p>
      <w:pPr>
        <w:ind w:left="220" w:right="2319"/>
        <w:spacing w:after="0" w:line="347" w:lineRule="auto"/>
        <w:rPr>
          <w:sz w:val="20"/>
          <w:szCs w:val="20"/>
          <w:color w:val="auto"/>
        </w:rPr>
      </w:pPr>
      <w:r>
        <w:rPr>
          <w:rFonts w:ascii="Courier New" w:cs="Courier New" w:eastAsia="Courier New" w:hAnsi="Courier New"/>
          <w:sz w:val="18"/>
          <w:szCs w:val="18"/>
          <w:color w:val="auto"/>
        </w:rPr>
        <w:t>THE MARKET PRICE OF OUR ORDINARY SHARES HAS AND MAY CONTINUE TO FLUCTUATE WIDELY.</w:t>
      </w:r>
    </w:p>
    <w:p>
      <w:pPr>
        <w:spacing w:after="0" w:line="18"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market price of our ordinary shares has fluctuated widely and may continue to do so. During fiscal year 2003, our ordinary shares traded as high as $27.25 per share and as low as $5.85 per share. Our ordinary shares traded as high as $39.25 per share and as low as $6.10 per share in fiscal 2002 and as high as $80.50 per share and as low as $25.85 per share in fiscal 2001. As of December 1, 2003, the closing price of our ordinary shares was $26.04 per share. Many factors could cause the market price of our ordinary shares to rise and fall, including:</w:t>
      </w:r>
    </w:p>
    <w:p>
      <w:pPr>
        <w:spacing w:after="0" w:line="104" w:lineRule="exact"/>
        <w:rPr>
          <w:sz w:val="20"/>
          <w:szCs w:val="20"/>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conditions in the industry and the economy as a whole,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our quarterly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by us or our competitors,</w:t>
      </w:r>
    </w:p>
    <w:p>
      <w:pPr>
        <w:spacing w:after="0" w:line="201" w:lineRule="exact"/>
        <w:rPr>
          <w:rFonts w:ascii="Courier New" w:cs="Courier New" w:eastAsia="Courier New" w:hAnsi="Courier New"/>
          <w:sz w:val="18"/>
          <w:szCs w:val="18"/>
          <w:color w:val="auto"/>
        </w:rPr>
      </w:pPr>
    </w:p>
    <w:p>
      <w:pPr>
        <w:ind w:left="740" w:right="2519" w:hanging="205"/>
        <w:spacing w:after="0" w:line="347"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introductions of new products or new pricing policies by us or our competitors,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trends in the communications or software industries,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or strategic alliances by us or others in our industry,</w:t>
      </w:r>
    </w:p>
    <w:p>
      <w:pPr>
        <w:spacing w:after="0" w:line="201" w:lineRule="exact"/>
        <w:rPr>
          <w:rFonts w:ascii="Courier New" w:cs="Courier New" w:eastAsia="Courier New" w:hAnsi="Courier New"/>
          <w:sz w:val="18"/>
          <w:szCs w:val="18"/>
          <w:color w:val="auto"/>
        </w:rPr>
      </w:pPr>
    </w:p>
    <w:p>
      <w:pPr>
        <w:ind w:left="740" w:right="1999" w:hanging="205"/>
        <w:spacing w:after="0" w:line="347"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estimates of our performance or recommendations by financial analysts, and</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developments in the Middle East.</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691" w:right="1440" w:bottom="1440" w:gutter="0" w:footer="0" w:header="0"/>
        </w:sectPr>
      </w:pPr>
    </w:p>
    <w:bookmarkStart w:id="18" w:name="page19"/>
    <w:bookmarkEnd w:id="18"/>
    <w:p>
      <w:pPr>
        <w:ind w:left="120" w:right="2099"/>
        <w:spacing w:after="0" w:line="347" w:lineRule="auto"/>
        <w:rPr>
          <w:sz w:val="20"/>
          <w:szCs w:val="20"/>
          <w:color w:val="auto"/>
        </w:rPr>
      </w:pPr>
      <w:r>
        <w:rPr>
          <w:rFonts w:ascii="Courier New" w:cs="Courier New" w:eastAsia="Courier New" w:hAnsi="Courier New"/>
          <w:sz w:val="18"/>
          <w:szCs w:val="18"/>
          <w:color w:val="auto"/>
        </w:rPr>
        <w:t>IT MAY BE DIFFICULT FOR OUR SHAREHOLDERS TO ENFORCE ANY JUDGMENT OBTAINED IN THE UNITED STATES AGAINST US OR OUR AFFILIATES.</w:t>
      </w:r>
    </w:p>
    <w:p>
      <w:pPr>
        <w:spacing w:after="0" w:line="18"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w:t>
      </w:r>
    </w:p>
    <w:p>
      <w:pPr>
        <w:spacing w:after="0" w:line="9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INFORMATION ON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HISTORY, DEVELOPMENT AND ORGANIZATIONAL STRUCTURE OF AMDOCS</w:t>
      </w:r>
    </w:p>
    <w:p>
      <w:pPr>
        <w:spacing w:after="0" w:line="201"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Amdocs Limited was organized under the laws of the Island of Guernsey in 1988. Since 1995, Amdocs Limited has been a holding company for the various subsidiaries that conduct our business on a worldwide basis. Our global business is providing Integrated Customer Management systems, including software and services, to major communications companies in North America, Europe and the rest of the world. Our registered office is located in Suite 5, Tower Hill House Le Bordage, St. Peter Port, Island of Guernsey, GY1 3QT Channel Islands, and the telephone number at that location is 011-44-1481-728444.</w:t>
      </w:r>
    </w:p>
    <w:p>
      <w:pPr>
        <w:spacing w:after="0" w:line="77" w:lineRule="exact"/>
        <w:rPr>
          <w:sz w:val="20"/>
          <w:szCs w:val="20"/>
          <w:color w:val="auto"/>
        </w:rPr>
      </w:pPr>
    </w:p>
    <w:p>
      <w:pPr>
        <w:ind w:right="1999" w:firstLine="527"/>
        <w:spacing w:after="0" w:line="318" w:lineRule="auto"/>
        <w:rPr>
          <w:sz w:val="20"/>
          <w:szCs w:val="20"/>
          <w:color w:val="auto"/>
        </w:rPr>
      </w:pPr>
      <w:r>
        <w:rPr>
          <w:rFonts w:ascii="Courier New" w:cs="Courier New" w:eastAsia="Courier New" w:hAnsi="Courier New"/>
          <w:sz w:val="16"/>
          <w:szCs w:val="16"/>
          <w:color w:val="auto"/>
        </w:rPr>
        <w:t>In the United States, our main sales and development center is located in St. Louis, Missouri. The executive offices of our principal subsidiary in the United States are located at 1390 Timberlake Manor Parkway, Chesterfield, Missouri 63017, and the telephone number at that location is (314) 212-8328.</w:t>
      </w:r>
    </w:p>
    <w:p>
      <w:pPr>
        <w:spacing w:after="0" w:line="52"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Our subsidiaries are organized under and subject to the laws of several countries. Our principal operating subsidiaries are located in Canada, Cyprus, Ireland, Israel, the United Kingdom and the United States.</w:t>
      </w:r>
    </w:p>
    <w:p>
      <w:pPr>
        <w:spacing w:after="0" w:line="66"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We have pursued acquisitions in order to offer new products or services or otherwise enhance our market position or strategic strengths. Our acquisition of ITDS in November 1999 enabled us to expand our service offerings and enhanced our ability to provide Managed Services solutions to our customers. In April 2000, we acquired Solect, which enhanced our ability to serve the growing Internet Protocol ("IP") needs of our customers. The acquisition in November 2001 from Nortel Networks Corporation of substantially all of the assets of its Clarify business, which provided Customer Relationship Management ("CRM") software to communications companies and other enterprise sectors, has positioned us as a leading provider of CRM to the communications industry and, through our addition of Clarify's CRM software to our product offerings, reinforced our leadership in delivering a comprehensive portfolio of business software applications. In July 2003, we purchased Bell Canada's 90% ownership interest in Certen, which we formed with Bell Canada in January 2001. This acquisition expanded our Managed Services offerings and positioned us as a leading provider of Managed Services to the communications industry. As a result of the acquisition, Certen is now our wholly owned subsidiary.</w:t>
      </w:r>
    </w:p>
    <w:p>
      <w:pPr>
        <w:spacing w:after="0" w:line="299"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In the future, we may consider, as part of our strategy, additional acquisitions and other initiatives in order to offer new products or services or otherwise enhance our market position or strategic strengths.</w:t>
      </w:r>
    </w:p>
    <w:p>
      <w:pPr>
        <w:spacing w:after="0" w:line="66"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During fiscal 2003 and 2002, we took steps to reduce our costs and achieve increased operational efficiency. In fiscal 2002, we implemented a cost reduction program to reduce costs in response to a decline in our revenue for the third and fourth quarters of fiscal 2002. As part of this cost reduction program, we reduced our workforce by approximately 1,000 software and information technology specialists and administrative professionals and vacated facilities in different centers around the world. In an effort to achieve increased operational efficiency and to more closely monitor and reduce costs, in fiscal 2002 we also consolidated our Stamford, Connecticut data center into our Champaign, Illinois facility, and closed the Stamford facility. In November 2002, we announced a series of additional measures designed to reduce costs and improve productivity. As part of this plan, we reduced our workforce by approximately 400 software and information technology specialists and administrative professionals and vacated facilities in</w:t>
      </w:r>
    </w:p>
    <w:p>
      <w:pPr>
        <w:spacing w:after="0" w:line="18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691" w:right="1440" w:bottom="964" w:gutter="0" w:footer="0" w:header="0"/>
        </w:sectPr>
      </w:pPr>
    </w:p>
    <w:bookmarkStart w:id="19" w:name="page20"/>
    <w:bookmarkEnd w:id="19"/>
    <w:p>
      <w:pPr>
        <w:ind w:right="1779"/>
        <w:spacing w:after="0" w:line="250" w:lineRule="auto"/>
        <w:rPr>
          <w:sz w:val="20"/>
          <w:szCs w:val="20"/>
          <w:color w:val="auto"/>
        </w:rPr>
      </w:pPr>
      <w:r>
        <w:rPr>
          <w:rFonts w:ascii="Courier New" w:cs="Courier New" w:eastAsia="Courier New" w:hAnsi="Courier New"/>
          <w:sz w:val="18"/>
          <w:szCs w:val="18"/>
          <w:color w:val="auto"/>
        </w:rPr>
        <w:t>different centers around the world. In addition, we implemented other cost reduction measures, including travel cuts and reductions in other discretionary costs. As a result of these cost reduction programs, our software and information technology workforce consisted of approximately 7,800 employees as of January 31, 2003. Primarily as a result of the Certen acquisition in July 2003 and a Managed Services agreement signed with an affiliate of SBC in January 2003, we increased our software and information technology workforce by approximately 1,200 employees. Our total software and information technology workforce subsequently increased to approximately 9,000 employees as of November 30, 2003.</w:t>
      </w:r>
    </w:p>
    <w:p>
      <w:pPr>
        <w:spacing w:after="0" w:line="104"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Our principal capital expenditures for fiscal 2003, 2002 and 2001 have been for computer equipment, for which we spent approximately $50.5 million, $42.8 million and $62.0 million, respectively. Principal capital expenditures currently in progress consist of approximately $6.5 million for additional computer equipment, with the bulk of these expenditures for computer equipment to be located at our facilities in North America and Israel.</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OVERVIEW</w:t>
      </w:r>
    </w:p>
    <w:p>
      <w:pPr>
        <w:spacing w:after="0" w:line="201" w:lineRule="exact"/>
        <w:rPr>
          <w:sz w:val="20"/>
          <w:szCs w:val="20"/>
          <w:color w:val="auto"/>
        </w:rPr>
      </w:pPr>
    </w:p>
    <w:p>
      <w:pPr>
        <w:ind w:right="1879" w:firstLine="527"/>
        <w:spacing w:after="0" w:line="247" w:lineRule="auto"/>
        <w:rPr>
          <w:sz w:val="20"/>
          <w:szCs w:val="20"/>
          <w:color w:val="auto"/>
        </w:rPr>
      </w:pPr>
      <w:r>
        <w:rPr>
          <w:rFonts w:ascii="Courier New" w:cs="Courier New" w:eastAsia="Courier New" w:hAnsi="Courier New"/>
          <w:sz w:val="18"/>
          <w:szCs w:val="18"/>
          <w:color w:val="auto"/>
        </w:rPr>
        <w:t>Our market focus is primarily the communications industry, and we are a leading provider of software products and services to major communications companies in North America, Europe and the rest of the world. Our products and services provide an integrated approach to customer management,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 Our portfolio also includes a full range of directory sales and publishing systems, which we refer to as "Directory Systems", for publishers of both traditional printed yellow page and white page directories and electronic Internet directories.</w:t>
      </w:r>
    </w:p>
    <w:p>
      <w:pPr>
        <w:spacing w:after="0" w:line="108"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Our Integrated Customer Management systems are designed to meet the mission-critical needs of leading communications service providers, which include CRM, order management, call rating, invoice calculation and preparation, bill formatting, collections, partner relationship management and directory publishing services. We support a wide range of communications services, including wireline, wireless, voice, data, broadband, content, electronic and mobile commerce and IP based services. We also support companies that offer multiple service packages, commonly referred to as bundled or convergent services. Due to the complexity of our customers' projects and the expertise required for system support, we also provide extensive system implementation, integration, modification, ongoing support,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 in all cases on either or a combination of a fixed or unit charge basis to our customers.</w:t>
      </w:r>
    </w:p>
    <w:p>
      <w:pPr>
        <w:spacing w:after="0" w:line="295" w:lineRule="exact"/>
        <w:rPr>
          <w:sz w:val="20"/>
          <w:szCs w:val="20"/>
          <w:color w:val="auto"/>
        </w:rPr>
      </w:pPr>
    </w:p>
    <w:p>
      <w:pPr>
        <w:ind w:right="1999" w:firstLine="527"/>
        <w:spacing w:after="0" w:line="252" w:lineRule="auto"/>
        <w:rPr>
          <w:sz w:val="20"/>
          <w:szCs w:val="20"/>
          <w:color w:val="auto"/>
        </w:rPr>
      </w:pPr>
      <w:r>
        <w:rPr>
          <w:rFonts w:ascii="Courier New" w:cs="Courier New" w:eastAsia="Courier New" w:hAnsi="Courier New"/>
          <w:sz w:val="18"/>
          <w:szCs w:val="18"/>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companies and wireless companies.</w:t>
      </w:r>
    </w:p>
    <w:p>
      <w:pPr>
        <w:spacing w:after="0" w:line="9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INDUSTRY BACKGROUND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Communications Industry</w:t>
      </w:r>
    </w:p>
    <w:p>
      <w:pPr>
        <w:spacing w:after="0" w:line="201"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It is our view that, for close to 20 years, competition in the global communications industry has increased as a result of deregulation and the development of new service technologies. Competition in the U.S. market began to increase in 1984 when AT&amp;T was required to divest its local telephone operations and many new operators began to enter the long distance market. The Telecommunications Act of 1996</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691" w:right="1440" w:bottom="964" w:gutter="0" w:footer="0" w:header="0"/>
        </w:sectPr>
      </w:pPr>
    </w:p>
    <w:bookmarkStart w:id="20" w:name="page21"/>
    <w:bookmarkEnd w:id="20"/>
    <w:p>
      <w:pPr>
        <w:ind w:right="1779"/>
        <w:spacing w:after="0" w:line="278" w:lineRule="auto"/>
        <w:rPr>
          <w:sz w:val="20"/>
          <w:szCs w:val="20"/>
          <w:color w:val="auto"/>
        </w:rPr>
      </w:pPr>
      <w:r>
        <w:rPr>
          <w:rFonts w:ascii="Courier New" w:cs="Courier New" w:eastAsia="Courier New" w:hAnsi="Courier New"/>
          <w:sz w:val="16"/>
          <w:szCs w:val="16"/>
          <w:color w:val="auto"/>
        </w:rPr>
        <w:t>increased competition in the United States even further by allowing new and existing local, long distance and cable companies to offer competing services. Our experience tells us that many companies now compete by providing bundled or convergent services, offering combinations of local exchange, long distance, wireless, broadband access, content and electronic and mobile commerce services. Deregulation is also creating opportunities for new ways of doing business, such as wholesaling and reselling communications services. Privatization and deregulation continue to encourage increased competition worldwide. We believe that, as markets are opened to competition, new competitors within these markets typically compete for market share with more established carriers by offering competitive prices, introducing new features and services and being more responsive to customer needs. In parallel, the communications industry has undergone consolidation as companies seek to broaden their global reach and expand service offerings. In addition, global expansion by multinational companies and concurrent technological advances are opening markets in less developed countries to enhanced communications services and competition.</w:t>
      </w:r>
    </w:p>
    <w:p>
      <w:pPr>
        <w:spacing w:after="0" w:line="295"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recent years, there has also been a large increase of new communications technologies, including ATM, IP, xDSL, WiFi, utilization of cable television infrastructure to provide Internet services, GPRS (General Packet Radio Services), UMTS (Universal Mobile Telecommunications System), WAP (Wireless Application Protocol) for wireless Internet, and intelligent networks. Additionally, the directory publishing industry, which we believe is currently dominated by communications companies that are owned by or affiliated with the public telecommunications carriers, is experiencing significant changes due to the introduction of new technologies and distribution platforms, especially Internet directories.</w:t>
      </w:r>
    </w:p>
    <w:p>
      <w:pPr>
        <w:spacing w:after="0" w:line="104" w:lineRule="exact"/>
        <w:rPr>
          <w:sz w:val="20"/>
          <w:szCs w:val="20"/>
          <w:color w:val="auto"/>
        </w:rPr>
      </w:pPr>
    </w:p>
    <w:p>
      <w:pPr>
        <w:ind w:right="2099" w:firstLine="527"/>
        <w:spacing w:after="0" w:line="298" w:lineRule="auto"/>
        <w:rPr>
          <w:sz w:val="20"/>
          <w:szCs w:val="20"/>
          <w:color w:val="auto"/>
        </w:rPr>
      </w:pPr>
      <w:r>
        <w:rPr>
          <w:rFonts w:ascii="Courier New" w:cs="Courier New" w:eastAsia="Courier New" w:hAnsi="Courier New"/>
          <w:sz w:val="16"/>
          <w:szCs w:val="16"/>
          <w:color w:val="auto"/>
        </w:rPr>
        <w:t>We believe that recent market conditions in the communications industry have reduced the high growth that the communications industry had experienced earlier in its history. As a result, the market value, financial results and prospects and capital spending levels of many communications companies have declined or degraded. If these market conditions deteriorate further, we and other vendors to the communications industry could be adversely affected.</w:t>
      </w:r>
    </w:p>
    <w:p>
      <w:pPr>
        <w:spacing w:after="0" w:line="6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Information Systems</w:t>
      </w:r>
    </w:p>
    <w:p>
      <w:pPr>
        <w:spacing w:after="0" w:line="201"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While the demand for Integrated Customer Management systems has decreased as a result of the downturn in the communications industry, many communications companies, even in the current business environment, are seeking to improve their systems. It is our belief that these communications companies are looking for systems that reduce IT and operational costs, enhance customer management to support customer retention, and support rapid rollout of new marketing packages and advanced data services, as well as the ability to provide customers with single-contact, single-invoice solutions for convergent or bundled services.</w:t>
      </w:r>
    </w:p>
    <w:p>
      <w:pPr>
        <w:spacing w:after="0" w:line="77"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As a result, communications companies require information systems that provide the level of integration, flexibility and scalability they need to improve operational efficiency and to differentiate themselves from their competitors in an increasingly competitive marketplace. To save scarce capital and operating expenditure resources, some carriers are investing in pre-configured open-architecture software products, which require limited customization, rather than highly customized solutions.</w:t>
      </w:r>
    </w:p>
    <w:p>
      <w:pPr>
        <w:spacing w:after="0" w:line="98"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We believe that, in order to implement efficient, flexible, cost-effective information systems on a timely basis, many new and existing communications companies are looking to buy CC&amp;B Systems from external vendors, rather than developing new systems with internal resources. Moreover, as many communications companies strive to become more consumer-oriented, they are concentrating their efforts and internal resources on servicing customers and expanding their service offerings, and many are turning to third-party vendors for their information systems. These factors create significant opportunities for vendors of CC&amp;B Systems and providers of Managed Services, such as Amdocs.</w:t>
      </w:r>
    </w:p>
    <w:p>
      <w:pPr>
        <w:spacing w:after="0" w:line="7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AMDOCS SOLUTION</w:t>
      </w:r>
    </w:p>
    <w:p>
      <w:pPr>
        <w:spacing w:after="0" w:line="201" w:lineRule="exact"/>
        <w:rPr>
          <w:sz w:val="20"/>
          <w:szCs w:val="20"/>
          <w:color w:val="auto"/>
        </w:rPr>
      </w:pPr>
    </w:p>
    <w:p>
      <w:pPr>
        <w:ind w:right="2099" w:firstLine="527"/>
        <w:spacing w:after="0" w:line="250" w:lineRule="auto"/>
        <w:rPr>
          <w:sz w:val="20"/>
          <w:szCs w:val="20"/>
          <w:color w:val="auto"/>
        </w:rPr>
      </w:pPr>
      <w:r>
        <w:rPr>
          <w:rFonts w:ascii="Courier New" w:cs="Courier New" w:eastAsia="Courier New" w:hAnsi="Courier New"/>
          <w:sz w:val="18"/>
          <w:szCs w:val="18"/>
          <w:color w:val="auto"/>
        </w:rPr>
        <w:t>We believe that our total solutions orientation, product-driven approach and commitment to and support of quality personnel permit us to offer our customers effective products and services that are both</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1" w:right="1440" w:bottom="1440" w:gutter="0" w:footer="0" w:header="0"/>
        </w:sectPr>
      </w:pPr>
    </w:p>
    <w:bookmarkStart w:id="21" w:name="page22"/>
    <w:bookmarkEnd w:id="21"/>
    <w:p>
      <w:pPr>
        <w:ind w:right="2319"/>
        <w:spacing w:after="0" w:line="292" w:lineRule="auto"/>
        <w:rPr>
          <w:sz w:val="20"/>
          <w:szCs w:val="20"/>
          <w:color w:val="auto"/>
        </w:rPr>
      </w:pPr>
      <w:r>
        <w:rPr>
          <w:rFonts w:ascii="Courier New" w:cs="Courier New" w:eastAsia="Courier New" w:hAnsi="Courier New"/>
          <w:sz w:val="18"/>
          <w:szCs w:val="18"/>
          <w:color w:val="auto"/>
        </w:rPr>
        <w:t>highly innovative and reliable. We believe that our success derives from a combination of the following factors that differentiate us from most of our competitors.</w:t>
      </w:r>
    </w:p>
    <w:p>
      <w:pPr>
        <w:spacing w:after="0" w:line="66" w:lineRule="exact"/>
        <w:rPr>
          <w:sz w:val="20"/>
          <w:szCs w:val="20"/>
          <w:color w:val="auto"/>
        </w:rPr>
      </w:pPr>
    </w:p>
    <w:p>
      <w:pPr>
        <w:ind w:left="740" w:right="1999" w:hanging="205"/>
        <w:spacing w:after="0" w:line="253"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Integrated Portfolio of Products. We offer our customers Integrated Customer Management by providing a portfolio of pre-integrated billing and CRM products. This approach is designed to help communications service providers link customer-facing business processes and touch points across back-office and front-office systems. We believe that our Integrated Customer Management portfolio of products helps providers to profitably and effectively manage their customers, while also reducing project risk and cost.</w:t>
      </w:r>
    </w:p>
    <w:p>
      <w:pPr>
        <w:spacing w:after="0" w:line="103" w:lineRule="exact"/>
        <w:rPr>
          <w:rFonts w:ascii="Courier New" w:cs="Courier New" w:eastAsia="Courier New" w:hAnsi="Courier New"/>
          <w:sz w:val="18"/>
          <w:szCs w:val="18"/>
          <w:color w:val="auto"/>
        </w:rPr>
      </w:pPr>
    </w:p>
    <w:p>
      <w:pPr>
        <w:ind w:left="740" w:right="1779" w:hanging="205"/>
        <w:spacing w:after="0" w:line="247"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Integrated Products and Services Solution. We offer our customers total solutions that combine products with a broad range of services, including customization, implementation, integration, maintenance, ongoing support and Managed Services. By providing services directly to the customer, we are able to effectively utilize our intricate technical knowledge of our Integrated Customer Management products in the overall execution of a project, helping to ensure delivery and significantly reducing project risk. Our total solutions approach differs from the multi-party approach commonly used in the market, in which products developed by a software vendor are implemented by a third-party system integrator. We believe that our approach enhances our ability to provide our customers with timely, cost-effective, low-risk solutions at a consistent level of quality.</w:t>
      </w:r>
    </w:p>
    <w:p>
      <w:pPr>
        <w:spacing w:after="0" w:line="107" w:lineRule="exact"/>
        <w:rPr>
          <w:rFonts w:ascii="Courier New" w:cs="Courier New" w:eastAsia="Courier New" w:hAnsi="Courier New"/>
          <w:sz w:val="18"/>
          <w:szCs w:val="18"/>
          <w:color w:val="auto"/>
        </w:rPr>
      </w:pPr>
    </w:p>
    <w:p>
      <w:pPr>
        <w:ind w:left="740" w:right="1779" w:hanging="205"/>
        <w:spacing w:after="0" w:line="253"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Functional and Flexible Integrated Customer Management Products. Our Integrated Customer Management products are based on an open, multi-tier, client-server, rule and table-based architecture that provides the functionality, scalability, modularity and adaptability required by communications companies in today's highly competitive market. The flexibility of our Integrated Customer Management products enables our customers to achieve significant time-to-market advantages and reduce their dependence on technical and other staff.</w:t>
      </w:r>
    </w:p>
    <w:p>
      <w:pPr>
        <w:spacing w:after="0" w:line="103" w:lineRule="exact"/>
        <w:rPr>
          <w:rFonts w:ascii="Courier New" w:cs="Courier New" w:eastAsia="Courier New" w:hAnsi="Courier New"/>
          <w:sz w:val="18"/>
          <w:szCs w:val="18"/>
          <w:color w:val="auto"/>
        </w:rPr>
      </w:pPr>
    </w:p>
    <w:p>
      <w:pPr>
        <w:ind w:left="740" w:right="1879" w:hanging="205"/>
        <w:spacing w:after="0" w:line="285" w:lineRule="auto"/>
        <w:tabs>
          <w:tab w:leader="none" w:pos="7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Highly Skilled Personnel. We are able to offer our customers superior products and services on a worldwide basis in large part because of our highly qualified and trained technical, sales, marketing and managerial personnel. We invest significantly in the ongoing training of our personnel in key areas such as industry knowledge, software technologies and management capabilities. Primarily based on the skills and knowledge of our employees, we believe that we have developed a reputation for reliably delivering quality solutions within agreed time frames and budgets. We have global recruitment capabilities and have development centers in Israel, the United States, Cyprus, Ireland and Canada.</w:t>
      </w:r>
    </w:p>
    <w:p>
      <w:pPr>
        <w:spacing w:after="0" w:line="7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BUSINESS STRATEGY</w:t>
      </w:r>
    </w:p>
    <w:p>
      <w:pPr>
        <w:spacing w:after="0" w:line="201"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Our goal is to provide advanced information technology software products and related customer service and support to the world's leading communications companies. We seek to accomplish our goal by pursuing the strategies described below.</w:t>
      </w:r>
    </w:p>
    <w:p>
      <w:pPr>
        <w:spacing w:after="0" w:line="82" w:lineRule="exact"/>
        <w:rPr>
          <w:sz w:val="20"/>
          <w:szCs w:val="20"/>
          <w:color w:val="auto"/>
        </w:rPr>
      </w:pPr>
    </w:p>
    <w:p>
      <w:pPr>
        <w:ind w:left="740" w:right="1779" w:hanging="205"/>
        <w:spacing w:after="0" w:line="253"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Focus on the Communications Industry. We intend to continue to concentrate our main resources and efforts on providing strategic information systems to the communications industry. This strategy has enabled us to develop the specialized industry know-how and capability necessary to deliver the technologically advanced, large-scale, specifications-intensive information systems solutions required by the leading communications companies in the wireless, wireline and convergent service sectors.</w:t>
      </w:r>
    </w:p>
    <w:p>
      <w:pPr>
        <w:spacing w:after="0" w:line="103" w:lineRule="exact"/>
        <w:rPr>
          <w:rFonts w:ascii="Courier New" w:cs="Courier New" w:eastAsia="Courier New" w:hAnsi="Courier New"/>
          <w:sz w:val="18"/>
          <w:szCs w:val="18"/>
          <w:color w:val="auto"/>
        </w:rPr>
      </w:pPr>
    </w:p>
    <w:p>
      <w:pPr>
        <w:ind w:left="740" w:right="1779" w:hanging="205"/>
        <w:spacing w:after="0" w:line="293" w:lineRule="auto"/>
        <w:tabs>
          <w:tab w:leader="none" w:pos="7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Target Industry Leaders. We intend to continue to direct our marketing efforts principally towards the major communications companies. We derive a significant portion of our revenues from our customer base of major communications companies in North America, Europe and the Asia-Pacific region. We believe that the development of this premier customer base has helped position us as a market leader, while contributing to the core strength of our business. By targeting industry leaders</w:t>
      </w:r>
    </w:p>
    <w:p>
      <w:pPr>
        <w:spacing w:after="0" w:line="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691" w:right="1440" w:bottom="996" w:gutter="0" w:footer="0" w:header="0"/>
        </w:sectPr>
      </w:pPr>
    </w:p>
    <w:bookmarkStart w:id="22" w:name="page23"/>
    <w:bookmarkEnd w:id="22"/>
    <w:p>
      <w:pPr>
        <w:ind w:left="740" w:right="1999"/>
        <w:spacing w:after="0" w:line="292" w:lineRule="auto"/>
        <w:rPr>
          <w:sz w:val="20"/>
          <w:szCs w:val="20"/>
          <w:color w:val="auto"/>
        </w:rPr>
      </w:pPr>
      <w:r>
        <w:rPr>
          <w:rFonts w:ascii="Courier New" w:cs="Courier New" w:eastAsia="Courier New" w:hAnsi="Courier New"/>
          <w:sz w:val="18"/>
          <w:szCs w:val="18"/>
          <w:color w:val="auto"/>
        </w:rPr>
        <w:t>that require the most sophisticated information systems solutions, we believe that we are best able to ensure that we remain at the forefront of developments in the industry.</w:t>
      </w:r>
    </w:p>
    <w:p>
      <w:pPr>
        <w:spacing w:after="0" w:line="66" w:lineRule="exact"/>
        <w:rPr>
          <w:sz w:val="20"/>
          <w:szCs w:val="20"/>
          <w:color w:val="auto"/>
        </w:rPr>
      </w:pPr>
    </w:p>
    <w:p>
      <w:pPr>
        <w:ind w:left="740" w:right="1879" w:hanging="205"/>
        <w:spacing w:after="0" w:line="260"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more effective system integration and implementation services as well as Managed Services to our customers.</w:t>
      </w:r>
    </w:p>
    <w:p>
      <w:pPr>
        <w:spacing w:after="0" w:line="92" w:lineRule="exact"/>
        <w:rPr>
          <w:rFonts w:ascii="Courier New" w:cs="Courier New" w:eastAsia="Courier New" w:hAnsi="Courier New"/>
          <w:sz w:val="18"/>
          <w:szCs w:val="18"/>
          <w:color w:val="auto"/>
        </w:rPr>
      </w:pPr>
    </w:p>
    <w:p>
      <w:pPr>
        <w:ind w:left="740" w:right="1779" w:hanging="205"/>
        <w:spacing w:after="0" w:line="250"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Customers with a Broad, Integrated Suite of Products. We seek to provide our customers with a broad suite of products to meet all their Integrated Customer Management needs.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04" w:lineRule="exact"/>
        <w:rPr>
          <w:rFonts w:ascii="Courier New" w:cs="Courier New" w:eastAsia="Courier New" w:hAnsi="Courier New"/>
          <w:sz w:val="18"/>
          <w:szCs w:val="18"/>
          <w:color w:val="auto"/>
        </w:rPr>
      </w:pPr>
    </w:p>
    <w:p>
      <w:pPr>
        <w:ind w:left="740" w:right="1779" w:hanging="205"/>
        <w:spacing w:after="0" w:line="287" w:lineRule="auto"/>
        <w:tabs>
          <w:tab w:leader="none" w:pos="7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7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TECHNOLOGY</w:t>
      </w:r>
    </w:p>
    <w:p>
      <w:pPr>
        <w:spacing w:after="0" w:line="201" w:lineRule="exact"/>
        <w:rPr>
          <w:sz w:val="20"/>
          <w:szCs w:val="20"/>
          <w:color w:val="auto"/>
        </w:rPr>
      </w:pPr>
    </w:p>
    <w:p>
      <w:pPr>
        <w:ind w:right="1879" w:firstLine="527"/>
        <w:spacing w:after="0" w:line="245" w:lineRule="auto"/>
        <w:rPr>
          <w:sz w:val="20"/>
          <w:szCs w:val="20"/>
          <w:color w:val="auto"/>
        </w:rPr>
      </w:pPr>
      <w:r>
        <w:rPr>
          <w:rFonts w:ascii="Courier New" w:cs="Courier New" w:eastAsia="Courier New" w:hAnsi="Courier New"/>
          <w:sz w:val="18"/>
          <w:szCs w:val="18"/>
          <w:color w:val="auto"/>
        </w:rPr>
        <w:t>We have developed core competencies in various advanced technologies that are used in our Integrated Customer Management products. By utilizing technologies such as rule and table-based design, multi-tier architecture, object-oriented techniques, data mining, web-enabling and open application program interfaces, we are able to provide communications companies with the flexibility required in a highly competitive, dynamic environment. For example, the use of rule and table-based technologies allows communications companies to rapidly implement changes to their marketing and customer service activities, such as new services, price plans, discount schemes and bill formats, without the need to modify system code. Similarly, by drawing on web-enabled, Internet technologies, we have been able to improve access to information by remote users, both internally within a communications company's organization and between the organization and its subscribers. These technologies are integrated in an open, multi-tier, service-oriented architecture. The architecture of our Integrated Customer Management products includes the key characteristics described below.</w:t>
      </w:r>
    </w:p>
    <w:p>
      <w:pPr>
        <w:spacing w:after="0" w:line="113" w:lineRule="exact"/>
        <w:rPr>
          <w:sz w:val="20"/>
          <w:szCs w:val="20"/>
          <w:color w:val="auto"/>
        </w:rPr>
      </w:pPr>
    </w:p>
    <w:p>
      <w:pPr>
        <w:ind w:left="740" w:right="1779" w:hanging="205"/>
        <w:spacing w:after="0" w:line="260"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Scalability. Our Integrated Customer Management products are designed to take full advantage of the proven scalability of the UNIX platform, allowing progressive system expansion, proportional with the customer's growth in business volumes. Using the same software, our Integrated Customer Management products can support operations for small as well as very large service providers.</w:t>
      </w:r>
    </w:p>
    <w:p>
      <w:pPr>
        <w:spacing w:after="0" w:line="92" w:lineRule="exact"/>
        <w:rPr>
          <w:rFonts w:ascii="Courier New" w:cs="Courier New" w:eastAsia="Courier New" w:hAnsi="Courier New"/>
          <w:sz w:val="18"/>
          <w:szCs w:val="18"/>
          <w:color w:val="auto"/>
        </w:rPr>
      </w:pPr>
    </w:p>
    <w:p>
      <w:pPr>
        <w:ind w:left="740" w:right="1779" w:hanging="205"/>
        <w:spacing w:after="0" w:line="250"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Modularity. Our Integrated Customer Management products are comprised of sets of functional modules. Each module can be installed on an individual stand-alone basis, interfacing with the customer's existing systems, or as part of an integrated Amdocs system environment. This modularity provides our customers with a highly flexible and cost-effective solution that is able to incrementally expand with the customer's growing needs and capabilities. The modular approach also preserves the customer's initial investment in Integrated Customer Management products, while minimizing future disruptions and the overall cost of system implementation.</w:t>
      </w:r>
    </w:p>
    <w:p>
      <w:pPr>
        <w:spacing w:after="0" w:line="104" w:lineRule="exact"/>
        <w:rPr>
          <w:rFonts w:ascii="Courier New" w:cs="Courier New" w:eastAsia="Courier New" w:hAnsi="Courier New"/>
          <w:sz w:val="18"/>
          <w:szCs w:val="18"/>
          <w:color w:val="auto"/>
        </w:rPr>
      </w:pPr>
    </w:p>
    <w:p>
      <w:pPr>
        <w:ind w:left="740" w:right="2419" w:hanging="205"/>
        <w:spacing w:after="0" w:line="292"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Portability. Utilization of the UNIX platform for our Integrated Customer Management products ensures that our customers are able to choose from a variety of hardware vendors, including</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690" w:right="1440" w:bottom="591" w:gutter="0" w:footer="0" w:header="0"/>
        </w:sectPr>
      </w:pPr>
    </w:p>
    <w:bookmarkStart w:id="23" w:name="page24"/>
    <w:bookmarkEnd w:id="23"/>
    <w:p>
      <w:pPr>
        <w:ind w:left="740" w:right="1879"/>
        <w:spacing w:after="0" w:line="274" w:lineRule="auto"/>
        <w:rPr>
          <w:sz w:val="20"/>
          <w:szCs w:val="20"/>
          <w:color w:val="auto"/>
        </w:rPr>
      </w:pPr>
      <w:r>
        <w:rPr>
          <w:rFonts w:ascii="Courier New" w:cs="Courier New" w:eastAsia="Courier New" w:hAnsi="Courier New"/>
          <w:sz w:val="18"/>
          <w:szCs w:val="18"/>
          <w:color w:val="auto"/>
        </w:rPr>
        <w:t>Hewlett Packard, IBM and Sun Microsystems. Certain applications can also be deployed on the MVS or Windows NT platforms. The Integrated Customer Management products utilize, where applicable, Java-based design and programming to augment cross-platform portability.</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PRODUCTS</w:t>
      </w:r>
    </w:p>
    <w:p>
      <w:pPr>
        <w:spacing w:after="0" w:line="201" w:lineRule="exact"/>
        <w:rPr>
          <w:sz w:val="20"/>
          <w:szCs w:val="20"/>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Our product offerings include an extensive library of Integrated Customer Management software products that we have developed to provide comprehensive information systems functionality for communications service providers. Our Integrated Customer Management systems cover the full range of CRM, order management, call rating, invoice calculation and preparation, bill formatting, collections, partner relationship management and directory publishing services.</w:t>
      </w:r>
    </w:p>
    <w:p>
      <w:pPr>
        <w:spacing w:after="0" w:line="68"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We configure individual Integrated Customer Management modules into families of products, which serve as marketing packages oriented to the needs of specific customer segments. We provide our main CC&amp;B Systems offering in a number of versions to serve the different needs of communications operators in the various network and business segments, such as wireline, wireless, broadband and electronic and mobile commerce. Our main packages include:</w:t>
      </w:r>
    </w:p>
    <w:p>
      <w:pPr>
        <w:spacing w:after="0" w:line="93" w:lineRule="exact"/>
        <w:rPr>
          <w:sz w:val="20"/>
          <w:szCs w:val="20"/>
          <w:color w:val="auto"/>
        </w:rPr>
      </w:pPr>
    </w:p>
    <w:p>
      <w:pPr>
        <w:ind w:left="740" w:right="1779" w:hanging="205"/>
        <w:spacing w:after="0" w:line="347"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Enabler: offline and online charging products, supporting prepaid and postpaid billing, for voice and next generation services.</w:t>
      </w:r>
    </w:p>
    <w:p>
      <w:pPr>
        <w:spacing w:after="0" w:line="18" w:lineRule="exact"/>
        <w:rPr>
          <w:rFonts w:ascii="Courier New" w:cs="Courier New" w:eastAsia="Courier New" w:hAnsi="Courier New"/>
          <w:sz w:val="18"/>
          <w:szCs w:val="18"/>
          <w:color w:val="auto"/>
        </w:rPr>
      </w:pPr>
    </w:p>
    <w:p>
      <w:pPr>
        <w:ind w:left="740" w:right="2319" w:hanging="205"/>
        <w:spacing w:after="0" w:line="274"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ClarifyCRM: end-to-end customer management products for all operators, providing support for managing customer relationships, including service and support, sales and ordering, and marketing and analytics.</w:t>
      </w:r>
    </w:p>
    <w:p>
      <w:pPr>
        <w:spacing w:after="0" w:line="82" w:lineRule="exact"/>
        <w:rPr>
          <w:sz w:val="20"/>
          <w:szCs w:val="20"/>
          <w:color w:val="auto"/>
        </w:rPr>
      </w:pPr>
    </w:p>
    <w:p>
      <w:pPr>
        <w:ind w:right="2619" w:firstLine="527"/>
        <w:spacing w:after="0" w:line="292" w:lineRule="auto"/>
        <w:rPr>
          <w:sz w:val="20"/>
          <w:szCs w:val="20"/>
          <w:color w:val="auto"/>
        </w:rPr>
      </w:pPr>
      <w:r>
        <w:rPr>
          <w:rFonts w:ascii="Courier New" w:cs="Courier New" w:eastAsia="Courier New" w:hAnsi="Courier New"/>
          <w:sz w:val="18"/>
          <w:szCs w:val="18"/>
          <w:color w:val="auto"/>
        </w:rPr>
        <w:t>We also offer our new generation, or NG, line of ADS (NG)/Family of Products that provides comprehensive support for directory publishing operations.</w:t>
      </w:r>
    </w:p>
    <w:p>
      <w:pPr>
        <w:spacing w:after="0" w:line="66"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Each individual module from the product families can be installed as an independent stand-alone application, interfacing with the customer's legacy and third-party systems, or as part of an integrated Amdocs solution.</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CC&amp;B Systems</w:t>
      </w:r>
    </w:p>
    <w:p>
      <w:pPr>
        <w:spacing w:after="0" w:line="201"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Our CC&amp;B suite of products consists of modules for each of the following key application areas:</w:t>
      </w:r>
    </w:p>
    <w:p>
      <w:pPr>
        <w:spacing w:after="0" w:line="18" w:lineRule="exact"/>
        <w:rPr>
          <w:sz w:val="20"/>
          <w:szCs w:val="20"/>
          <w:color w:val="auto"/>
        </w:rPr>
      </w:pPr>
    </w:p>
    <w:p>
      <w:pPr>
        <w:ind w:left="740" w:right="1879" w:hanging="205"/>
        <w:spacing w:after="0" w:line="344" w:lineRule="auto"/>
        <w:tabs>
          <w:tab w:leader="none" w:pos="7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Management -- provides customer account information management and service support, including account initiation, on-line assistance in choosing a price plan, installation scheduling and complaint handling.</w:t>
      </w:r>
    </w:p>
    <w:p>
      <w:pPr>
        <w:spacing w:after="0" w:line="30" w:lineRule="exact"/>
        <w:rPr>
          <w:rFonts w:ascii="Courier New" w:cs="Courier New" w:eastAsia="Courier New" w:hAnsi="Courier New"/>
          <w:sz w:val="16"/>
          <w:szCs w:val="16"/>
          <w:color w:val="auto"/>
        </w:rPr>
      </w:pPr>
    </w:p>
    <w:p>
      <w:pPr>
        <w:ind w:left="740" w:right="1879" w:hanging="205"/>
        <w:spacing w:after="0" w:line="274"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and Formatting -- provides for acquisition and formatting of the event records, which are created by usage of the communications network. The event records contain information such as the origin and destination of a telephone call and its duration.</w:t>
      </w:r>
    </w:p>
    <w:p>
      <w:pPr>
        <w:spacing w:after="0" w:line="81" w:lineRule="exact"/>
        <w:rPr>
          <w:rFonts w:ascii="Courier New" w:cs="Courier New" w:eastAsia="Courier New" w:hAnsi="Courier New"/>
          <w:sz w:val="18"/>
          <w:szCs w:val="18"/>
          <w:color w:val="auto"/>
        </w:rPr>
      </w:pPr>
    </w:p>
    <w:p>
      <w:pPr>
        <w:ind w:left="740" w:right="1999" w:hanging="205"/>
        <w:spacing w:after="0" w:line="26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Rating -- calculates charges for usage of communications services, such as postpaid and prepaid telephone calls, Internet access and data transfer. The rating module calculates the charges for each event based on the service packages and price plans applicable to each individual user.</w:t>
      </w:r>
    </w:p>
    <w:p>
      <w:pPr>
        <w:spacing w:after="0" w:line="89" w:lineRule="exact"/>
        <w:rPr>
          <w:rFonts w:ascii="Courier New" w:cs="Courier New" w:eastAsia="Courier New" w:hAnsi="Courier New"/>
          <w:sz w:val="18"/>
          <w:szCs w:val="18"/>
          <w:color w:val="auto"/>
        </w:rPr>
      </w:pPr>
    </w:p>
    <w:p>
      <w:pPr>
        <w:ind w:left="740" w:right="1779" w:hanging="205"/>
        <w:spacing w:after="0" w:line="292"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Billing -- provides comprehensive functionality for bill preparation (totaling of usage and other charges, application of discounts, taxes and credits) and bill production.</w:t>
      </w:r>
    </w:p>
    <w:p>
      <w:pPr>
        <w:spacing w:after="0" w:line="66" w:lineRule="exact"/>
        <w:rPr>
          <w:rFonts w:ascii="Courier New" w:cs="Courier New" w:eastAsia="Courier New" w:hAnsi="Courier New"/>
          <w:sz w:val="18"/>
          <w:szCs w:val="18"/>
          <w:color w:val="auto"/>
        </w:rPr>
      </w:pPr>
    </w:p>
    <w:p>
      <w:pPr>
        <w:ind w:left="740" w:right="1999" w:hanging="205"/>
        <w:spacing w:after="0" w:line="274"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Bill Formatter -- enables the flexible definition and modification of bill formats, according to user requests (e.g., to combine charges from multiple services onto a single bill or to permit certain types of charges to be highlighted).</w:t>
      </w:r>
    </w:p>
    <w:p>
      <w:pPr>
        <w:spacing w:after="0" w:line="81" w:lineRule="exact"/>
        <w:rPr>
          <w:rFonts w:ascii="Courier New" w:cs="Courier New" w:eastAsia="Courier New" w:hAnsi="Courier New"/>
          <w:sz w:val="18"/>
          <w:szCs w:val="18"/>
          <w:color w:val="auto"/>
        </w:rPr>
      </w:pPr>
    </w:p>
    <w:p>
      <w:pPr>
        <w:ind w:left="740" w:right="1879" w:hanging="205"/>
        <w:spacing w:after="0" w:line="274"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Receivable and Collections -- provides comprehensive functionality for accounts receivable and collections, including invoice receipt, payment receipt, payment posting, financial reporting and automated handling of customers with outstanding debts.</w:t>
      </w:r>
    </w:p>
    <w:p>
      <w:pPr>
        <w:spacing w:after="0" w:line="81" w:lineRule="exact"/>
        <w:rPr>
          <w:rFonts w:ascii="Courier New" w:cs="Courier New" w:eastAsia="Courier New" w:hAnsi="Courier New"/>
          <w:sz w:val="18"/>
          <w:szCs w:val="18"/>
          <w:color w:val="auto"/>
        </w:rPr>
      </w:pPr>
    </w:p>
    <w:p>
      <w:pPr>
        <w:ind w:left="740" w:right="2419" w:hanging="205"/>
        <w:spacing w:after="0" w:line="257"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Resource Management -- manages the carrier's inventory of telephone numbers and SIM cards.</w:t>
      </w: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691" w:right="1440" w:bottom="559" w:gutter="0" w:footer="0" w:header="0"/>
        </w:sectPr>
      </w:pPr>
    </w:p>
    <w:bookmarkStart w:id="24" w:name="page25"/>
    <w:bookmarkEnd w:id="24"/>
    <w:p>
      <w:pPr>
        <w:ind w:left="740" w:right="1879" w:hanging="205"/>
        <w:spacing w:after="0" w:line="274"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Wireless and IP Provisioning -- manages the interface between the carrier's customer care and billing system and the network, transferring instructions regarding the provision or discontinuation of wireless and IP services to specified users.</w:t>
      </w:r>
    </w:p>
    <w:p>
      <w:pPr>
        <w:spacing w:after="0" w:line="81" w:lineRule="exact"/>
        <w:rPr>
          <w:rFonts w:ascii="Courier New" w:cs="Courier New" w:eastAsia="Courier New" w:hAnsi="Courier New"/>
          <w:sz w:val="18"/>
          <w:szCs w:val="18"/>
          <w:color w:val="auto"/>
        </w:rPr>
      </w:pPr>
    </w:p>
    <w:p>
      <w:pPr>
        <w:ind w:left="740" w:right="1779" w:hanging="205"/>
        <w:spacing w:after="0" w:line="318" w:lineRule="auto"/>
        <w:tabs>
          <w:tab w:leader="none" w:pos="7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Partner Relationship Management -- calculates, manages and reconciles payments for intercarrier network access, including settlement of roaming charges between cellular carriers, as well as management of agreements and settlements between carriers and their business partners.</w:t>
      </w:r>
    </w:p>
    <w:p>
      <w:pPr>
        <w:spacing w:after="0" w:line="52" w:lineRule="exact"/>
        <w:rPr>
          <w:rFonts w:ascii="Courier New" w:cs="Courier New" w:eastAsia="Courier New" w:hAnsi="Courier New"/>
          <w:sz w:val="16"/>
          <w:szCs w:val="16"/>
          <w:color w:val="auto"/>
        </w:rPr>
      </w:pPr>
    </w:p>
    <w:p>
      <w:pPr>
        <w:ind w:left="740" w:right="2199" w:hanging="205"/>
        <w:spacing w:after="0" w:line="292"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Commerce Payments -- manages real-time payment and exchange of information between buyer and seller for next generation commerce and content transactions.</w:t>
      </w:r>
    </w:p>
    <w:p>
      <w:pPr>
        <w:spacing w:after="0" w:line="66" w:lineRule="exact"/>
        <w:rPr>
          <w:sz w:val="20"/>
          <w:szCs w:val="20"/>
          <w:color w:val="auto"/>
        </w:rPr>
      </w:pPr>
    </w:p>
    <w:p>
      <w:pPr>
        <w:ind w:right="2519" w:firstLine="527"/>
        <w:spacing w:after="0" w:line="347" w:lineRule="auto"/>
        <w:rPr>
          <w:sz w:val="20"/>
          <w:szCs w:val="20"/>
          <w:color w:val="auto"/>
        </w:rPr>
      </w:pPr>
      <w:r>
        <w:rPr>
          <w:rFonts w:ascii="Courier New" w:cs="Courier New" w:eastAsia="Courier New" w:hAnsi="Courier New"/>
          <w:sz w:val="18"/>
          <w:szCs w:val="18"/>
          <w:color w:val="auto"/>
        </w:rPr>
        <w:t>Our ClarifyCRM suite of products consists of modules for each of the following three main categories:</w:t>
      </w:r>
    </w:p>
    <w:p>
      <w:pPr>
        <w:spacing w:after="0" w:line="18" w:lineRule="exact"/>
        <w:rPr>
          <w:sz w:val="20"/>
          <w:szCs w:val="20"/>
          <w:color w:val="auto"/>
        </w:rPr>
      </w:pPr>
    </w:p>
    <w:p>
      <w:pPr>
        <w:ind w:left="740" w:right="1779" w:hanging="205"/>
        <w:spacing w:after="0" w:line="289" w:lineRule="auto"/>
        <w:tabs>
          <w:tab w:leader="none" w:pos="7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and Ordering Solutions -- offer comprehensive sales automation and order management products supporting the broad needs of sales professionals in sales situations. We provide a range of integrated sales automation tools enabling local and remote sales professionals to manage sales opportunities, develop quotes, forecast revenue and communicate with other sales team members. Amdocs Order Management applications help companies manage and track the ordering process from order capture and negotiation, through to provisioning and service delivery.</w:t>
      </w:r>
    </w:p>
    <w:p>
      <w:pPr>
        <w:spacing w:after="0" w:line="77" w:lineRule="exact"/>
        <w:rPr>
          <w:rFonts w:ascii="Courier New" w:cs="Courier New" w:eastAsia="Courier New" w:hAnsi="Courier New"/>
          <w:sz w:val="16"/>
          <w:szCs w:val="16"/>
          <w:color w:val="auto"/>
        </w:rPr>
      </w:pPr>
    </w:p>
    <w:p>
      <w:pPr>
        <w:ind w:left="740" w:right="1879" w:hanging="205"/>
        <w:spacing w:after="0" w:line="287" w:lineRule="auto"/>
        <w:tabs>
          <w:tab w:leader="none" w:pos="7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 and Support Solutions -- enable companies to maximize efficiencies in customer service organizations. Our offering includes support centers, contact centers and self-service solutions. These applications provide a unified desktop framework that allows agents to support customer care activities, including marketing, ordering, billing and servicing. They enhance customer service and communications to help improve customer satisfaction and retention. Amdocs Service and Support solutions provide companies a complete view of the customer by integrating incoming and outgoing customer contacts from all channels.</w:t>
      </w:r>
    </w:p>
    <w:p>
      <w:pPr>
        <w:spacing w:after="0" w:line="75" w:lineRule="exact"/>
        <w:rPr>
          <w:rFonts w:ascii="Courier New" w:cs="Courier New" w:eastAsia="Courier New" w:hAnsi="Courier New"/>
          <w:sz w:val="16"/>
          <w:szCs w:val="16"/>
          <w:color w:val="auto"/>
        </w:rPr>
      </w:pPr>
    </w:p>
    <w:p>
      <w:pPr>
        <w:ind w:left="740" w:right="1879" w:hanging="205"/>
        <w:spacing w:after="0" w:line="285" w:lineRule="auto"/>
        <w:tabs>
          <w:tab w:leader="none" w:pos="7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Marketing and Analytics Solutions -- provide an integrated suite of marketing and analytic applications focused on optimizing the key customer metrics that affect a business, including customer acquisition, retention, penetration and lifetime value. Our products help companies identify customer behavioral trends and allow our customers to take proactive measures in order to improve retention rates of their high-value customers and focus offers on their best prospective or existing customers either in real-time or using traditional outbound campaigns. Using our products, communications providers can track the effectiveness their strategies and refine them as necessary.</w:t>
      </w:r>
    </w:p>
    <w:p>
      <w:pPr>
        <w:spacing w:after="0" w:line="29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Directory Publishing</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Our main Directory Systems product offering is the ADS(NG)/Family of Products. These products provide comprehensive support for yellow page and white page directory sales and publishing operations, as well as for Internet directories and catalogs, including fully integrated electronic commerce capabilities. These systems support large directory publishing operations that employ a local sales force numbering thousands of representatives, serve customer bases of hundreds of thousands of businesses and publish hundreds of different directories each year. The directory line of products comprises a series of modules, including:</w:t>
      </w:r>
    </w:p>
    <w:p>
      <w:pPr>
        <w:spacing w:after="0" w:line="99" w:lineRule="exact"/>
        <w:rPr>
          <w:sz w:val="20"/>
          <w:szCs w:val="20"/>
          <w:color w:val="auto"/>
        </w:rPr>
      </w:pPr>
    </w:p>
    <w:p>
      <w:pPr>
        <w:ind w:left="740" w:right="1779" w:hanging="205"/>
        <w:spacing w:after="0" w:line="252"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 addresses all aspects of managing sales to advertisers, including preparation and management of the overall sales campaign, which encompasses selecting the advertisers to be targeted, allocating the advertisers to various sales channels (such as field sales or telemarketing sales), assigning the advertisers to sales representatives, tracking advertising sales results and calculating sales commissions. These modules also provide automated support for the advertising sales representative, including laptop-based applications for use by members of the sales force in the field.</w:t>
      </w:r>
    </w:p>
    <w:p>
      <w:pPr>
        <w:spacing w:after="0" w:line="98" w:lineRule="exact"/>
        <w:rPr>
          <w:rFonts w:ascii="Courier New" w:cs="Courier New" w:eastAsia="Courier New" w:hAnsi="Courier New"/>
          <w:sz w:val="18"/>
          <w:szCs w:val="18"/>
          <w:color w:val="auto"/>
        </w:rPr>
      </w:pPr>
    </w:p>
    <w:p>
      <w:pPr>
        <w:ind w:left="740" w:right="1779" w:hanging="205"/>
        <w:spacing w:after="0" w:line="292"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Publishing -- supports the process of entering, proofing and extracting the telephone listing and advertising information that is to be published in the customer's yellow page or white page directory</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691" w:right="1440" w:bottom="591" w:gutter="0" w:footer="0" w:header="0"/>
        </w:sectPr>
      </w:pPr>
    </w:p>
    <w:bookmarkStart w:id="25" w:name="page26"/>
    <w:bookmarkEnd w:id="25"/>
    <w:p>
      <w:pPr>
        <w:ind w:left="740" w:right="1879"/>
        <w:spacing w:after="0" w:line="274" w:lineRule="auto"/>
        <w:rPr>
          <w:sz w:val="20"/>
          <w:szCs w:val="20"/>
          <w:color w:val="auto"/>
        </w:rPr>
      </w:pPr>
      <w:r>
        <w:rPr>
          <w:rFonts w:ascii="Courier New" w:cs="Courier New" w:eastAsia="Courier New" w:hAnsi="Courier New"/>
          <w:sz w:val="18"/>
          <w:szCs w:val="18"/>
          <w:color w:val="auto"/>
        </w:rPr>
        <w:t>or electronic Internet directory. These modules encompass contract processing, service order processing, listing information management and directory extract in preparation for the actual production of the directory.</w:t>
      </w:r>
    </w:p>
    <w:p>
      <w:pPr>
        <w:spacing w:after="0" w:line="82" w:lineRule="exact"/>
        <w:rPr>
          <w:sz w:val="20"/>
          <w:szCs w:val="20"/>
          <w:color w:val="auto"/>
        </w:rPr>
      </w:pPr>
    </w:p>
    <w:p>
      <w:pPr>
        <w:ind w:left="740" w:right="1779" w:hanging="205"/>
        <w:spacing w:after="0" w:line="252"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Marketing and Information Analysis -- includes corporate data warehousing techniques, online analytical processing and data mining capabilities, oriented to the specific marketing needs of the directory publisher. For example, these modules can be used to identify changed patterns of advertisement buying behavior in certain groups of customers, or to perform "what if" analyses on marketing policy parameters. These modules are also used by management to analyze the directory market and customer behavior, assisting in the planning of corporate strategy and marketing tactics.</w:t>
      </w:r>
    </w:p>
    <w:p>
      <w:pPr>
        <w:spacing w:after="0" w:line="98" w:lineRule="exact"/>
        <w:rPr>
          <w:rFonts w:ascii="Courier New" w:cs="Courier New" w:eastAsia="Courier New" w:hAnsi="Courier New"/>
          <w:sz w:val="18"/>
          <w:szCs w:val="18"/>
          <w:color w:val="auto"/>
        </w:rPr>
      </w:pPr>
    </w:p>
    <w:p>
      <w:pPr>
        <w:ind w:left="740" w:right="1779" w:hanging="205"/>
        <w:spacing w:after="0" w:line="265"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Prepress -- manages the production of advertisements that are to be published in a directory and also supports the fully automated pagination of yellow page and white page directories, including the generation of the final typesetting file so that printed copies of the documents can be produced.</w:t>
      </w:r>
    </w:p>
    <w:p>
      <w:pPr>
        <w:spacing w:after="0" w:line="89" w:lineRule="exact"/>
        <w:rPr>
          <w:rFonts w:ascii="Courier New" w:cs="Courier New" w:eastAsia="Courier New" w:hAnsi="Courier New"/>
          <w:sz w:val="18"/>
          <w:szCs w:val="18"/>
          <w:color w:val="auto"/>
        </w:rPr>
      </w:pPr>
    </w:p>
    <w:p>
      <w:pPr>
        <w:ind w:left="740" w:right="1879" w:hanging="205"/>
        <w:spacing w:after="0" w:line="292"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 Service -- permits online support for handling customer inquiries and resolving customer complaints, including online correction of advertising data and billing adjustments.</w:t>
      </w:r>
    </w:p>
    <w:p>
      <w:pPr>
        <w:spacing w:after="0" w:line="66" w:lineRule="exact"/>
        <w:rPr>
          <w:rFonts w:ascii="Courier New" w:cs="Courier New" w:eastAsia="Courier New" w:hAnsi="Courier New"/>
          <w:sz w:val="18"/>
          <w:szCs w:val="18"/>
          <w:color w:val="auto"/>
        </w:rPr>
      </w:pPr>
    </w:p>
    <w:p>
      <w:pPr>
        <w:ind w:left="740" w:right="2419" w:hanging="205"/>
        <w:spacing w:after="0" w:line="402" w:lineRule="auto"/>
        <w:tabs>
          <w:tab w:leader="none" w:pos="7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Management -- specifically designed for the directory publisher's billing, accounts receivable and collections functions.</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SERVICES</w:t>
      </w:r>
    </w:p>
    <w:p>
      <w:pPr>
        <w:spacing w:after="0" w:line="201" w:lineRule="exact"/>
        <w:rPr>
          <w:sz w:val="20"/>
          <w:szCs w:val="20"/>
          <w:color w:val="auto"/>
        </w:rPr>
      </w:pPr>
    </w:p>
    <w:p>
      <w:pPr>
        <w:ind w:right="2099" w:firstLine="527"/>
        <w:spacing w:after="0" w:line="293" w:lineRule="auto"/>
        <w:rPr>
          <w:sz w:val="20"/>
          <w:szCs w:val="20"/>
          <w:color w:val="auto"/>
        </w:rPr>
      </w:pPr>
      <w:r>
        <w:rPr>
          <w:rFonts w:ascii="Courier New" w:cs="Courier New" w:eastAsia="Courier New" w:hAnsi="Courier New"/>
          <w:sz w:val="16"/>
          <w:szCs w:val="16"/>
          <w:color w:val="auto"/>
        </w:rPr>
        <w:t>We believe that the methodology we employ to deliver Integrated Customer Management products is one of the key factors that enables us to achieve the time-frame, budget and quality objectives of our customers' projects. Our methodology emphasizes rigorous project management, customization, solutions implementation and integration planning, as well as active customer participation at all stages to help prioritize and implement time-critical information system solutions that address the customer's individual needs.</w:t>
      </w:r>
    </w:p>
    <w:p>
      <w:pPr>
        <w:spacing w:after="0" w:line="72"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The extent of services provided varies from customer to customer. Some communications service providers prefer a highly customized approach, with extensive modifications to the Integrated Customer Management products and a significant level of ongoing support. In recent years, more of our customers have chosen to implement standard, pre-configured products with limited customization and less ongoing support. We have invested considerable research and development efforts in upgrading our applications suite to address this market requirement.</w:t>
      </w:r>
    </w:p>
    <w:p>
      <w:pPr>
        <w:spacing w:after="0" w:line="104" w:lineRule="exact"/>
        <w:rPr>
          <w:sz w:val="20"/>
          <w:szCs w:val="20"/>
          <w:color w:val="auto"/>
        </w:rPr>
      </w:pPr>
    </w:p>
    <w:p>
      <w:pPr>
        <w:ind w:right="1879" w:firstLine="527"/>
        <w:spacing w:after="0" w:line="282" w:lineRule="auto"/>
        <w:rPr>
          <w:sz w:val="20"/>
          <w:szCs w:val="20"/>
          <w:color w:val="auto"/>
        </w:rPr>
      </w:pPr>
      <w:r>
        <w:rPr>
          <w:rFonts w:ascii="Courier New" w:cs="Courier New" w:eastAsia="Courier New" w:hAnsi="Courier New"/>
          <w:sz w:val="16"/>
          <w:szCs w:val="16"/>
          <w:color w:val="auto"/>
        </w:rPr>
        <w:t>The process of customizing a system involves creating tailored Integrated Customer Management products to address a customer's specific technical and business requirements. System implementation and integration activities are conducted by joint teams from Amdocs and the customer in parallel with the customization effort. Implementation and integration activities include project management, development of training methods and procedures, design of work flows, hardware planning and installation, network and system design and installation, system conversion and documentation. In most cases, the role of Amdocs personnel is to provide support services to the customer's own implementation and integration team, which has primary responsibility for the task. Customers sometimes require turnkey solutions, in which case we are able to provide full system implementation and integration services.</w:t>
      </w:r>
    </w:p>
    <w:p>
      <w:pPr>
        <w:spacing w:after="0" w:line="29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Once the system becomes operational, we are generally retained by the customer to provide ongoing services such as maintenance, enhancement design and development, and operational support. For substantially all of our customers, the implementation and integration of an initial Integrated Customer Management system has been followed by the sale of additional systems and modules. In recent years, we have established long-term maintenance and support contracts with a number of our customers. These contracts have generally involved an expansion in the scope of support provided, while also ensuring a recurring source of revenue to us.</w:t>
      </w:r>
    </w:p>
    <w:p>
      <w:pPr>
        <w:spacing w:after="0" w:line="99"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As part of our effort to provide comprehensive solutions to our customers, we offer Managed Services to support operation of our Integrated Customer Management products. These Managed Services include a</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691" w:right="1440" w:bottom="388" w:gutter="0" w:footer="0" w:header="0"/>
        </w:sectPr>
      </w:pPr>
    </w:p>
    <w:bookmarkStart w:id="26" w:name="page27"/>
    <w:bookmarkEnd w:id="26"/>
    <w:p>
      <w:pPr>
        <w:ind w:right="2199"/>
        <w:spacing w:after="0" w:line="292" w:lineRule="auto"/>
        <w:rPr>
          <w:sz w:val="20"/>
          <w:szCs w:val="20"/>
          <w:color w:val="auto"/>
        </w:rPr>
      </w:pPr>
      <w:r>
        <w:rPr>
          <w:rFonts w:ascii="Courier New" w:cs="Courier New" w:eastAsia="Courier New" w:hAnsi="Courier New"/>
          <w:sz w:val="18"/>
          <w:szCs w:val="18"/>
          <w:color w:val="auto"/>
        </w:rPr>
        <w:t>combination of services, such as system modernization and consolidation, management and operation of data centers, purchase and management of related hardware assets, billing operations and application support.</w:t>
      </w:r>
    </w:p>
    <w:p>
      <w:pPr>
        <w:spacing w:after="0" w:line="66"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Our business is conducted on a global basis. We maintain five development facilities located in Israel, the United States, Cyprus, Ireland and Canada, operate a support center located in Brazil and have operations in North America, Europe, Latin America and the Asia-Pacific region. Support for implementation and integration activities is typically performed at the customer site. Once the system is operational or in production, we provide ongoing support and maintenance through a combination of remote support from the development centers and local support at the customer site.</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SALES AND MARKETING</w:t>
      </w:r>
    </w:p>
    <w:p>
      <w:pPr>
        <w:spacing w:after="0" w:line="201"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Our sales and marketing activities are primarily directed at major communications companies. As a result of the strategic importance of our information systems to the operations of such companies, a number of constituencies within a customer's organization are typically involved in purchase decisions, including senior management, information systems personnel and user groups such as the finance and marketing departments.</w:t>
      </w:r>
    </w:p>
    <w:p>
      <w:pPr>
        <w:spacing w:after="0" w:line="93"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We maintain sales offices in the United States, the United Kingdom and several other countries. Our sales activities are supported by marketing efforts, including marketing communications, product management, market research and strategic alliances. The management of our operating subsidiaries is closely involved in establishing sales policies and overseeing sales activities. Management's role includes the setting of priorities among the multiple sales opportunities available at any point in time. Management is also responsible for allocating sufficient resources to each project to meet our quality standards while also adhering to the project's cost and schedule parameters.</w:t>
      </w:r>
    </w:p>
    <w:p>
      <w:pPr>
        <w:spacing w:after="0" w:line="75"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We also interact with other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CUSTOMERS</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Our target market is comprised of communications companies that require information systems with advanced functionality and technology. The companies in our target segment are typically market leaders. By working with such companies, we help ensure that we remain at the forefront of developments in the communications industry and that our Integrated Customer Management product offerings continue to address the market's most sophisticated needs. We have an international orientation, focusing on potential customers in the developed, industrialized countries in North America, Europe, Latin America and the Asia-Pacific region. In addition, we offer CRM applications to selected customers and segments outside of the communications industry.</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691" w:right="1440" w:bottom="1440" w:gutter="0" w:footer="0" w:header="0"/>
        </w:sectPr>
      </w:pPr>
    </w:p>
    <w:bookmarkStart w:id="27" w:name="page28"/>
    <w:bookmarkEnd w:id="27"/>
    <w:p>
      <w:pPr>
        <w:jc w:val="center"/>
        <w:ind w:right="1879"/>
        <w:spacing w:after="0"/>
        <w:rPr>
          <w:sz w:val="20"/>
          <w:szCs w:val="20"/>
          <w:color w:val="auto"/>
        </w:rPr>
      </w:pPr>
      <w:r>
        <w:rPr>
          <w:rFonts w:ascii="Courier New" w:cs="Courier New" w:eastAsia="Courier New" w:hAnsi="Courier New"/>
          <w:sz w:val="18"/>
          <w:szCs w:val="18"/>
          <w:color w:val="auto"/>
        </w:rPr>
        <w:t>Our customers include global communications leaders, as well as other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leading network operators and service providers and directory publishers in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 and around the world. Our customers include:</w:t>
      </w:r>
    </w:p>
    <w:p>
      <w:pPr>
        <w:sectPr>
          <w:pgSz w:w="11900" w:h="16838" w:orient="portrait"/>
          <w:cols w:equalWidth="0" w:num="1">
            <w:col w:w="10219"/>
          </w:cols>
          <w:pgMar w:left="240" w:top="691" w:right="1440" w:bottom="591" w:gutter="0" w:footer="0" w:header="0"/>
        </w:sectPr>
      </w:pPr>
    </w:p>
    <w:p>
      <w:pPr>
        <w:spacing w:after="0" w:line="200" w:lineRule="exact"/>
        <w:rPr>
          <w:sz w:val="20"/>
          <w:szCs w:val="20"/>
          <w:color w:val="auto"/>
        </w:rPr>
      </w:pPr>
    </w:p>
    <w:p>
      <w:pPr>
        <w:spacing w:after="0" w:line="37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BCP</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Bell Canada</w:t>
      </w:r>
    </w:p>
    <w:p>
      <w:pPr>
        <w:ind w:left="420"/>
        <w:spacing w:after="0" w:line="238" w:lineRule="auto"/>
        <w:rPr>
          <w:sz w:val="20"/>
          <w:szCs w:val="20"/>
          <w:color w:val="auto"/>
        </w:rPr>
      </w:pPr>
      <w:r>
        <w:rPr>
          <w:rFonts w:ascii="Courier New" w:cs="Courier New" w:eastAsia="Courier New" w:hAnsi="Courier New"/>
          <w:sz w:val="18"/>
          <w:szCs w:val="18"/>
          <w:color w:val="auto"/>
        </w:rPr>
        <w:t>BT</w:t>
      </w:r>
    </w:p>
    <w:p>
      <w:pPr>
        <w:ind w:left="420"/>
        <w:spacing w:after="0"/>
        <w:rPr>
          <w:sz w:val="20"/>
          <w:szCs w:val="20"/>
          <w:color w:val="auto"/>
        </w:rPr>
      </w:pPr>
      <w:r>
        <w:rPr>
          <w:rFonts w:ascii="Courier New" w:cs="Courier New" w:eastAsia="Courier New" w:hAnsi="Courier New"/>
          <w:sz w:val="16"/>
          <w:szCs w:val="16"/>
          <w:color w:val="auto"/>
        </w:rPr>
        <w:t>Cingular Wireless</w:t>
      </w:r>
    </w:p>
    <w:p>
      <w:pPr>
        <w:spacing w:after="0" w:line="2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Deutsche Telekom</w:t>
      </w:r>
    </w:p>
    <w:p>
      <w:pPr>
        <w:ind w:left="420"/>
        <w:spacing w:after="0" w:line="238" w:lineRule="auto"/>
        <w:rPr>
          <w:sz w:val="20"/>
          <w:szCs w:val="20"/>
          <w:color w:val="auto"/>
        </w:rPr>
      </w:pPr>
      <w:r>
        <w:rPr>
          <w:rFonts w:ascii="Courier New" w:cs="Courier New" w:eastAsia="Courier New" w:hAnsi="Courier New"/>
          <w:sz w:val="18"/>
          <w:szCs w:val="18"/>
          <w:color w:val="auto"/>
        </w:rPr>
        <w:t>Dex Media</w:t>
      </w:r>
    </w:p>
    <w:p>
      <w:pPr>
        <w:ind w:left="420"/>
        <w:spacing w:after="0"/>
        <w:rPr>
          <w:sz w:val="20"/>
          <w:szCs w:val="20"/>
          <w:color w:val="auto"/>
        </w:rPr>
      </w:pPr>
      <w:r>
        <w:rPr>
          <w:rFonts w:ascii="Courier New" w:cs="Courier New" w:eastAsia="Courier New" w:hAnsi="Courier New"/>
          <w:sz w:val="18"/>
          <w:szCs w:val="18"/>
          <w:color w:val="auto"/>
        </w:rPr>
        <w:t>Far EasTone</w:t>
      </w:r>
    </w:p>
    <w:p>
      <w:pPr>
        <w:ind w:left="420"/>
        <w:spacing w:after="0" w:line="238" w:lineRule="auto"/>
        <w:rPr>
          <w:sz w:val="20"/>
          <w:szCs w:val="20"/>
          <w:color w:val="auto"/>
        </w:rPr>
      </w:pPr>
      <w:r>
        <w:rPr>
          <w:rFonts w:ascii="Courier New" w:cs="Courier New" w:eastAsia="Courier New" w:hAnsi="Courier New"/>
          <w:sz w:val="18"/>
          <w:szCs w:val="18"/>
          <w:color w:val="auto"/>
        </w:rPr>
        <w:t>Group Cegetel</w:t>
      </w:r>
    </w:p>
    <w:p>
      <w:pPr>
        <w:ind w:left="420"/>
        <w:spacing w:after="0"/>
        <w:rPr>
          <w:sz w:val="20"/>
          <w:szCs w:val="20"/>
          <w:color w:val="auto"/>
        </w:rPr>
      </w:pPr>
      <w:r>
        <w:rPr>
          <w:rFonts w:ascii="Courier New" w:cs="Courier New" w:eastAsia="Courier New" w:hAnsi="Courier New"/>
          <w:sz w:val="18"/>
          <w:szCs w:val="18"/>
          <w:color w:val="auto"/>
        </w:rPr>
        <w:t>Netcom</w:t>
      </w:r>
    </w:p>
    <w:p>
      <w:pPr>
        <w:ind w:left="420"/>
        <w:spacing w:after="0" w:line="238" w:lineRule="auto"/>
        <w:rPr>
          <w:sz w:val="20"/>
          <w:szCs w:val="20"/>
          <w:color w:val="auto"/>
        </w:rPr>
      </w:pPr>
      <w:r>
        <w:rPr>
          <w:rFonts w:ascii="Courier New" w:cs="Courier New" w:eastAsia="Courier New" w:hAnsi="Courier New"/>
          <w:sz w:val="18"/>
          <w:szCs w:val="18"/>
          <w:color w:val="auto"/>
        </w:rPr>
        <w:t>Nextel</w:t>
      </w:r>
    </w:p>
    <w:p>
      <w:pPr>
        <w:ind w:left="420"/>
        <w:spacing w:after="0"/>
        <w:rPr>
          <w:sz w:val="20"/>
          <w:szCs w:val="20"/>
          <w:color w:val="auto"/>
        </w:rPr>
      </w:pPr>
      <w:r>
        <w:rPr>
          <w:rFonts w:ascii="Courier New" w:cs="Courier New" w:eastAsia="Courier New" w:hAnsi="Courier New"/>
          <w:sz w:val="18"/>
          <w:szCs w:val="18"/>
          <w:color w:val="auto"/>
        </w:rPr>
        <w:t>Rogers AT&amp;T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SBC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Sprint PCS</w:t>
      </w:r>
    </w:p>
    <w:p>
      <w:pPr>
        <w:spacing w:after="0" w:line="238" w:lineRule="auto"/>
        <w:rPr>
          <w:sz w:val="20"/>
          <w:szCs w:val="20"/>
          <w:color w:val="auto"/>
        </w:rPr>
      </w:pPr>
      <w:r>
        <w:rPr>
          <w:rFonts w:ascii="Courier New" w:cs="Courier New" w:eastAsia="Courier New" w:hAnsi="Courier New"/>
          <w:sz w:val="18"/>
          <w:szCs w:val="18"/>
          <w:color w:val="auto"/>
        </w:rPr>
        <w:t>Telefonica</w:t>
      </w:r>
    </w:p>
    <w:p>
      <w:pPr>
        <w:spacing w:after="0"/>
        <w:rPr>
          <w:sz w:val="20"/>
          <w:szCs w:val="20"/>
          <w:color w:val="auto"/>
        </w:rPr>
      </w:pPr>
      <w:r>
        <w:rPr>
          <w:rFonts w:ascii="Courier New" w:cs="Courier New" w:eastAsia="Courier New" w:hAnsi="Courier New"/>
          <w:sz w:val="18"/>
          <w:szCs w:val="18"/>
          <w:color w:val="auto"/>
        </w:rPr>
        <w:t>Telstra</w:t>
      </w:r>
    </w:p>
    <w:p>
      <w:pPr>
        <w:spacing w:after="0" w:line="238" w:lineRule="auto"/>
        <w:rPr>
          <w:sz w:val="20"/>
          <w:szCs w:val="20"/>
          <w:color w:val="auto"/>
        </w:rPr>
      </w:pPr>
      <w:r>
        <w:rPr>
          <w:rFonts w:ascii="Courier New" w:cs="Courier New" w:eastAsia="Courier New" w:hAnsi="Courier New"/>
          <w:sz w:val="18"/>
          <w:szCs w:val="18"/>
          <w:color w:val="auto"/>
        </w:rPr>
        <w:t>Telus</w:t>
      </w:r>
    </w:p>
    <w:p>
      <w:pPr>
        <w:spacing w:after="0"/>
        <w:rPr>
          <w:sz w:val="20"/>
          <w:szCs w:val="20"/>
          <w:color w:val="auto"/>
        </w:rPr>
      </w:pPr>
      <w:r>
        <w:rPr>
          <w:rFonts w:ascii="Courier New" w:cs="Courier New" w:eastAsia="Courier New" w:hAnsi="Courier New"/>
          <w:sz w:val="18"/>
          <w:szCs w:val="18"/>
          <w:color w:val="auto"/>
        </w:rPr>
        <w:t>T-Mobile</w:t>
      </w:r>
    </w:p>
    <w:p>
      <w:pPr>
        <w:spacing w:after="0" w:line="238" w:lineRule="auto"/>
        <w:rPr>
          <w:sz w:val="20"/>
          <w:szCs w:val="20"/>
          <w:color w:val="auto"/>
        </w:rPr>
      </w:pPr>
      <w:r>
        <w:rPr>
          <w:rFonts w:ascii="Courier New" w:cs="Courier New" w:eastAsia="Courier New" w:hAnsi="Courier New"/>
          <w:sz w:val="18"/>
          <w:szCs w:val="18"/>
          <w:color w:val="auto"/>
        </w:rPr>
        <w:t>Verizon</w:t>
      </w:r>
    </w:p>
    <w:p>
      <w:pPr>
        <w:spacing w:after="0"/>
        <w:rPr>
          <w:sz w:val="20"/>
          <w:szCs w:val="20"/>
          <w:color w:val="auto"/>
        </w:rPr>
      </w:pPr>
      <w:r>
        <w:rPr>
          <w:rFonts w:ascii="Courier New" w:cs="Courier New" w:eastAsia="Courier New" w:hAnsi="Courier New"/>
          <w:sz w:val="18"/>
          <w:szCs w:val="18"/>
          <w:color w:val="auto"/>
        </w:rPr>
        <w:t>Vimplecom</w:t>
      </w:r>
    </w:p>
    <w:p>
      <w:pPr>
        <w:spacing w:after="0" w:line="238" w:lineRule="auto"/>
        <w:rPr>
          <w:sz w:val="20"/>
          <w:szCs w:val="20"/>
          <w:color w:val="auto"/>
        </w:rPr>
      </w:pPr>
      <w:r>
        <w:rPr>
          <w:rFonts w:ascii="Courier New" w:cs="Courier New" w:eastAsia="Courier New" w:hAnsi="Courier New"/>
          <w:sz w:val="18"/>
          <w:szCs w:val="18"/>
          <w:color w:val="auto"/>
        </w:rPr>
        <w:t>Vodafone Group</w:t>
      </w:r>
    </w:p>
    <w:p>
      <w:pPr>
        <w:spacing w:after="0"/>
        <w:rPr>
          <w:sz w:val="20"/>
          <w:szCs w:val="20"/>
          <w:color w:val="auto"/>
        </w:rPr>
      </w:pPr>
      <w:r>
        <w:rPr>
          <w:rFonts w:ascii="Courier New" w:cs="Courier New" w:eastAsia="Courier New" w:hAnsi="Courier New"/>
          <w:sz w:val="16"/>
          <w:szCs w:val="16"/>
          <w:color w:val="auto"/>
        </w:rPr>
        <w:t>Western Wireless</w:t>
      </w:r>
    </w:p>
    <w:p>
      <w:pPr>
        <w:spacing w:after="0" w:line="425" w:lineRule="exact"/>
        <w:rPr>
          <w:sz w:val="20"/>
          <w:szCs w:val="20"/>
          <w:color w:val="auto"/>
        </w:rPr>
      </w:pPr>
    </w:p>
    <w:p>
      <w:pPr>
        <w:sectPr>
          <w:pgSz w:w="11900" w:h="16838" w:orient="portrait"/>
          <w:cols w:equalWidth="0" w:num="2">
            <w:col w:w="4980" w:space="720"/>
            <w:col w:w="4519"/>
          </w:cols>
          <w:pgMar w:left="240" w:top="691" w:right="1440" w:bottom="591" w:gutter="0" w:footer="0" w:header="0"/>
          <w:type w:val="continuous"/>
        </w:sectPr>
      </w:pPr>
    </w:p>
    <w:p>
      <w:pPr>
        <w:spacing w:after="0" w:line="172"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Our three largest groups of customers are comprised of Bell Canada, Nextel Communications ("Nextel") and SBC Communications Inc. ("SBC") and certain of their subsidiaries, each of which accounted for more than 10% of our revenue in fiscal 2003. Aggregate revenue derived from the multiple business arrangements we have with our five largest customer groups accounted for approximately 55% of our revenue in fiscal 2003. SBC has historically been one of our largest shareholders, and, as of November 28, 2003, it beneficially owned approximately 9.4% of our outstanding ordinary shares.</w:t>
      </w:r>
    </w:p>
    <w:p>
      <w:pPr>
        <w:spacing w:after="0" w:line="104" w:lineRule="exact"/>
        <w:rPr>
          <w:sz w:val="20"/>
          <w:szCs w:val="20"/>
          <w:color w:val="auto"/>
        </w:rPr>
      </w:pPr>
    </w:p>
    <w:p>
      <w:pPr>
        <w:ind w:right="2519" w:firstLine="527"/>
        <w:spacing w:after="0" w:line="402" w:lineRule="auto"/>
        <w:rPr>
          <w:sz w:val="20"/>
          <w:szCs w:val="20"/>
          <w:color w:val="auto"/>
        </w:rPr>
      </w:pPr>
      <w:r>
        <w:rPr>
          <w:rFonts w:ascii="Courier New" w:cs="Courier New" w:eastAsia="Courier New" w:hAnsi="Courier New"/>
          <w:sz w:val="16"/>
          <w:szCs w:val="16"/>
          <w:color w:val="auto"/>
        </w:rPr>
        <w:t>The following is a summary of revenue by geographic area. Revenue is attributed to geographic region based on the location of the customer:</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8"/>
          <w:szCs w:val="18"/>
          <w:color w:val="auto"/>
        </w:rPr>
        <w:t>2003 2002 2001 ---- ---- ---- North</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jc w:val="right"/>
              <w:spacing w:after="0"/>
              <w:rPr>
                <w:sz w:val="20"/>
                <w:szCs w:val="20"/>
                <w:color w:val="auto"/>
              </w:rPr>
            </w:pPr>
            <w:r>
              <w:rPr>
                <w:rFonts w:ascii="Courier New" w:cs="Courier New" w:eastAsia="Courier New" w:hAnsi="Courier New"/>
                <w:sz w:val="12"/>
                <w:szCs w:val="12"/>
                <w:color w:val="auto"/>
                <w:w w:val="74"/>
              </w:rPr>
              <w:t>America...............................................</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61.9%</w:t>
            </w:r>
          </w:p>
        </w:tc>
        <w:tc>
          <w:tcPr>
            <w:tcW w:w="2640" w:type="dxa"/>
            <w:vAlign w:val="bottom"/>
            <w:vMerge w:val="restart"/>
          </w:tcPr>
          <w:p>
            <w:pPr>
              <w:jc w:val="right"/>
              <w:ind w:right="1972"/>
              <w:spacing w:after="0"/>
              <w:rPr>
                <w:sz w:val="20"/>
                <w:szCs w:val="20"/>
                <w:color w:val="auto"/>
              </w:rPr>
            </w:pPr>
            <w:r>
              <w:rPr>
                <w:rFonts w:ascii="Courier New" w:cs="Courier New" w:eastAsia="Courier New" w:hAnsi="Courier New"/>
                <w:sz w:val="18"/>
                <w:szCs w:val="18"/>
                <w:color w:val="auto"/>
              </w:rPr>
              <w:t>53.8%</w:t>
            </w:r>
          </w:p>
        </w:tc>
        <w:tc>
          <w:tcPr>
            <w:tcW w:w="0" w:type="dxa"/>
            <w:vAlign w:val="bottom"/>
          </w:tcPr>
          <w:p>
            <w:pPr>
              <w:spacing w:after="0"/>
              <w:rPr>
                <w:sz w:val="1"/>
                <w:szCs w:val="1"/>
                <w:color w:val="auto"/>
              </w:rPr>
            </w:pPr>
          </w:p>
        </w:tc>
      </w:tr>
      <w:tr>
        <w:trPr>
          <w:trHeight w:val="203"/>
        </w:trPr>
        <w:tc>
          <w:tcPr>
            <w:tcW w:w="290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62.0%</w:t>
            </w:r>
          </w:p>
        </w:tc>
        <w:tc>
          <w:tcPr>
            <w:tcW w:w="58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gridSpan w:val="2"/>
          </w:tcPr>
          <w:p>
            <w:pPr>
              <w:spacing w:after="0"/>
              <w:rPr>
                <w:sz w:val="20"/>
                <w:szCs w:val="20"/>
                <w:color w:val="auto"/>
              </w:rPr>
            </w:pPr>
            <w:r>
              <w:rPr>
                <w:rFonts w:ascii="Courier New" w:cs="Courier New" w:eastAsia="Courier New" w:hAnsi="Courier New"/>
                <w:sz w:val="13"/>
                <w:szCs w:val="13"/>
                <w:color w:val="auto"/>
                <w:w w:val="73"/>
              </w:rPr>
              <w:t>Europe......................................................</w:t>
            </w: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gridSpan w:val="3"/>
          </w:tcPr>
          <w:p>
            <w:pPr>
              <w:jc w:val="right"/>
              <w:ind w:right="1492"/>
              <w:spacing w:after="0" w:line="203" w:lineRule="exact"/>
              <w:rPr>
                <w:sz w:val="20"/>
                <w:szCs w:val="20"/>
                <w:color w:val="auto"/>
              </w:rPr>
            </w:pPr>
            <w:r>
              <w:rPr>
                <w:rFonts w:ascii="Courier New" w:cs="Courier New" w:eastAsia="Courier New" w:hAnsi="Courier New"/>
                <w:sz w:val="18"/>
                <w:szCs w:val="18"/>
                <w:color w:val="auto"/>
              </w:rPr>
              <w:t>29.8 28.9 35.8 Rest of the</w:t>
            </w:r>
          </w:p>
        </w:tc>
        <w:tc>
          <w:tcPr>
            <w:tcW w:w="0" w:type="dxa"/>
            <w:vAlign w:val="bottom"/>
          </w:tcPr>
          <w:p>
            <w:pPr>
              <w:spacing w:after="0"/>
              <w:rPr>
                <w:sz w:val="1"/>
                <w:szCs w:val="1"/>
                <w:color w:val="auto"/>
              </w:rPr>
            </w:pPr>
          </w:p>
        </w:tc>
      </w:tr>
      <w:tr>
        <w:trPr>
          <w:trHeight w:val="296"/>
        </w:trPr>
        <w:tc>
          <w:tcPr>
            <w:tcW w:w="2900" w:type="dxa"/>
            <w:vAlign w:val="bottom"/>
          </w:tcPr>
          <w:p>
            <w:pPr>
              <w:jc w:val="right"/>
              <w:spacing w:after="0"/>
              <w:rPr>
                <w:sz w:val="20"/>
                <w:szCs w:val="20"/>
                <w:color w:val="auto"/>
              </w:rPr>
            </w:pPr>
            <w:r>
              <w:rPr>
                <w:rFonts w:ascii="Courier New" w:cs="Courier New" w:eastAsia="Courier New" w:hAnsi="Courier New"/>
                <w:sz w:val="14"/>
                <w:szCs w:val="14"/>
                <w:color w:val="auto"/>
                <w:w w:val="71"/>
              </w:rPr>
              <w:t>World...........................................</w:t>
            </w:r>
          </w:p>
        </w:tc>
        <w:tc>
          <w:tcPr>
            <w:tcW w:w="5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10.4</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8.2 9.2</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COMPETITION</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The market for communications information systems is highly competitive and fragmented, and we expect competition to increase. We compete with many independent providers of information systems and services, including American Management Systems, Convergys, CSG Systems International, Portal Software, Saville Systems (a subsidiary of ADC Telecommunications), SchlumbergerSema Group and Siebel Systems, with system integrators and providers of Managed Services solutions, such as EDS, and with internal information systems departments of large communication companies. We expect continued competition in the communications industry and the entrance of new competitors into the software information systems market in the future.</w:t>
      </w:r>
    </w:p>
    <w:p>
      <w:pPr>
        <w:spacing w:after="0" w:line="104"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We believe that we are able to differentiate ourselves from the competition by, among other things:</w:t>
      </w:r>
    </w:p>
    <w:p>
      <w:pPr>
        <w:spacing w:after="0" w:line="18" w:lineRule="exact"/>
        <w:rPr>
          <w:sz w:val="20"/>
          <w:szCs w:val="20"/>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customers a total information system from a single vendor,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high quality reliable, scalable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effectively managing the timely implementation of products, and</w:t>
      </w:r>
    </w:p>
    <w:p>
      <w:pPr>
        <w:spacing w:after="0" w:line="201" w:lineRule="exact"/>
        <w:rPr>
          <w:rFonts w:ascii="Courier New" w:cs="Courier New" w:eastAsia="Courier New" w:hAnsi="Courier New"/>
          <w:sz w:val="18"/>
          <w:szCs w:val="18"/>
          <w:color w:val="auto"/>
        </w:rPr>
      </w:pPr>
    </w:p>
    <w:p>
      <w:pPr>
        <w:ind w:left="740" w:right="2519" w:hanging="205"/>
        <w:spacing w:after="0" w:line="347"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responding to customer service and support needs through a skilled professional organization.</w:t>
      </w:r>
    </w:p>
    <w:p>
      <w:pPr>
        <w:spacing w:after="0" w:line="18"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w:t>
      </w:r>
    </w:p>
    <w:p>
      <w:pPr>
        <w:spacing w:after="0" w:line="9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691" w:right="1440" w:bottom="591" w:gutter="0" w:footer="0" w:header="0"/>
          <w:type w:val="continuous"/>
        </w:sectPr>
      </w:pPr>
    </w:p>
    <w:bookmarkStart w:id="28" w:name="page29"/>
    <w:bookmarkEnd w:id="28"/>
    <w:p>
      <w:pPr>
        <w:ind w:right="1779"/>
        <w:spacing w:after="0" w:line="253" w:lineRule="auto"/>
        <w:rPr>
          <w:sz w:val="20"/>
          <w:szCs w:val="20"/>
          <w:color w:val="auto"/>
        </w:rPr>
      </w:pPr>
      <w:r>
        <w:rPr>
          <w:rFonts w:ascii="Courier New" w:cs="Courier New" w:eastAsia="Courier New" w:hAnsi="Courier New"/>
          <w:sz w:val="18"/>
          <w:szCs w:val="18"/>
          <w:color w:val="auto"/>
        </w:rPr>
        <w:t>significant market share. As a result, our competitors may be able to adapt more quickly than we can to new or emerging technologies and changes in customer requirements, or to devote greater resources to the promotion and sale of their products. There can be no assurance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EMPLOYEES</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We invest significant resources in training, retention and motivation of high quality personnel. Training programs cover areas such as technology, applications, development methodology, project methodology, programming standards, industry background and management development. Our management development scheme is reinforced by a divisional structure, which provides opportunities for talented managers to gain experience in general management roles at the division level. We also invest considerable resources in personnel motivation, including providing various incentive plans for sales staff and high quality employees. Our future success depends in large part upon our continuing ability to attract and retain highly qualified managerial, technical, sales and marketing personnel.</w:t>
      </w:r>
    </w:p>
    <w:p>
      <w:pPr>
        <w:spacing w:after="0" w:line="104"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See "Directors, Senior Management and Employees -- Employees" for further details regarding our employees and our relationships with them.</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RESEARCH AND DEVELOPMENT, PATENTS AND LICENSES</w:t>
      </w:r>
    </w:p>
    <w:p>
      <w:pPr>
        <w:spacing w:after="0" w:line="201"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Our research and development activities involve the development of new software modules and product offerings in response to an identified market demand, either in conjunction with a customer project or as part of our internal product development programs. We also expend additional amounts on applied research and software development activities to keep abreast of new technologies in the communications markets and to provide new and enhanced functionality to our existing product offerings. As a result of our research and development program, in fiscal 2003 we launched major releases of our flagship products -- our billing platform, which we call Amdocs Enabler version 5, and Amdocs ClarifyCRM version 12. Enabler version 5 supports new revenue streams and business models with advanced online charging capabilities and supports multi-market/multi-national operations, all on a single platform. ClarifyCRM version 12 features advanced user interface technology that delivers real-time, relevant and actionable customer information to the service agent's desktop, transforming the high-volume call center into a more efficient and effective multi-channel customer contact center. We are continuously focusing significant development efforts on the integration between our products in order to provide Integrated Customer Management to our customers. We believe that our research and development efforts are a key element of our strategy and are essential to our success.</w:t>
      </w:r>
    </w:p>
    <w:p>
      <w:pPr>
        <w:spacing w:after="0" w:line="108"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Our software and software systems are largely comprised of software and systems that we have developed and that we regard as proprietary. Our software and software systems are the results of long and complex development processes, and certain aspects of our products make use of readily available software components which we license from third parties. The ability to develop and use our software and software systems requires knowledge and professional experience that we believe is unique to us and would be very difficult for others to independently obtain. Our software and software systems have never been the subject of a material intellectual property infringement claim. We rely upon a combination of trademarks, contractual rights, trade secret law, copyrights, nondisclosure agreements and technical measures to establish and protect our proprietary rights in our products and technologies. We also enter into non-disclosure and confidentiality agreements with our customers, employees and marketing representatives and with certain contractors with access to sensitive information. Additionally, we limit customer access to the source code for our software and software systems. However, these measures taken by us may not be adequate to protect our technology from third-party infringement. In addition, our competitors may also independently develop technologies that are substantially equivalent or superior to ours.</w:t>
      </w:r>
    </w:p>
    <w:p>
      <w:pPr>
        <w:spacing w:after="0" w:line="300"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The Company's technology is not dependent on patents or licenses from third parties.</w:t>
      </w: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691" w:right="1440" w:bottom="793" w:gutter="0" w:footer="0" w:header="0"/>
        </w:sectPr>
      </w:pPr>
    </w:p>
    <w:bookmarkStart w:id="29" w:name="page30"/>
    <w:bookmarkEnd w:id="29"/>
    <w:p>
      <w:pPr>
        <w:ind w:right="3359" w:firstLine="527"/>
        <w:spacing w:after="0" w:line="402" w:lineRule="auto"/>
        <w:rPr>
          <w:sz w:val="20"/>
          <w:szCs w:val="20"/>
          <w:color w:val="auto"/>
        </w:rPr>
      </w:pPr>
      <w:r>
        <w:rPr>
          <w:rFonts w:ascii="Courier New" w:cs="Courier New" w:eastAsia="Courier New" w:hAnsi="Courier New"/>
          <w:sz w:val="16"/>
          <w:szCs w:val="16"/>
          <w:color w:val="auto"/>
        </w:rPr>
        <w:t>See the discussion under "Operating and Financial Review and Prospects -- Research and Development, Patents and Licenses."</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PROPERTY, PLANTS AND EQUIPMENT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Facilities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lease land and buildings for our executive offices, sales, marketing, administrative, development and support centers. We lease an aggregate of approximately 2,300,000 square feet worldwide, including significant leases in the United States, Israel, Canada, Cyprus and the United Kingdom. Our aggregate annual lease costs are approximately $48.0 million. The following table summarizes information with respect to the principal facilities leased by us and our subsidiaries as of November 30, 2003:</w:t>
      </w:r>
    </w:p>
    <w:p>
      <w:pPr>
        <w:spacing w:after="0" w:line="98"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AREA LOCATION (SQ. FEET) - -------- ---------- United</w:t>
      </w:r>
    </w:p>
    <w:tbl>
      <w:tblPr>
        <w:tblLayout w:type="fixed"/>
        <w:tblInd w:w="0" w:type="dxa"/>
        <w:tblCellMar>
          <w:top w:w="0" w:type="dxa"/>
          <w:left w:w="0" w:type="dxa"/>
          <w:bottom w:w="0" w:type="dxa"/>
          <w:right w:w="0" w:type="dxa"/>
        </w:tblCellMar>
      </w:tblPr>
      <w:tr>
        <w:trPr>
          <w:trHeight w:val="201"/>
        </w:trPr>
        <w:tc>
          <w:tcPr>
            <w:tcW w:w="14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8"/>
              </w:rPr>
              <w:t>MO(*).......................................</w:t>
            </w:r>
          </w:p>
        </w:tc>
        <w:tc>
          <w:tcPr>
            <w:tcW w:w="4540" w:type="dxa"/>
            <w:vAlign w:val="bottom"/>
          </w:tcPr>
          <w:p>
            <w:pPr>
              <w:jc w:val="center"/>
              <w:ind w:right="1292"/>
              <w:spacing w:after="0" w:line="201" w:lineRule="exact"/>
              <w:rPr>
                <w:sz w:val="20"/>
                <w:szCs w:val="20"/>
                <w:color w:val="auto"/>
              </w:rPr>
            </w:pPr>
            <w:r>
              <w:rPr>
                <w:rFonts w:ascii="Courier New" w:cs="Courier New" w:eastAsia="Courier New" w:hAnsi="Courier New"/>
                <w:sz w:val="18"/>
                <w:szCs w:val="18"/>
                <w:color w:val="auto"/>
                <w:w w:val="96"/>
              </w:rPr>
              <w:t>States: Chesterfield,</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180,000 San</w:t>
            </w:r>
          </w:p>
        </w:tc>
        <w:tc>
          <w:tcPr>
            <w:tcW w:w="0" w:type="dxa"/>
            <w:vAlign w:val="bottom"/>
          </w:tcPr>
          <w:p>
            <w:pPr>
              <w:spacing w:after="0"/>
              <w:rPr>
                <w:sz w:val="1"/>
                <w:szCs w:val="1"/>
                <w:color w:val="auto"/>
              </w:rPr>
            </w:pPr>
          </w:p>
        </w:tc>
      </w:tr>
      <w:tr>
        <w:trPr>
          <w:trHeight w:val="381"/>
        </w:trPr>
        <w:tc>
          <w:tcPr>
            <w:tcW w:w="1480" w:type="dxa"/>
            <w:vAlign w:val="bottom"/>
          </w:tcPr>
          <w:p>
            <w:pPr>
              <w:jc w:val="right"/>
              <w:spacing w:after="0"/>
              <w:rPr>
                <w:sz w:val="20"/>
                <w:szCs w:val="20"/>
                <w:color w:val="auto"/>
              </w:rPr>
            </w:pPr>
            <w:r>
              <w:rPr>
                <w:rFonts w:ascii="Courier New" w:cs="Courier New" w:eastAsia="Courier New" w:hAnsi="Courier New"/>
                <w:sz w:val="3"/>
                <w:szCs w:val="3"/>
                <w:color w:val="auto"/>
                <w:w w:val="71"/>
              </w:rPr>
              <w:t>Jose,</w:t>
            </w:r>
            <w:r>
              <w:rPr>
                <w:rFonts w:ascii="Courier New" w:cs="Courier New" w:eastAsia="Courier New" w:hAnsi="Courier New"/>
                <w:sz w:val="6"/>
                <w:szCs w:val="6"/>
                <w:color w:val="auto"/>
                <w:w w:val="71"/>
                <w:vertAlign w:val="subscript"/>
              </w:rPr>
              <w:t>.............................................</w:t>
            </w:r>
            <w:r>
              <w:rPr>
                <w:rFonts w:ascii="Courier New" w:cs="Courier New" w:eastAsia="Courier New" w:hAnsi="Courier New"/>
                <w:sz w:val="3"/>
                <w:szCs w:val="3"/>
                <w:color w:val="auto"/>
                <w:w w:val="71"/>
              </w:rPr>
              <w:t>CA..............................................</w:t>
            </w:r>
          </w:p>
        </w:tc>
        <w:tc>
          <w:tcPr>
            <w:tcW w:w="4540" w:type="dxa"/>
            <w:vAlign w:val="bottom"/>
            <w:vMerge w:val="restart"/>
          </w:tcPr>
          <w:p>
            <w:pPr>
              <w:jc w:val="center"/>
              <w:ind w:right="1292"/>
              <w:spacing w:after="0"/>
              <w:rPr>
                <w:sz w:val="20"/>
                <w:szCs w:val="20"/>
                <w:color w:val="auto"/>
              </w:rPr>
            </w:pPr>
            <w:r>
              <w:rPr>
                <w:rFonts w:ascii="Courier New" w:cs="Courier New" w:eastAsia="Courier New" w:hAnsi="Courier New"/>
                <w:sz w:val="18"/>
                <w:szCs w:val="18"/>
                <w:color w:val="auto"/>
                <w:w w:val="96"/>
              </w:rPr>
              <w:t>129,000 Champaign,</w:t>
            </w:r>
          </w:p>
        </w:tc>
        <w:tc>
          <w:tcPr>
            <w:tcW w:w="0" w:type="dxa"/>
            <w:vAlign w:val="bottom"/>
          </w:tcPr>
          <w:p>
            <w:pPr>
              <w:spacing w:after="0"/>
              <w:rPr>
                <w:sz w:val="1"/>
                <w:szCs w:val="1"/>
                <w:color w:val="auto"/>
              </w:rPr>
            </w:pPr>
          </w:p>
        </w:tc>
      </w:tr>
      <w:tr>
        <w:trPr>
          <w:trHeight w:val="24"/>
        </w:trPr>
        <w:tc>
          <w:tcPr>
            <w:tcW w:w="14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IL</w:t>
            </w:r>
          </w:p>
        </w:tc>
        <w:tc>
          <w:tcPr>
            <w:tcW w:w="4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105,000</w:t>
            </w:r>
          </w:p>
        </w:tc>
        <w:tc>
          <w:tcPr>
            <w:tcW w:w="0" w:type="dxa"/>
            <w:vAlign w:val="bottom"/>
          </w:tcPr>
          <w:p>
            <w:pPr>
              <w:spacing w:after="0"/>
              <w:rPr>
                <w:sz w:val="1"/>
                <w:szCs w:val="1"/>
                <w:color w:val="auto"/>
              </w:rPr>
            </w:pPr>
          </w:p>
        </w:tc>
      </w:tr>
      <w:tr>
        <w:trPr>
          <w:trHeight w:val="381"/>
        </w:trPr>
        <w:tc>
          <w:tcPr>
            <w:tcW w:w="1480" w:type="dxa"/>
            <w:vAlign w:val="bottom"/>
          </w:tcPr>
          <w:p>
            <w:pPr>
              <w:spacing w:after="0"/>
              <w:rPr>
                <w:sz w:val="20"/>
                <w:szCs w:val="20"/>
                <w:color w:val="auto"/>
              </w:rPr>
            </w:pPr>
            <w:r>
              <w:rPr>
                <w:rFonts w:ascii="Courier New" w:cs="Courier New" w:eastAsia="Courier New" w:hAnsi="Courier New"/>
                <w:sz w:val="1"/>
                <w:szCs w:val="1"/>
                <w:color w:val="auto"/>
                <w:w w:val="64"/>
                <w:vertAlign w:val="superscript"/>
              </w:rPr>
              <w:t>Others(*)</w:t>
            </w:r>
            <w:r>
              <w:rPr>
                <w:rFonts w:ascii="Courier New" w:cs="Courier New" w:eastAsia="Courier New" w:hAnsi="Courier New"/>
                <w:sz w:val="1"/>
                <w:szCs w:val="1"/>
                <w:color w:val="auto"/>
                <w:w w:val="64"/>
                <w:vertAlign w:val="subscript"/>
              </w:rPr>
              <w:t>.................................</w:t>
            </w:r>
            <w:r>
              <w:rPr>
                <w:rFonts w:ascii="Courier New" w:cs="Courier New" w:eastAsia="Courier New" w:hAnsi="Courier New"/>
                <w:sz w:val="1"/>
                <w:szCs w:val="1"/>
                <w:color w:val="auto"/>
                <w:w w:val="64"/>
              </w:rPr>
              <w:t>....................................................</w:t>
            </w:r>
            <w:r>
              <w:rPr>
                <w:rFonts w:ascii="Courier New" w:cs="Courier New" w:eastAsia="Courier New" w:hAnsi="Courier New"/>
                <w:sz w:val="1"/>
                <w:szCs w:val="1"/>
                <w:color w:val="auto"/>
                <w:w w:val="64"/>
                <w:vertAlign w:val="subscript"/>
              </w:rPr>
              <w:t>....................................................</w:t>
            </w:r>
            <w:r>
              <w:rPr>
                <w:rFonts w:ascii="Courier New" w:cs="Courier New" w:eastAsia="Courier New" w:hAnsi="Courier New"/>
                <w:sz w:val="1"/>
                <w:szCs w:val="1"/>
                <w:color w:val="auto"/>
                <w:w w:val="64"/>
                <w:vertAlign w:val="superscript"/>
              </w:rPr>
              <w:t>..................................................</w:t>
            </w:r>
            <w:r>
              <w:rPr>
                <w:rFonts w:ascii="Courier New" w:cs="Courier New" w:eastAsia="Courier New" w:hAnsi="Courier New"/>
                <w:sz w:val="1"/>
                <w:szCs w:val="1"/>
                <w:color w:val="auto"/>
                <w:w w:val="64"/>
                <w:vertAlign w:val="subscript"/>
              </w:rPr>
              <w:t>....................................................................................................</w:t>
            </w:r>
            <w:r>
              <w:rPr>
                <w:rFonts w:ascii="Courier New" w:cs="Courier New" w:eastAsia="Courier New" w:hAnsi="Courier New"/>
                <w:sz w:val="1"/>
                <w:szCs w:val="1"/>
                <w:color w:val="auto"/>
                <w:w w:val="64"/>
                <w:vertAlign w:val="superscript"/>
              </w:rPr>
              <w:t>...................................................................................................................................................................................................</w:t>
            </w:r>
            <w:r>
              <w:rPr>
                <w:rFonts w:ascii="Courier New" w:cs="Courier New" w:eastAsia="Courier New" w:hAnsi="Courier New"/>
                <w:sz w:val="1"/>
                <w:szCs w:val="1"/>
                <w:color w:val="auto"/>
                <w:w w:val="64"/>
                <w:vertAlign w:val="subscript"/>
              </w:rPr>
              <w:t>................................................</w:t>
            </w:r>
          </w:p>
        </w:tc>
        <w:tc>
          <w:tcPr>
            <w:tcW w:w="4540" w:type="dxa"/>
            <w:vAlign w:val="bottom"/>
            <w:vMerge w:val="restart"/>
          </w:tcPr>
          <w:p>
            <w:pPr>
              <w:jc w:val="center"/>
              <w:ind w:right="1272"/>
              <w:spacing w:after="0"/>
              <w:rPr>
                <w:sz w:val="20"/>
                <w:szCs w:val="20"/>
                <w:color w:val="auto"/>
              </w:rPr>
            </w:pPr>
            <w:r>
              <w:rPr>
                <w:rFonts w:ascii="Courier New" w:cs="Courier New" w:eastAsia="Courier New" w:hAnsi="Courier New"/>
                <w:sz w:val="18"/>
                <w:szCs w:val="18"/>
                <w:color w:val="auto"/>
                <w:w w:val="97"/>
              </w:rPr>
              <w:t>163,000 -------</w:t>
            </w:r>
          </w:p>
        </w:tc>
        <w:tc>
          <w:tcPr>
            <w:tcW w:w="0" w:type="dxa"/>
            <w:vAlign w:val="bottom"/>
          </w:tcPr>
          <w:p>
            <w:pPr>
              <w:spacing w:after="0"/>
              <w:rPr>
                <w:sz w:val="1"/>
                <w:szCs w:val="1"/>
                <w:color w:val="auto"/>
              </w:rPr>
            </w:pPr>
          </w:p>
        </w:tc>
      </w:tr>
      <w:tr>
        <w:trPr>
          <w:trHeight w:val="118"/>
        </w:trPr>
        <w:tc>
          <w:tcPr>
            <w:tcW w:w="14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Total</w:t>
            </w:r>
          </w:p>
        </w:tc>
        <w:tc>
          <w:tcPr>
            <w:tcW w:w="4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540" w:type="dxa"/>
            <w:vAlign w:val="bottom"/>
            <w:vMerge w:val="restart"/>
          </w:tcPr>
          <w:p>
            <w:pPr>
              <w:jc w:val="center"/>
              <w:ind w:right="1272"/>
              <w:spacing w:after="0"/>
              <w:rPr>
                <w:sz w:val="20"/>
                <w:szCs w:val="20"/>
                <w:color w:val="auto"/>
              </w:rPr>
            </w:pPr>
            <w:r>
              <w:rPr>
                <w:rFonts w:ascii="Courier New" w:cs="Courier New" w:eastAsia="Courier New" w:hAnsi="Courier New"/>
                <w:sz w:val="18"/>
                <w:szCs w:val="18"/>
                <w:color w:val="auto"/>
                <w:w w:val="97"/>
              </w:rPr>
              <w:t>577,000 Israel:</w:t>
            </w:r>
          </w:p>
        </w:tc>
        <w:tc>
          <w:tcPr>
            <w:tcW w:w="0" w:type="dxa"/>
            <w:vAlign w:val="bottom"/>
          </w:tcPr>
          <w:p>
            <w:pPr>
              <w:spacing w:after="0"/>
              <w:rPr>
                <w:sz w:val="1"/>
                <w:szCs w:val="1"/>
                <w:color w:val="auto"/>
              </w:rPr>
            </w:pPr>
          </w:p>
        </w:tc>
      </w:tr>
      <w:tr>
        <w:trPr>
          <w:trHeight w:val="203"/>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Ra'anana</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540" w:type="dxa"/>
            <w:vAlign w:val="bottom"/>
            <w:vMerge w:val="restart"/>
          </w:tcPr>
          <w:p>
            <w:pPr>
              <w:jc w:val="center"/>
              <w:ind w:right="1292"/>
              <w:spacing w:after="0"/>
              <w:rPr>
                <w:sz w:val="20"/>
                <w:szCs w:val="20"/>
                <w:color w:val="auto"/>
              </w:rPr>
            </w:pPr>
            <w:r>
              <w:rPr>
                <w:rFonts w:ascii="Courier New" w:cs="Courier New" w:eastAsia="Courier New" w:hAnsi="Courier New"/>
                <w:sz w:val="18"/>
                <w:szCs w:val="18"/>
                <w:color w:val="auto"/>
                <w:w w:val="98"/>
              </w:rPr>
              <w:t>512,000 Hod-</w:t>
            </w:r>
          </w:p>
        </w:tc>
        <w:tc>
          <w:tcPr>
            <w:tcW w:w="0" w:type="dxa"/>
            <w:vAlign w:val="bottom"/>
          </w:tcPr>
          <w:p>
            <w:pPr>
              <w:spacing w:after="0"/>
              <w:rPr>
                <w:sz w:val="1"/>
                <w:szCs w:val="1"/>
                <w:color w:val="auto"/>
              </w:rPr>
            </w:pPr>
          </w:p>
        </w:tc>
      </w:tr>
      <w:tr>
        <w:trPr>
          <w:trHeight w:val="203"/>
        </w:trPr>
        <w:tc>
          <w:tcPr>
            <w:tcW w:w="1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Hasharon</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540" w:type="dxa"/>
            <w:vAlign w:val="bottom"/>
            <w:vMerge w:val="restart"/>
          </w:tcPr>
          <w:p>
            <w:pPr>
              <w:jc w:val="center"/>
              <w:ind w:right="1292"/>
              <w:spacing w:after="0"/>
              <w:rPr>
                <w:sz w:val="20"/>
                <w:szCs w:val="20"/>
                <w:color w:val="auto"/>
              </w:rPr>
            </w:pPr>
            <w:r>
              <w:rPr>
                <w:rFonts w:ascii="Courier New" w:cs="Courier New" w:eastAsia="Courier New" w:hAnsi="Courier New"/>
                <w:sz w:val="18"/>
                <w:szCs w:val="18"/>
                <w:color w:val="auto"/>
                <w:w w:val="95"/>
              </w:rPr>
              <w:t>201,000</w:t>
            </w:r>
          </w:p>
        </w:tc>
        <w:tc>
          <w:tcPr>
            <w:tcW w:w="0" w:type="dxa"/>
            <w:vAlign w:val="bottom"/>
          </w:tcPr>
          <w:p>
            <w:pPr>
              <w:spacing w:after="0"/>
              <w:rPr>
                <w:sz w:val="1"/>
                <w:szCs w:val="1"/>
                <w:color w:val="auto"/>
              </w:rPr>
            </w:pPr>
          </w:p>
        </w:tc>
      </w:tr>
      <w:tr>
        <w:trPr>
          <w:trHeight w:val="203"/>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Haifa(*)</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540" w:type="dxa"/>
            <w:vAlign w:val="bottom"/>
            <w:vMerge w:val="restart"/>
          </w:tcPr>
          <w:p>
            <w:pPr>
              <w:jc w:val="center"/>
              <w:ind w:right="1292"/>
              <w:spacing w:after="0"/>
              <w:rPr>
                <w:sz w:val="20"/>
                <w:szCs w:val="20"/>
                <w:color w:val="auto"/>
              </w:rPr>
            </w:pPr>
            <w:r>
              <w:rPr>
                <w:rFonts w:ascii="Courier New" w:cs="Courier New" w:eastAsia="Courier New" w:hAnsi="Courier New"/>
                <w:sz w:val="18"/>
                <w:szCs w:val="18"/>
                <w:color w:val="auto"/>
                <w:w w:val="95"/>
              </w:rPr>
              <w:t>121,000</w:t>
            </w:r>
          </w:p>
        </w:tc>
        <w:tc>
          <w:tcPr>
            <w:tcW w:w="0" w:type="dxa"/>
            <w:vAlign w:val="bottom"/>
          </w:tcPr>
          <w:p>
            <w:pPr>
              <w:spacing w:after="0"/>
              <w:rPr>
                <w:sz w:val="1"/>
                <w:szCs w:val="1"/>
                <w:color w:val="auto"/>
              </w:rPr>
            </w:pPr>
          </w:p>
        </w:tc>
      </w:tr>
      <w:tr>
        <w:trPr>
          <w:trHeight w:val="203"/>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Others</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540" w:type="dxa"/>
            <w:vAlign w:val="bottom"/>
            <w:vMerge w:val="restart"/>
          </w:tcPr>
          <w:p>
            <w:pPr>
              <w:jc w:val="center"/>
              <w:ind w:right="1292"/>
              <w:spacing w:after="0"/>
              <w:rPr>
                <w:sz w:val="20"/>
                <w:szCs w:val="20"/>
                <w:color w:val="auto"/>
              </w:rPr>
            </w:pPr>
            <w:r>
              <w:rPr>
                <w:rFonts w:ascii="Courier New" w:cs="Courier New" w:eastAsia="Courier New" w:hAnsi="Courier New"/>
                <w:sz w:val="18"/>
                <w:szCs w:val="18"/>
                <w:color w:val="auto"/>
                <w:w w:val="97"/>
              </w:rPr>
              <w:t>72,000 -------</w:t>
            </w:r>
          </w:p>
        </w:tc>
        <w:tc>
          <w:tcPr>
            <w:tcW w:w="0" w:type="dxa"/>
            <w:vAlign w:val="bottom"/>
          </w:tcPr>
          <w:p>
            <w:pPr>
              <w:spacing w:after="0"/>
              <w:rPr>
                <w:sz w:val="1"/>
                <w:szCs w:val="1"/>
                <w:color w:val="auto"/>
              </w:rPr>
            </w:pPr>
          </w:p>
        </w:tc>
      </w:tr>
      <w:tr>
        <w:trPr>
          <w:trHeight w:val="203"/>
        </w:trPr>
        <w:tc>
          <w:tcPr>
            <w:tcW w:w="14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Total</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540" w:type="dxa"/>
            <w:vAlign w:val="bottom"/>
            <w:vMerge w:val="restart"/>
          </w:tcPr>
          <w:p>
            <w:pPr>
              <w:jc w:val="center"/>
              <w:ind w:right="1272"/>
              <w:spacing w:after="0"/>
              <w:rPr>
                <w:sz w:val="20"/>
                <w:szCs w:val="20"/>
                <w:color w:val="auto"/>
              </w:rPr>
            </w:pPr>
            <w:r>
              <w:rPr>
                <w:rFonts w:ascii="Courier New" w:cs="Courier New" w:eastAsia="Courier New" w:hAnsi="Courier New"/>
                <w:sz w:val="18"/>
                <w:szCs w:val="18"/>
                <w:color w:val="auto"/>
                <w:w w:val="97"/>
              </w:rPr>
              <w:t>906,000 Canada:</w:t>
            </w:r>
          </w:p>
        </w:tc>
        <w:tc>
          <w:tcPr>
            <w:tcW w:w="0" w:type="dxa"/>
            <w:vAlign w:val="bottom"/>
          </w:tcPr>
          <w:p>
            <w:pPr>
              <w:spacing w:after="0"/>
              <w:rPr>
                <w:sz w:val="1"/>
                <w:szCs w:val="1"/>
                <w:color w:val="auto"/>
              </w:rPr>
            </w:pPr>
          </w:p>
        </w:tc>
      </w:tr>
      <w:tr>
        <w:trPr>
          <w:trHeight w:val="203"/>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Toronto(*)</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540" w:type="dxa"/>
            <w:vAlign w:val="bottom"/>
            <w:vMerge w:val="restart"/>
          </w:tcPr>
          <w:p>
            <w:pPr>
              <w:jc w:val="center"/>
              <w:ind w:right="1292"/>
              <w:spacing w:after="0"/>
              <w:rPr>
                <w:sz w:val="20"/>
                <w:szCs w:val="20"/>
                <w:color w:val="auto"/>
              </w:rPr>
            </w:pPr>
            <w:r>
              <w:rPr>
                <w:rFonts w:ascii="Courier New" w:cs="Courier New" w:eastAsia="Courier New" w:hAnsi="Courier New"/>
                <w:sz w:val="18"/>
                <w:szCs w:val="18"/>
                <w:color w:val="auto"/>
                <w:w w:val="95"/>
              </w:rPr>
              <w:t>334,000</w:t>
            </w:r>
          </w:p>
        </w:tc>
        <w:tc>
          <w:tcPr>
            <w:tcW w:w="0" w:type="dxa"/>
            <w:vAlign w:val="bottom"/>
          </w:tcPr>
          <w:p>
            <w:pPr>
              <w:spacing w:after="0"/>
              <w:rPr>
                <w:sz w:val="1"/>
                <w:szCs w:val="1"/>
                <w:color w:val="auto"/>
              </w:rPr>
            </w:pPr>
          </w:p>
        </w:tc>
      </w:tr>
      <w:tr>
        <w:trPr>
          <w:trHeight w:val="203"/>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Others</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540" w:type="dxa"/>
            <w:vAlign w:val="bottom"/>
            <w:vMerge w:val="restart"/>
          </w:tcPr>
          <w:p>
            <w:pPr>
              <w:jc w:val="center"/>
              <w:ind w:right="1272"/>
              <w:spacing w:after="0"/>
              <w:rPr>
                <w:sz w:val="20"/>
                <w:szCs w:val="20"/>
                <w:color w:val="auto"/>
              </w:rPr>
            </w:pPr>
            <w:r>
              <w:rPr>
                <w:rFonts w:ascii="Courier New" w:cs="Courier New" w:eastAsia="Courier New" w:hAnsi="Courier New"/>
                <w:sz w:val="18"/>
                <w:szCs w:val="18"/>
                <w:color w:val="auto"/>
                <w:w w:val="97"/>
              </w:rPr>
              <w:t>168,000 -------</w:t>
            </w:r>
          </w:p>
        </w:tc>
        <w:tc>
          <w:tcPr>
            <w:tcW w:w="0" w:type="dxa"/>
            <w:vAlign w:val="bottom"/>
          </w:tcPr>
          <w:p>
            <w:pPr>
              <w:spacing w:after="0"/>
              <w:rPr>
                <w:sz w:val="1"/>
                <w:szCs w:val="1"/>
                <w:color w:val="auto"/>
              </w:rPr>
            </w:pPr>
          </w:p>
        </w:tc>
      </w:tr>
      <w:tr>
        <w:trPr>
          <w:trHeight w:val="203"/>
        </w:trPr>
        <w:tc>
          <w:tcPr>
            <w:tcW w:w="14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Total</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540" w:type="dxa"/>
            <w:vAlign w:val="bottom"/>
            <w:vMerge w:val="restart"/>
          </w:tcPr>
          <w:p>
            <w:pPr>
              <w:jc w:val="center"/>
              <w:ind w:right="1292"/>
              <w:spacing w:after="0"/>
              <w:rPr>
                <w:sz w:val="20"/>
                <w:szCs w:val="20"/>
                <w:color w:val="auto"/>
              </w:rPr>
            </w:pPr>
            <w:r>
              <w:rPr>
                <w:rFonts w:ascii="Courier New" w:cs="Courier New" w:eastAsia="Courier New" w:hAnsi="Courier New"/>
                <w:sz w:val="18"/>
                <w:szCs w:val="18"/>
                <w:color w:val="auto"/>
                <w:w w:val="97"/>
              </w:rPr>
              <w:t>502,000 Cyprus</w:t>
            </w:r>
          </w:p>
        </w:tc>
        <w:tc>
          <w:tcPr>
            <w:tcW w:w="0" w:type="dxa"/>
            <w:vAlign w:val="bottom"/>
          </w:tcPr>
          <w:p>
            <w:pPr>
              <w:spacing w:after="0"/>
              <w:rPr>
                <w:sz w:val="1"/>
                <w:szCs w:val="1"/>
                <w:color w:val="auto"/>
              </w:rPr>
            </w:pPr>
          </w:p>
        </w:tc>
      </w:tr>
      <w:tr>
        <w:trPr>
          <w:trHeight w:val="203"/>
        </w:trPr>
        <w:tc>
          <w:tcPr>
            <w:tcW w:w="14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(Limassol)</w:t>
            </w:r>
          </w:p>
        </w:tc>
        <w:tc>
          <w:tcPr>
            <w:tcW w:w="4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ind w:left="1320"/>
              <w:spacing w:after="0"/>
              <w:rPr>
                <w:sz w:val="20"/>
                <w:szCs w:val="20"/>
                <w:color w:val="auto"/>
              </w:rPr>
            </w:pPr>
            <w:r>
              <w:rPr>
                <w:rFonts w:ascii="Courier New" w:cs="Courier New" w:eastAsia="Courier New" w:hAnsi="Courier New"/>
                <w:sz w:val="1"/>
                <w:szCs w:val="1"/>
                <w:color w:val="auto"/>
                <w:w w:val="54"/>
              </w:rPr>
              <w:t>...........................................</w:t>
            </w:r>
          </w:p>
        </w:tc>
        <w:tc>
          <w:tcPr>
            <w:tcW w:w="4540" w:type="dxa"/>
            <w:vAlign w:val="bottom"/>
            <w:vMerge w:val="restart"/>
          </w:tcPr>
          <w:p>
            <w:pPr>
              <w:jc w:val="center"/>
              <w:ind w:right="1292"/>
              <w:spacing w:after="0"/>
              <w:rPr>
                <w:sz w:val="20"/>
                <w:szCs w:val="20"/>
                <w:color w:val="auto"/>
              </w:rPr>
            </w:pPr>
            <w:r>
              <w:rPr>
                <w:rFonts w:ascii="Courier New" w:cs="Courier New" w:eastAsia="Courier New" w:hAnsi="Courier New"/>
                <w:sz w:val="18"/>
                <w:szCs w:val="18"/>
                <w:color w:val="auto"/>
                <w:w w:val="97"/>
              </w:rPr>
              <w:t>96,000 United Kingdom (London)</w:t>
            </w:r>
          </w:p>
        </w:tc>
        <w:tc>
          <w:tcPr>
            <w:tcW w:w="0" w:type="dxa"/>
            <w:vAlign w:val="bottom"/>
          </w:tcPr>
          <w:p>
            <w:pPr>
              <w:spacing w:after="0"/>
              <w:rPr>
                <w:sz w:val="1"/>
                <w:szCs w:val="1"/>
                <w:color w:val="auto"/>
              </w:rPr>
            </w:pPr>
          </w:p>
        </w:tc>
      </w:tr>
      <w:tr>
        <w:trPr>
          <w:trHeight w:val="109"/>
        </w:trPr>
        <w:tc>
          <w:tcPr>
            <w:tcW w:w="14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w:t>
            </w:r>
          </w:p>
        </w:tc>
        <w:tc>
          <w:tcPr>
            <w:tcW w:w="4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59,000 Rest of the</w:t>
            </w:r>
          </w:p>
        </w:tc>
        <w:tc>
          <w:tcPr>
            <w:tcW w:w="0" w:type="dxa"/>
            <w:vAlign w:val="bottom"/>
          </w:tcPr>
          <w:p>
            <w:pPr>
              <w:spacing w:after="0"/>
              <w:rPr>
                <w:sz w:val="1"/>
                <w:szCs w:val="1"/>
                <w:color w:val="auto"/>
              </w:rPr>
            </w:pPr>
          </w:p>
        </w:tc>
      </w:tr>
      <w:tr>
        <w:trPr>
          <w:trHeight w:val="296"/>
        </w:trPr>
        <w:tc>
          <w:tcPr>
            <w:tcW w:w="1480" w:type="dxa"/>
            <w:vAlign w:val="bottom"/>
          </w:tcPr>
          <w:p>
            <w:pPr>
              <w:jc w:val="right"/>
              <w:spacing w:after="0"/>
              <w:rPr>
                <w:sz w:val="20"/>
                <w:szCs w:val="20"/>
                <w:color w:val="auto"/>
              </w:rPr>
            </w:pPr>
            <w:r>
              <w:rPr>
                <w:rFonts w:ascii="Courier New" w:cs="Courier New" w:eastAsia="Courier New" w:hAnsi="Courier New"/>
                <w:sz w:val="7"/>
                <w:szCs w:val="7"/>
                <w:color w:val="auto"/>
                <w:w w:val="72"/>
              </w:rPr>
              <w:t>world (**)......................................</w:t>
            </w:r>
          </w:p>
        </w:tc>
        <w:tc>
          <w:tcPr>
            <w:tcW w:w="4540" w:type="dxa"/>
            <w:vAlign w:val="bottom"/>
          </w:tcPr>
          <w:p>
            <w:pPr>
              <w:jc w:val="right"/>
              <w:spacing w:after="0"/>
              <w:rPr>
                <w:sz w:val="20"/>
                <w:szCs w:val="20"/>
                <w:color w:val="auto"/>
              </w:rPr>
            </w:pPr>
            <w:r>
              <w:rPr>
                <w:rFonts w:ascii="Courier New" w:cs="Courier New" w:eastAsia="Courier New" w:hAnsi="Courier New"/>
                <w:sz w:val="18"/>
                <w:szCs w:val="18"/>
                <w:color w:val="auto"/>
              </w:rPr>
              <w:t>126,000</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540" w:hanging="427"/>
        <w:spacing w:after="0"/>
        <w:tabs>
          <w:tab w:leader="none" w:pos="54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space sublet to third parties.</w:t>
      </w:r>
    </w:p>
    <w:p>
      <w:pPr>
        <w:spacing w:after="0" w:line="201" w:lineRule="exact"/>
        <w:rPr>
          <w:sz w:val="20"/>
          <w:szCs w:val="20"/>
          <w:color w:val="auto"/>
        </w:rPr>
      </w:pPr>
    </w:p>
    <w:p>
      <w:pPr>
        <w:ind w:left="540" w:right="1999" w:hanging="532"/>
        <w:spacing w:after="0" w:line="292"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Argentina, Australia, Brazil, Czech Republic, Denmark, France, Germany, Hong Kong, Hungary, Ireland, Italy, Japan, Poland, South Africa, Spain, Thailand and The Netherlands.</w:t>
      </w:r>
    </w:p>
    <w:p>
      <w:pPr>
        <w:spacing w:after="0" w:line="66"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Our leases expire on various dates between 2003 and 2012, not including various options to extend lease terms.</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Equipment</w:t>
      </w:r>
    </w:p>
    <w:p>
      <w:pPr>
        <w:spacing w:after="0" w:line="201"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We develop our Integrated Customer Management products over a system of UNIX, MVS and Windows NT/2000 servers owned or leased by us. We use a variety of software products in our development centers, including products by Microsoft, Oracle, Synscsort, CA, Merant, IBM, HP and BEA. Our data storage is based on equipment from EMC, SUN, NetApp and Hewlett-Packard. Our development servers are connected to approximately 14,000 personal computers owned or leased by us.</w:t>
      </w:r>
    </w:p>
    <w:p>
      <w:pPr>
        <w:spacing w:after="0" w:line="6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691" w:right="1440" w:bottom="1440" w:gutter="0" w:footer="0" w:header="0"/>
        </w:sectPr>
      </w:pPr>
    </w:p>
    <w:bookmarkStart w:id="30" w:name="page31"/>
    <w:bookmarkEnd w:id="30"/>
    <w:p>
      <w:pPr>
        <w:ind w:right="1779" w:firstLine="527"/>
        <w:spacing w:after="0" w:line="256" w:lineRule="auto"/>
        <w:rPr>
          <w:sz w:val="20"/>
          <w:szCs w:val="20"/>
          <w:color w:val="auto"/>
        </w:rPr>
      </w:pPr>
      <w:r>
        <w:rPr>
          <w:rFonts w:ascii="Courier New" w:cs="Courier New" w:eastAsia="Courier New" w:hAnsi="Courier New"/>
          <w:sz w:val="18"/>
          <w:szCs w:val="18"/>
          <w:color w:val="auto"/>
        </w:rPr>
        <w:t>Automatic tape libraries provide full and incremental backups of the data used in and generated by our business. The backup tapes are kept on-site and off-site, as appropriate, to ensure security and integrity, and are used as part of our disaster recovery plan. The distributed development sites that we operate worldwide are connected by a high-speed redundant wide area network ("WAN"), using telecommunication equipment manufactured by, among others, Cisco and Nortel.</w:t>
      </w:r>
    </w:p>
    <w:p>
      <w:pPr>
        <w:spacing w:after="0" w:line="98" w:lineRule="exact"/>
        <w:rPr>
          <w:sz w:val="20"/>
          <w:szCs w:val="20"/>
          <w:color w:val="auto"/>
        </w:rPr>
      </w:pPr>
    </w:p>
    <w:p>
      <w:pPr>
        <w:ind w:right="2519" w:firstLine="527"/>
        <w:spacing w:after="0" w:line="347" w:lineRule="auto"/>
        <w:rPr>
          <w:sz w:val="20"/>
          <w:szCs w:val="20"/>
          <w:color w:val="auto"/>
        </w:rPr>
      </w:pPr>
      <w:r>
        <w:rPr>
          <w:rFonts w:ascii="Courier New" w:cs="Courier New" w:eastAsia="Courier New" w:hAnsi="Courier New"/>
          <w:sz w:val="18"/>
          <w:szCs w:val="18"/>
          <w:color w:val="auto"/>
        </w:rPr>
        <w:t>The distributed development sites that we operate worldwide are also connected by a high speed WAN.</w:t>
      </w: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OPERATING AND FINANCIAL REVIEW AND PROSPECTS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INTRODUCTION</w:t>
      </w:r>
    </w:p>
    <w:p>
      <w:pPr>
        <w:spacing w:after="0" w:line="20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In this section, we discuss the general financial condition and the results of operations for Amdocs Limited and its subsidiaries including:</w:t>
      </w:r>
    </w:p>
    <w:p>
      <w:pPr>
        <w:spacing w:after="0" w:line="18" w:lineRule="exact"/>
        <w:rPr>
          <w:sz w:val="20"/>
          <w:szCs w:val="20"/>
          <w:color w:val="auto"/>
        </w:rPr>
      </w:pPr>
    </w:p>
    <w:p>
      <w:pPr>
        <w:ind w:left="740" w:hanging="205"/>
        <w:spacing w:after="0"/>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factors that affect our business,</w:t>
      </w:r>
    </w:p>
    <w:p>
      <w:pPr>
        <w:spacing w:after="0" w:line="201"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revenue and costs for the fiscal years ended September 30, 2003, 2002 and 2001,</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reasons why such revenue and costs were different from year to year,</w:t>
      </w:r>
    </w:p>
    <w:p>
      <w:pPr>
        <w:spacing w:after="0" w:line="223"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sources of our revenue,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all of this affects our overall financial condition,</w:t>
      </w:r>
    </w:p>
    <w:p>
      <w:pPr>
        <w:spacing w:after="0" w:line="201" w:lineRule="exact"/>
        <w:rPr>
          <w:rFonts w:ascii="Courier New" w:cs="Courier New" w:eastAsia="Courier New" w:hAnsi="Courier New"/>
          <w:sz w:val="18"/>
          <w:szCs w:val="18"/>
          <w:color w:val="auto"/>
        </w:rPr>
      </w:pPr>
    </w:p>
    <w:p>
      <w:pPr>
        <w:ind w:left="740" w:right="1879" w:hanging="205"/>
        <w:spacing w:after="0" w:line="34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expenditures for the fiscal years ended September 30, 2003, 2002 and 2001, and</w:t>
      </w:r>
    </w:p>
    <w:p>
      <w:pPr>
        <w:spacing w:after="0" w:line="18" w:lineRule="exact"/>
        <w:rPr>
          <w:rFonts w:ascii="Courier New" w:cs="Courier New" w:eastAsia="Courier New" w:hAnsi="Courier New"/>
          <w:sz w:val="18"/>
          <w:szCs w:val="18"/>
          <w:color w:val="auto"/>
        </w:rPr>
      </w:pPr>
    </w:p>
    <w:p>
      <w:pPr>
        <w:ind w:left="740" w:right="2519" w:hanging="205"/>
        <w:spacing w:after="0" w:line="34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sources of our cash to pay for future capital expenditures and possible acquisitions.</w:t>
      </w:r>
    </w:p>
    <w:p>
      <w:pPr>
        <w:spacing w:after="0" w:line="18"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In this section, we also analyze and explain the annual changes in the specific line items in our consolidated statements of operations. You should read this section in conjunction with our consolidated financial statements and the notes thereto, which follow.</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 OF BUSINESS AND TREND INFORMATION</w:t>
      </w:r>
    </w:p>
    <w:p>
      <w:pPr>
        <w:spacing w:after="0" w:line="201"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Our market focus is primarily the communications industry, and we are a leading provider of software products and services to major communications companies in North America, Europe and the rest of the world. Our Integrated Customer Management product offerings consist primarily of billing and customer relationship management systems. Our portfolio of products also includes a full range of Directory Systems, consisting of directory sales and publishing systems, for publishers of both traditional printed yellow page and white page directories and electronic Internet directories.</w:t>
      </w:r>
    </w:p>
    <w:p>
      <w:pPr>
        <w:spacing w:after="0" w:line="104"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Our Integrated Customer Management systems are designed to meet the mission-critical needs of leading communications service providers. We support a wide range of communications services, including wireline, wireless, voice, data, broadband, content, electronic and mobile commerce and IP based services. We also support companies that offer bundled or convergent service packages. Due to the complexity of our customers' projects and the expertise required for system support, we also provide extensive implementation, system integration, system modification, ongoing support, system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 in all cases on either or a combination of a fixed or unit charge basis to our customers.</w:t>
      </w:r>
    </w:p>
    <w:p>
      <w:pPr>
        <w:spacing w:after="0" w:line="108"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As part of our strategy, we may pursue acquisitions and other initiatives in order to offer new products or services or otherwise enhance our market position or strategic strengths. See the discussion below under the caption "Acquisitions".</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691" w:right="1440" w:bottom="1440" w:gutter="0" w:footer="0" w:header="0"/>
        </w:sectPr>
      </w:pPr>
    </w:p>
    <w:bookmarkStart w:id="31" w:name="page32"/>
    <w:bookmarkEnd w:id="31"/>
    <w:p>
      <w:pPr>
        <w:ind w:left="540"/>
        <w:spacing w:after="0"/>
        <w:rPr>
          <w:sz w:val="20"/>
          <w:szCs w:val="20"/>
          <w:color w:val="auto"/>
        </w:rPr>
      </w:pPr>
      <w:r>
        <w:rPr>
          <w:rFonts w:ascii="Courier New" w:cs="Courier New" w:eastAsia="Courier New" w:hAnsi="Courier New"/>
          <w:sz w:val="18"/>
          <w:szCs w:val="18"/>
          <w:color w:val="auto"/>
        </w:rPr>
        <w:t>We derive our revenue principally from:</w:t>
      </w:r>
    </w:p>
    <w:p>
      <w:pPr>
        <w:spacing w:after="0" w:line="201" w:lineRule="exact"/>
        <w:rPr>
          <w:sz w:val="20"/>
          <w:szCs w:val="20"/>
          <w:color w:val="auto"/>
        </w:rPr>
      </w:pPr>
    </w:p>
    <w:p>
      <w:pPr>
        <w:ind w:left="740" w:right="1779" w:hanging="205"/>
        <w:spacing w:after="0" w:line="347"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initial sales of our products and related services, including license fees and modification, implementation and integration services,</w:t>
      </w:r>
    </w:p>
    <w:p>
      <w:pPr>
        <w:spacing w:after="0" w:line="18" w:lineRule="exact"/>
        <w:rPr>
          <w:rFonts w:ascii="Courier New" w:cs="Courier New" w:eastAsia="Courier New" w:hAnsi="Courier New"/>
          <w:sz w:val="18"/>
          <w:szCs w:val="18"/>
          <w:color w:val="auto"/>
        </w:rPr>
      </w:pPr>
    </w:p>
    <w:p>
      <w:pPr>
        <w:ind w:left="740" w:right="1879" w:hanging="205"/>
        <w:spacing w:after="0" w:line="347"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Managed Services and other related services for our solutions, and</w:t>
      </w:r>
    </w:p>
    <w:p>
      <w:pPr>
        <w:spacing w:after="0" w:line="18" w:lineRule="exact"/>
        <w:rPr>
          <w:rFonts w:ascii="Courier New" w:cs="Courier New" w:eastAsia="Courier New" w:hAnsi="Courier New"/>
          <w:sz w:val="18"/>
          <w:szCs w:val="18"/>
          <w:color w:val="auto"/>
        </w:rPr>
      </w:pPr>
    </w:p>
    <w:p>
      <w:pPr>
        <w:ind w:left="740" w:right="1879" w:hanging="205"/>
        <w:spacing w:after="0" w:line="292"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recurring revenue from ongoing support and maintenance provided to our customers, and from incremental license fees resulting from increases in a customer's business volume.</w:t>
      </w:r>
    </w:p>
    <w:p>
      <w:pPr>
        <w:spacing w:after="0" w:line="66" w:lineRule="exact"/>
        <w:rPr>
          <w:sz w:val="20"/>
          <w:szCs w:val="20"/>
          <w:color w:val="auto"/>
        </w:rPr>
      </w:pPr>
    </w:p>
    <w:p>
      <w:pPr>
        <w:ind w:right="1779" w:firstLine="527"/>
        <w:spacing w:after="0" w:line="242" w:lineRule="auto"/>
        <w:rPr>
          <w:sz w:val="20"/>
          <w:szCs w:val="20"/>
          <w:color w:val="auto"/>
        </w:rPr>
      </w:pPr>
      <w:r>
        <w:rPr>
          <w:rFonts w:ascii="Courier New" w:cs="Courier New" w:eastAsia="Courier New" w:hAnsi="Courier New"/>
          <w:sz w:val="18"/>
          <w:szCs w:val="18"/>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significant customization, modification, implementation and integration. As a result, we generally recognize combined license and service revenue over the course of these long-term projects, using the percentage of 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level or number of users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In Managed Services contracts, we typically recognize revenue from the operation of a customer's system either ratably over the service period or as services are performed. Revenue from ongoing support services is recognized as work is performed. Revenue from third-party hardware and software sales is recognized upon delivery and installation.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Our business</w:t>
            </w:r>
          </w:p>
        </w:tc>
        <w:tc>
          <w:tcPr>
            <w:tcW w:w="55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is subject to the effects of general global economic</w:t>
            </w:r>
          </w:p>
        </w:tc>
        <w:tc>
          <w:tcPr>
            <w:tcW w:w="100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6"/>
              </w:rPr>
              <w:t>industry.</w:t>
            </w:r>
          </w:p>
        </w:tc>
        <w:tc>
          <w:tcPr>
            <w:tcW w:w="0" w:type="dxa"/>
            <w:vAlign w:val="bottom"/>
          </w:tcPr>
          <w:p>
            <w:pPr>
              <w:spacing w:after="0"/>
              <w:rPr>
                <w:sz w:val="1"/>
                <w:szCs w:val="1"/>
                <w:color w:val="auto"/>
              </w:rPr>
            </w:pP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conditions and, in</w:t>
            </w: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particular,</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market conditions in the communications</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result of</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the</w:t>
            </w: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slowdown in</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the communications industry, the market</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value,</w:t>
            </w:r>
          </w:p>
        </w:tc>
        <w:tc>
          <w:tcPr>
            <w:tcW w:w="0" w:type="dxa"/>
            <w:vAlign w:val="bottom"/>
          </w:tcPr>
          <w:p>
            <w:pPr>
              <w:spacing w:after="0"/>
              <w:rPr>
                <w:sz w:val="1"/>
                <w:szCs w:val="1"/>
                <w:color w:val="auto"/>
              </w:rPr>
            </w:pP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financial results</w:t>
            </w:r>
          </w:p>
        </w:tc>
        <w:tc>
          <w:tcPr>
            <w:tcW w:w="6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and prospects, and capital spending levels of communications</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companies have</w:t>
            </w:r>
          </w:p>
        </w:tc>
        <w:tc>
          <w:tcPr>
            <w:tcW w:w="5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declined or degraded.</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The challenging environment in the communications industry has significantly impacted our business. Delays in customer buying decisions stemming from rigorous management of operating expenses and overall reductions in the capital investment budgets of many communications service providers have led to fewer new contracts, as well as smaller initial spending commitments and reduced discretionary spending under contracts with some of our customers. Our revenue for the fiscal year ended September 30, 2003 decreased by $130.2 million, or 8.1%, from fiscal 2002. We continue to encounter delays in obtaining commitments from customers. However, there have been increasing signs of stabilization in the market. During fiscal 2003, total quarterly revenue increased by 4.6% between the first and second quarters, by 6.2% between the second and third quarters and by 9.2% between the third and fourth quarters, primarily as a result of new Managed Services agreements and our acquisition of Certen in the fourth quarter of fiscal 2003. Despite continued uncertain conditions in the communications industry, we believe that we will be able to achieve modest sequential growth in revenue and earnings in the coming quarters.</w:t>
      </w:r>
    </w:p>
    <w:p>
      <w:pPr>
        <w:spacing w:after="0" w:line="295"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Due to our heavy dependence on the communications industry, we can be adversely affected by consolidations of service providers and by bankruptcies or other business failures in that industry. The potential loss of a customer due to consolidation or failures in the communications industry could harm our business and might have a material adverse effect on our consolidated operating results and financial condition.</w:t>
      </w:r>
    </w:p>
    <w:p>
      <w:pPr>
        <w:spacing w:after="0" w:line="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691" w:right="1440" w:bottom="996" w:gutter="0" w:footer="0" w:header="0"/>
        </w:sectPr>
      </w:pPr>
    </w:p>
    <w:bookmarkStart w:id="32" w:name="page33"/>
    <w:bookmarkEnd w:id="32"/>
    <w:p>
      <w:pPr>
        <w:ind w:right="1999" w:firstLine="527"/>
        <w:spacing w:after="0" w:line="292" w:lineRule="auto"/>
        <w:rPr>
          <w:sz w:val="20"/>
          <w:szCs w:val="20"/>
          <w:color w:val="auto"/>
        </w:rPr>
      </w:pPr>
      <w:r>
        <w:rPr>
          <w:rFonts w:ascii="Courier New" w:cs="Courier New" w:eastAsia="Courier New" w:hAnsi="Courier New"/>
          <w:sz w:val="18"/>
          <w:szCs w:val="18"/>
          <w:color w:val="auto"/>
        </w:rPr>
        <w:t>We believe that we are a leading global provider of CC&amp;B Systems. We provide a broad set of billing and CRM products, with proven functionality and scalability, accompanied by a comprehensive range of support services.</w:t>
      </w:r>
    </w:p>
    <w:p>
      <w:pPr>
        <w:spacing w:after="0" w:line="66"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We believe that demand for our CC&amp;B Systems is driven by, among other key factors:</w:t>
      </w:r>
    </w:p>
    <w:p>
      <w:pPr>
        <w:spacing w:after="0" w:line="18" w:lineRule="exact"/>
        <w:rPr>
          <w:sz w:val="20"/>
          <w:szCs w:val="20"/>
          <w:color w:val="auto"/>
        </w:rPr>
      </w:pPr>
    </w:p>
    <w:p>
      <w:pPr>
        <w:ind w:left="740" w:hanging="205"/>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global penetration of communications service providers,</w:t>
      </w:r>
    </w:p>
    <w:p>
      <w:pPr>
        <w:spacing w:after="0" w:line="201"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emergence of new communications products and services, especially IP, data and content services,</w:t>
      </w:r>
    </w:p>
    <w:p>
      <w:pPr>
        <w:spacing w:after="0" w:line="18" w:lineRule="exact"/>
        <w:rPr>
          <w:rFonts w:ascii="Courier New" w:cs="Courier New" w:eastAsia="Courier New" w:hAnsi="Courier New"/>
          <w:sz w:val="18"/>
          <w:szCs w:val="18"/>
          <w:color w:val="auto"/>
        </w:rPr>
      </w:pPr>
    </w:p>
    <w:p>
      <w:pPr>
        <w:ind w:left="740" w:right="2199" w:hanging="205"/>
        <w:spacing w:after="0" w:line="292"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technological changes, such as the introduction of wireless Internet services via GPRS (General Packet Radio Services) and UMTS (Universal Mobile Telecommunications System) technology,</w:t>
      </w:r>
    </w:p>
    <w:p>
      <w:pPr>
        <w:spacing w:after="0" w:line="66"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ongoing consolidation within the communications industry,</w:t>
      </w:r>
    </w:p>
    <w:p>
      <w:pPr>
        <w:spacing w:after="0" w:line="201" w:lineRule="exact"/>
        <w:rPr>
          <w:rFonts w:ascii="Courier New" w:cs="Courier New" w:eastAsia="Courier New" w:hAnsi="Courier New"/>
          <w:sz w:val="18"/>
          <w:szCs w:val="18"/>
          <w:color w:val="auto"/>
        </w:rPr>
      </w:pPr>
    </w:p>
    <w:p>
      <w:pPr>
        <w:ind w:left="740" w:right="2099" w:hanging="205"/>
        <w:spacing w:after="0" w:line="347"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 needs of communications service providers to reduce costs and retain high value customers, and</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shift from in-house management to vendor solutions.</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We also believe that additional drivers of demand are the continuing trend for communications service providers to offer their subscribers multiple service packages, commonly referred to as bundled or convergent services (combinations of voice, broadband, electronic and mobile commerce and IP services), and the ability of our CC&amp;B Systems to improve productivity.</w:t>
      </w:r>
    </w:p>
    <w:p>
      <w:pPr>
        <w:spacing w:after="0" w:line="90"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We believe that we are a leading provider of Directory Systems in most of the markets that we serve. As a result of new agreements announced in 2003, we expect that our revenue from Directory Systems will remain relatively stable in fiscal 2004.</w:t>
      </w:r>
    </w:p>
    <w:p>
      <w:pPr>
        <w:spacing w:after="0" w:line="82"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License and service revenue from the sale of CC&amp;B Systems and Directory Systems includes revenue from Managed Services arrangements. Managed Services projects are a significant part of our business, and generate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typically improve over time as we benefit from the operational efficiencies provided by system modernization and consolidation. We expect that our Managed Services relationships will generate margins comparable to sales of our other products and related license and services over the entire relationships.</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OPERATIONAL EFFICIENCY AND COST REDUCTION PROGRAMS</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In the first quarter of fiscal 2003, we announced a series of measures designed to reduce costs and improve productivity and recorded a charge of $10.0 million, consisting primarily of employee separation costs in connection with the termination of employment of approximately 400 software and information technology specialists and administrative professionals and for the write-off of leasehold improvements and rent obligations. The employee terminations occurred at various locations around the world. In addition, we implemented other cost reduction measures, including travel cuts and reductions in other discretionary costs.</w:t>
      </w:r>
    </w:p>
    <w:p>
      <w:pPr>
        <w:spacing w:after="0" w:line="99" w:lineRule="exact"/>
        <w:rPr>
          <w:sz w:val="20"/>
          <w:szCs w:val="20"/>
          <w:color w:val="auto"/>
        </w:rPr>
      </w:pPr>
    </w:p>
    <w:p>
      <w:pPr>
        <w:ind w:right="1779" w:firstLine="527"/>
        <w:spacing w:after="0" w:line="241" w:lineRule="auto"/>
        <w:rPr>
          <w:sz w:val="20"/>
          <w:szCs w:val="20"/>
          <w:color w:val="auto"/>
        </w:rPr>
      </w:pPr>
      <w:r>
        <w:rPr>
          <w:rFonts w:ascii="Courier New" w:cs="Courier New" w:eastAsia="Courier New" w:hAnsi="Courier New"/>
          <w:sz w:val="18"/>
          <w:szCs w:val="18"/>
          <w:color w:val="auto"/>
        </w:rPr>
        <w:t>This cost reduction program is in addition to the measures implemented during the first and fourth quarters of fiscal 2002. In the fourth quarter of fiscal 2002, we recorded a charge of $20.9 million, consisting primarily of employee separation costs in connection with the termination of employment of approximately 1,000 software and information technology specialists and administrative professionals and for the write-off of leasehold improvements and rent obligations. In the first quarter of fiscal 2002, we consolidated our Stamford, Connecticut data center into our Champaign, Illinois facility, and closed the Stamford facility. As a direct result of this closure, we recorded a restructuring charge of $13.3 million in the first quarter of fiscal 2002, primarily for the write-off of leasehold improvements and rent obligations, with the remainder for employee separation costs.</w:t>
      </w:r>
    </w:p>
    <w:p>
      <w:pPr>
        <w:spacing w:after="0" w:line="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691" w:right="1440" w:bottom="964" w:gutter="0" w:footer="0" w:header="0"/>
        </w:sectPr>
      </w:pPr>
    </w:p>
    <w:bookmarkStart w:id="33" w:name="page34"/>
    <w:bookmarkEnd w:id="33"/>
    <w:p>
      <w:pPr>
        <w:ind w:right="1879" w:firstLine="527"/>
        <w:spacing w:after="0" w:line="292" w:lineRule="auto"/>
        <w:rPr>
          <w:sz w:val="20"/>
          <w:szCs w:val="20"/>
          <w:color w:val="auto"/>
        </w:rPr>
      </w:pPr>
      <w:r>
        <w:rPr>
          <w:rFonts w:ascii="Courier New" w:cs="Courier New" w:eastAsia="Courier New" w:hAnsi="Courier New"/>
          <w:sz w:val="18"/>
          <w:szCs w:val="18"/>
          <w:color w:val="auto"/>
        </w:rPr>
        <w:t>For more information on our operational efficiency and cost reduction programs, see Note 21 to the consolidated financial statements included in this Annual Report.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As part of our strategy, we may pursue acquisitions in order to offer new products or services or otherwise enhance our market position or strategic strengths.</w:t>
      </w:r>
    </w:p>
    <w:p>
      <w:pPr>
        <w:spacing w:after="0" w:line="66"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On November 28, 2001, we purchased from Nortel Networks Corporation substantially all of the assets of its Clarify business, a leading provider of CRM software to communications companies and other enterprise sectors. This acquisition positioned us as a leading provider of CRM software to the communications industry and, through our addition of Clarify's CRM software to our portfolio of product offerings, reinforced our leadership in delivering Integrated Customer Management software applications. This acquisition completed our CRM product suite, enabling us to deliver a pre-integrated CRM, billing and order management solution and stand-alone communications CRM offering to communications providers. Following the acquisition we integrated the Clarify sales to telecommunication customers into our overall sales efforts. Generally, we sell our ClarifyCRM products to telecommunication customers as integral parts of projects that also include license and service arrangements. Following the acquisition, we have continued to sell Clarify's CRM software to customers other than communications service providers. The total purchase price for Clarify, as of September 30, 2002, was $212.0 million in cash, including transaction costs of $8.3 million. The purchase price was subject to final price adjustments that were settled in October 2002 and resulted in an $11.1 million reduction of the purchase price to $200.9 million in the first quarter of fiscal 2003.</w:t>
      </w:r>
    </w:p>
    <w:p>
      <w:pPr>
        <w:spacing w:after="0" w:line="300"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Our global business is providing Integrated Customer Management systems, software and services, including ClarifyCRM products. Our Integrated Customer Management systems include a portfolio of pre-integrated billing and CRM products. Such systems combine products with a broad range of services, including customization, implementation, integration, maintenance, ongoing support and Managed Services. In addition, following the Clarify acquisition, we combined our own CRM product suite with the acquired product to form our ClarifyCRM products. We also provide our customers with system interfaces, systems integration and conversion services. Therefore, we analyze our sales efforts and revenue development by customer.</w:t>
      </w:r>
    </w:p>
    <w:p>
      <w:pPr>
        <w:spacing w:after="0" w:line="104"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On July 2, 2003, we acquired from Bell Canada its 90% ownership interest in Certen, which we formed with Bell Canada in January 2001 to provide customer care and billing solutions to Bell Canada and a number of Bell Canada's affiliated companies. Prior to this acquisition, we owned 10% of Certen. As a result of the acquisition, Certen is now our wholly owned subsidiary. Since Certen's inception, we have provided customer care and billing software required by Certen, including related customization, installation, maintenance and other services. This acquisition expanded our Managed Services offerings and positioned us as a leading provider of Managed Services to the communications industry, and was our next logical step in the evolution of our relationship with Bell Canada. In addition, as a result of this acquisition, we continue to develop an integrated billing platform to replace legacy systems built on a product-by-product basis. In fiscal 2002 and 2003, our total revenue from the Bell Canada group was $137.5 million and $160.1 million, respectively. We now have a major billing operations Managed Services agreement with Bell Canada through December 2010. The total purchase price for Certen was approximately $66.0 million in cash. In addition, we incurred transaction related costs of approximately $5.0 million.</w:t>
      </w:r>
    </w:p>
    <w:p>
      <w:pPr>
        <w:spacing w:after="0" w:line="117"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Certen's historical financial reports for the year ended December 31, 2002 and for the six months ended June 30, 2003 are included within this annual report. Following the acquisition, Certen continued to provide Managed Services to Bell Canada as it did prior to the acquisition, and the wholly owned subsidiary contributes a positive cash flow to us. The acquisition did not affect our liquidity position.</w:t>
      </w:r>
    </w:p>
    <w:p>
      <w:pPr>
        <w:spacing w:after="0" w:line="93"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For more information on our acquisitions, see Note 3 to the consolidated financial statements included in this document.</w:t>
      </w: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691"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RESEARCH AND DEVELOPMENT, PATENTS AND LICENSES</w:t>
      </w:r>
    </w:p>
    <w:p>
      <w:pPr>
        <w:spacing w:after="0" w:line="201"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Our research and development activities involve the development of new software modules and product offerings in response to an identified market demand, either in conjunction with a customer project or as part of our internal product development programs. We also expend additional amounts on applied research and software development activities to keep abreast of new technologies in the communications markets and to provide new and enhanced functionality to our existing product offerings. Research and development expenditures were $119.3 million, $124.1 million and $105.8 million in the fiscal years ended September 30, 2003, 2002 and 2001, respectively, representing 8.0%, 7.7% and 6.9%, respectively, of our revenue in these fiscal years. As a result of our research and development program, in fiscal 2003 we launched major releases of our flagship products - our billing platform, which we call Amdocs Enabler version 5, and Amdocs ClarifyCRM version 12. Enabler version 5 supports new revenue streams and business models with advanced online charging capabilities and supports multi-market/multi-national operations, all on a single platform. ClarifyCRM version 12 features advanced user interface technology that delivers real-time, relevant and actionable customer information to the service agent's desktop, transforming the high-volume call center into a more efficient and effective multi-channel customer contact center. We are continuously focusing significant development efforts on the integration between our products in order to provide Integrated Customer Management to our customers. We believe that our research and development efforts are a key element of our strategy and are essential to our success. Although we intend to continue to devote resources to research and development as required to maintain and further strengthen our market position, our research and development budget, like all of our costs, is sensitive to our overall financial condition. A decrease in our total revenue could, in certain circumstances, lead to reductions in the levels of our research and development expenditures. In the near-term, we intend to continue to make substantial investments in our research and development activities. We believe that this ongoing investment will position us to capitalize on future potential opportunities in the communications industry.</w:t>
      </w:r>
    </w:p>
    <w:p>
      <w:pPr>
        <w:spacing w:after="0" w:line="200" w:lineRule="exact"/>
        <w:rPr>
          <w:sz w:val="20"/>
          <w:szCs w:val="20"/>
          <w:color w:val="auto"/>
        </w:rPr>
      </w:pPr>
    </w:p>
    <w:p>
      <w:pPr>
        <w:spacing w:after="0" w:line="304"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Our software and software systems are largely comprised of software and systems that we have developed and that we regard as proprietary. Our software and software systems are the results of long and complex development processes, and certain aspects of our products make use of readily available software components that we license from third parties. The ability to develop and use our software and software systems requires knowledge and professional experience that we believe is unique to us and would be very difficult for others to independently obtain. Our software and software systems have never been the subject of a material intellectual property infringement claim. We rely upon a combination of trademarks, contractual rights, trade secret law, copyrights, nondisclosure agreements and technical measures to establish and protect our proprietary rights in our products and technologies. We also enter into non-disclosure and confidentiality agreements with our customers, employees and marketing representatives and with certain contractors with access to sensitive information. Additionally, we limit customer access to the source code for our software and software systems. However, these measures taken by us may not be adequate to protect our technology from third-party infringement. In addition, our competitors may also independently develop technologies that are substantially equivalent or superior to ours.</w:t>
      </w:r>
    </w:p>
    <w:p>
      <w:pPr>
        <w:spacing w:after="0" w:line="113"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The Company's technology is not dependent on patents or licenses from third parties.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CONVERTIBLE NOTES</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May 2001, we issued $500.0 million aggregate principal amount of 2% Convertible Notes due June 1, 2008, which we refer to as the 2% Notes. On May 3, 2004, we announced a cash offer for the $395.5 million aggregate principal amount of 2% Notes then outstanding. Pursuant to the indenture for the 2% Notes, each holder of the 2% Notes had the right to require us to repurchase on June 1, 2004 all or any part of such holder's 2% Notes at a price equal to 100% of the principal amount plus accrued and unpaid interest. Under the terms of the 2% Notes, we had the option to pay for the 2% Notes with cash, ordinary shares, or a combination of cash and ordinary shares, and we elected to pay for the 2% Notes solely with cash.</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691" w:right="1440" w:bottom="1440" w:gutter="0" w:footer="0" w:header="0"/>
        </w:sectPr>
      </w:pPr>
    </w:p>
    <w:bookmarkStart w:id="35" w:name="page36"/>
    <w:bookmarkEnd w:id="35"/>
    <w:p>
      <w:pPr>
        <w:jc w:val="both"/>
        <w:ind w:right="2099" w:firstLine="527"/>
        <w:spacing w:after="0" w:line="274" w:lineRule="auto"/>
        <w:rPr>
          <w:sz w:val="20"/>
          <w:szCs w:val="20"/>
          <w:color w:val="auto"/>
        </w:rPr>
      </w:pPr>
      <w:r>
        <w:rPr>
          <w:rFonts w:ascii="Courier New" w:cs="Courier New" w:eastAsia="Courier New" w:hAnsi="Courier New"/>
          <w:sz w:val="18"/>
          <w:szCs w:val="18"/>
          <w:color w:val="auto"/>
        </w:rPr>
        <w:t>On June 1, 2004, we announced that the offer had expired and that we had accepted for purchase $395.1 million in aggregate principal amount of the 2% Notes in the tender offer. The untendered 2% Notes remain as our outstanding obligations, in accordance with their terms.</w:t>
      </w:r>
    </w:p>
    <w:p>
      <w:pPr>
        <w:spacing w:after="0" w:line="82" w:lineRule="exact"/>
        <w:rPr>
          <w:sz w:val="20"/>
          <w:szCs w:val="20"/>
          <w:color w:val="auto"/>
        </w:rPr>
      </w:pPr>
    </w:p>
    <w:p>
      <w:pPr>
        <w:ind w:right="1879" w:firstLine="527"/>
        <w:spacing w:after="0" w:line="248" w:lineRule="auto"/>
        <w:rPr>
          <w:sz w:val="20"/>
          <w:szCs w:val="20"/>
          <w:color w:val="auto"/>
        </w:rPr>
      </w:pPr>
      <w:r>
        <w:rPr>
          <w:rFonts w:ascii="Courier New" w:cs="Courier New" w:eastAsia="Courier New" w:hAnsi="Courier New"/>
          <w:sz w:val="18"/>
          <w:szCs w:val="18"/>
          <w:color w:val="auto"/>
        </w:rPr>
        <w:t>On March 5, 2004, we issued $450.0 million aggregate principal amount of 0.50% Convertible Senior Notes due 2024, which we refer as the 0.50% Notes, through a private placement to qualified institutional buyers pursuant to Rule 144A under the Securities Act. We used approximately $170.1 million of the net proceeds from the sale of the 0.50% Notes to repurchase approximately 6.1 million of ordinary shares sold short by purchasers of the 0.50% Notes in negotiated transactions concurrently with the offering. We intend to use the balance of the net proceeds for general corporate purposes, including working capital and capital expenditures, as well as for future possible strategic opportunities, including acquisitions. We also used net proceeds and other cash resources to repurchase approximately $395.1 million in aggregate principal amount of our 2% Notes.</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REPURCHASE PROGRAM</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On November 5, 2003, we announced that our Board of Directors had authorized a share repurchase program of up to five million ordinary shares over the next twelve months. The authorization permitted us to purchase ordinary shares in open market or privately negotiated transactions and at prices we deemed appropriate. We stated that one of the main purposes of the repurchase program was to offset the dilutive effect of any future share issuances, including issuances in connection with acquisitions or pursuant to employee equity plans. In accordance with this program, as of December 22, 2003, we had repurchased approximately 5.0 million ordinary shares, at an average price of $24.82 per share.</w:t>
      </w:r>
    </w:p>
    <w:p>
      <w:pPr>
        <w:spacing w:after="0" w:line="104"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On July 28, 2004, we announced that our Board of Directors had extended the share repurchase program for the additional repurchase of up to $100 million of our ordinary shares in open market or privately negotiated transactions and at times and prices we deem appropriate. In accordance with this extension, as of September 21, 2004, we had repurchased approximately 4.9 million ordinary shares, at an average price of $20.40 per share.</w:t>
      </w:r>
    </w:p>
    <w:p>
      <w:pPr>
        <w:spacing w:after="0" w:line="93" w:lineRule="exact"/>
        <w:rPr>
          <w:sz w:val="20"/>
          <w:szCs w:val="20"/>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Pursuant to a previous share repurchase program, in fiscal 2002 we purchased 7.7 million of our ordinary shares at a weighted average price of $14.13 per share.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ADJUSTMENT TO THE BASIS OF INVESTMENTS</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We recorded pretax charges of $5.5 million and $6.8 million in fiscal 2002 and fiscal 2001, respectively, to adjust the carrying value of certain investments accounted for by us under the cost method. Following these adjustments and the Certen transaction, we had no investments accounted for under the cost method as of September 30, 2003, with a carrying value other than zero.</w:t>
      </w:r>
    </w:p>
    <w:p>
      <w:pPr>
        <w:spacing w:after="0" w:line="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691"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OPERATING RESULTS</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The following table sets forth for the fiscal years ended September 30, 2003, 2002 and 2001 certain items in our consolidated statements of operations reflected as a percentage of total revenue:</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1"/>
        </w:trPr>
        <w:tc>
          <w:tcPr>
            <w:tcW w:w="264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rPr>
              <w:t>2003 2002 2001 ------</w:t>
            </w:r>
          </w:p>
        </w:tc>
        <w:tc>
          <w:tcPr>
            <w:tcW w:w="258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rPr>
              <w:t>------ ------ Revenue:</w:t>
            </w:r>
          </w:p>
        </w:tc>
        <w:tc>
          <w:tcPr>
            <w:tcW w:w="0" w:type="dxa"/>
            <w:vAlign w:val="bottom"/>
          </w:tcPr>
          <w:p>
            <w:pPr>
              <w:spacing w:after="0"/>
              <w:rPr>
                <w:sz w:val="1"/>
                <w:szCs w:val="1"/>
                <w:color w:val="auto"/>
              </w:rPr>
            </w:pPr>
          </w:p>
        </w:tc>
      </w:tr>
      <w:tr>
        <w:trPr>
          <w:trHeight w:val="203"/>
        </w:trPr>
        <w:tc>
          <w:tcPr>
            <w:tcW w:w="2640" w:type="dxa"/>
            <w:vAlign w:val="bottom"/>
          </w:tcPr>
          <w:p>
            <w:pPr>
              <w:jc w:val="right"/>
              <w:spacing w:after="0"/>
              <w:rPr>
                <w:sz w:val="20"/>
                <w:szCs w:val="20"/>
                <w:color w:val="auto"/>
              </w:rPr>
            </w:pPr>
            <w:r>
              <w:rPr>
                <w:rFonts w:ascii="Courier New" w:cs="Courier New" w:eastAsia="Courier New" w:hAnsi="Courier New"/>
                <w:sz w:val="11"/>
                <w:szCs w:val="11"/>
                <w:color w:val="auto"/>
                <w:w w:val="72"/>
              </w:rPr>
              <w:t>License................................................</w:t>
            </w:r>
          </w:p>
        </w:tc>
        <w:tc>
          <w:tcPr>
            <w:tcW w:w="2580" w:type="dxa"/>
            <w:vAlign w:val="bottom"/>
            <w:vMerge w:val="restart"/>
          </w:tcPr>
          <w:p>
            <w:pPr>
              <w:jc w:val="right"/>
              <w:ind w:right="1432"/>
              <w:spacing w:after="0"/>
              <w:rPr>
                <w:sz w:val="20"/>
                <w:szCs w:val="20"/>
                <w:color w:val="auto"/>
              </w:rPr>
            </w:pPr>
            <w:r>
              <w:rPr>
                <w:rFonts w:ascii="Courier New" w:cs="Courier New" w:eastAsia="Courier New" w:hAnsi="Courier New"/>
                <w:sz w:val="18"/>
                <w:szCs w:val="18"/>
                <w:color w:val="auto"/>
                <w:w w:val="96"/>
              </w:rPr>
              <w:t>9.5% 11.2%</w:t>
            </w:r>
          </w:p>
        </w:tc>
        <w:tc>
          <w:tcPr>
            <w:tcW w:w="0" w:type="dxa"/>
            <w:vAlign w:val="bottom"/>
          </w:tcPr>
          <w:p>
            <w:pPr>
              <w:spacing w:after="0"/>
              <w:rPr>
                <w:sz w:val="1"/>
                <w:szCs w:val="1"/>
                <w:color w:val="auto"/>
              </w:rPr>
            </w:pPr>
          </w:p>
        </w:tc>
      </w:tr>
      <w:tr>
        <w:trPr>
          <w:trHeight w:val="203"/>
        </w:trPr>
        <w:tc>
          <w:tcPr>
            <w:tcW w:w="264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4.4%</w:t>
            </w:r>
          </w:p>
        </w:tc>
        <w:tc>
          <w:tcPr>
            <w:tcW w:w="2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7"/>
              </w:rPr>
              <w:t>Service................................................</w:t>
            </w:r>
          </w:p>
        </w:tc>
        <w:tc>
          <w:tcPr>
            <w:tcW w:w="0" w:type="dxa"/>
            <w:vAlign w:val="bottom"/>
          </w:tcPr>
          <w:p>
            <w:pPr>
              <w:spacing w:after="0"/>
              <w:rPr>
                <w:sz w:val="1"/>
                <w:szCs w:val="1"/>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95.6 90.5 88.8 ----- ----- ----- 100.0 100.0 100.0 ---</w:t>
      </w:r>
    </w:p>
    <w:p>
      <w:pPr>
        <w:ind w:left="700"/>
        <w:spacing w:after="0"/>
        <w:rPr>
          <w:sz w:val="20"/>
          <w:szCs w:val="20"/>
          <w:color w:val="auto"/>
        </w:rPr>
      </w:pPr>
      <w:r>
        <w:rPr>
          <w:rFonts w:ascii="Courier New" w:cs="Courier New" w:eastAsia="Courier New" w:hAnsi="Courier New"/>
          <w:sz w:val="18"/>
          <w:szCs w:val="18"/>
          <w:color w:val="auto"/>
        </w:rPr>
        <w:t>-- ----- ----- Operating expenses: Cost of</w:t>
      </w:r>
    </w:p>
    <w:tbl>
      <w:tblPr>
        <w:tblLayout w:type="fixed"/>
        <w:tblInd w:w="60" w:type="dxa"/>
        <w:tblCellMar>
          <w:top w:w="0" w:type="dxa"/>
          <w:left w:w="0" w:type="dxa"/>
          <w:bottom w:w="0" w:type="dxa"/>
          <w:right w:w="0" w:type="dxa"/>
        </w:tblCellMar>
      </w:tblPr>
      <w:tr>
        <w:trPr>
          <w:trHeight w:val="171"/>
        </w:trPr>
        <w:tc>
          <w:tcPr>
            <w:tcW w:w="1580" w:type="dxa"/>
            <w:vAlign w:val="bottom"/>
          </w:tcPr>
          <w:p>
            <w:pPr>
              <w:jc w:val="right"/>
              <w:spacing w:after="0"/>
              <w:rPr>
                <w:sz w:val="20"/>
                <w:szCs w:val="20"/>
                <w:color w:val="auto"/>
              </w:rPr>
            </w:pPr>
            <w:r>
              <w:rPr>
                <w:rFonts w:ascii="Courier New" w:cs="Courier New" w:eastAsia="Courier New" w:hAnsi="Courier New"/>
                <w:sz w:val="3"/>
                <w:szCs w:val="3"/>
                <w:color w:val="auto"/>
                <w:w w:val="80"/>
              </w:rPr>
              <w:t>license...........................................</w:t>
            </w:r>
            <w:r>
              <w:rPr>
                <w:rFonts w:ascii="Courier New" w:cs="Courier New" w:eastAsia="Courier New" w:hAnsi="Courier New"/>
                <w:sz w:val="6"/>
                <w:szCs w:val="6"/>
                <w:color w:val="auto"/>
                <w:w w:val="80"/>
                <w:vertAlign w:val="subscript"/>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0.3</w:t>
            </w:r>
          </w:p>
        </w:tc>
        <w:tc>
          <w:tcPr>
            <w:tcW w:w="326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0.4</w:t>
            </w:r>
          </w:p>
        </w:tc>
        <w:tc>
          <w:tcPr>
            <w:tcW w:w="0" w:type="dxa"/>
            <w:vAlign w:val="bottom"/>
          </w:tcPr>
          <w:p>
            <w:pPr>
              <w:spacing w:after="0"/>
              <w:rPr>
                <w:sz w:val="1"/>
                <w:szCs w:val="1"/>
                <w:color w:val="auto"/>
              </w:rPr>
            </w:pPr>
          </w:p>
        </w:tc>
      </w:tr>
      <w:tr>
        <w:trPr>
          <w:trHeight w:val="296"/>
        </w:trPr>
        <w:tc>
          <w:tcPr>
            <w:tcW w:w="1580" w:type="dxa"/>
            <w:vAlign w:val="bottom"/>
            <w:vMerge w:val="restart"/>
          </w:tcPr>
          <w:p>
            <w:pPr>
              <w:jc w:val="right"/>
              <w:ind w:right="577"/>
              <w:spacing w:after="0"/>
              <w:rPr>
                <w:sz w:val="20"/>
                <w:szCs w:val="20"/>
                <w:color w:val="auto"/>
              </w:rPr>
            </w:pPr>
            <w:r>
              <w:rPr>
                <w:rFonts w:ascii="Courier New" w:cs="Courier New" w:eastAsia="Courier New" w:hAnsi="Courier New"/>
                <w:sz w:val="18"/>
                <w:szCs w:val="18"/>
                <w:color w:val="auto"/>
              </w:rPr>
              <w:t>service</w:t>
            </w:r>
          </w:p>
        </w:tc>
        <w:tc>
          <w:tcPr>
            <w:tcW w:w="840" w:type="dxa"/>
            <w:vAlign w:val="bottom"/>
            <w:vMerge w:val="continue"/>
          </w:tcPr>
          <w:p>
            <w:pPr>
              <w:spacing w:after="0"/>
              <w:rPr>
                <w:sz w:val="24"/>
                <w:szCs w:val="24"/>
                <w:color w:val="auto"/>
              </w:rPr>
            </w:pPr>
          </w:p>
        </w:tc>
        <w:tc>
          <w:tcPr>
            <w:tcW w:w="3260" w:type="dxa"/>
            <w:vAlign w:val="bottom"/>
          </w:tcPr>
          <w:p>
            <w:pPr>
              <w:ind w:left="60"/>
              <w:spacing w:after="0"/>
              <w:rPr>
                <w:sz w:val="20"/>
                <w:szCs w:val="20"/>
                <w:color w:val="auto"/>
              </w:rPr>
            </w:pPr>
            <w:r>
              <w:rPr>
                <w:rFonts w:ascii="Courier New" w:cs="Courier New" w:eastAsia="Courier New" w:hAnsi="Courier New"/>
                <w:sz w:val="18"/>
                <w:szCs w:val="18"/>
                <w:color w:val="auto"/>
              </w:rPr>
              <w:t>0.4 Cost of</w:t>
            </w: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32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55.3 Research and</w:t>
            </w:r>
          </w:p>
        </w:tc>
        <w:tc>
          <w:tcPr>
            <w:tcW w:w="0" w:type="dxa"/>
            <w:vAlign w:val="bottom"/>
          </w:tcPr>
          <w:p>
            <w:pPr>
              <w:spacing w:after="0"/>
              <w:rPr>
                <w:sz w:val="1"/>
                <w:szCs w:val="1"/>
                <w:color w:val="auto"/>
              </w:rPr>
            </w:pPr>
          </w:p>
        </w:tc>
      </w:tr>
      <w:tr>
        <w:trPr>
          <w:trHeight w:val="203"/>
        </w:trPr>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61.2 57.5</w:t>
            </w:r>
          </w:p>
        </w:tc>
        <w:tc>
          <w:tcPr>
            <w:tcW w:w="3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development..................................</w:t>
            </w: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8.0 7.7</w:t>
            </w:r>
          </w:p>
        </w:tc>
        <w:tc>
          <w:tcPr>
            <w:tcW w:w="0" w:type="dxa"/>
            <w:vAlign w:val="bottom"/>
          </w:tcPr>
          <w:p>
            <w:pPr>
              <w:spacing w:after="0"/>
              <w:rPr>
                <w:sz w:val="1"/>
                <w:szCs w:val="1"/>
                <w:color w:val="auto"/>
              </w:rPr>
            </w:pPr>
          </w:p>
        </w:tc>
      </w:tr>
      <w:tr>
        <w:trPr>
          <w:trHeight w:val="203"/>
        </w:trPr>
        <w:tc>
          <w:tcPr>
            <w:tcW w:w="1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administrative</w:t>
            </w:r>
          </w:p>
        </w:tc>
        <w:tc>
          <w:tcPr>
            <w:tcW w:w="4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6.9 Selling, general and</w:t>
            </w:r>
          </w:p>
        </w:tc>
        <w:tc>
          <w:tcPr>
            <w:tcW w:w="0" w:type="dxa"/>
            <w:vAlign w:val="bottom"/>
          </w:tcPr>
          <w:p>
            <w:pPr>
              <w:spacing w:after="0"/>
              <w:rPr>
                <w:sz w:val="1"/>
                <w:szCs w:val="1"/>
                <w:color w:val="auto"/>
              </w:rPr>
            </w:pPr>
          </w:p>
        </w:tc>
      </w:tr>
      <w:tr>
        <w:trPr>
          <w:trHeight w:val="235"/>
        </w:trPr>
        <w:tc>
          <w:tcPr>
            <w:tcW w:w="2420" w:type="dxa"/>
            <w:vAlign w:val="bottom"/>
            <w:gridSpan w:val="2"/>
            <w:vMerge w:val="continue"/>
          </w:tcPr>
          <w:p>
            <w:pPr>
              <w:ind w:left="1580"/>
              <w:spacing w:after="0"/>
              <w:rPr>
                <w:sz w:val="20"/>
                <w:szCs w:val="20"/>
                <w:color w:val="auto"/>
              </w:rPr>
            </w:pPr>
            <w:r>
              <w:rPr>
                <w:rFonts w:ascii="Courier New" w:cs="Courier New" w:eastAsia="Courier New" w:hAnsi="Courier New"/>
                <w:sz w:val="8"/>
                <w:szCs w:val="8"/>
                <w:color w:val="auto"/>
                <w:w w:val="74"/>
              </w:rPr>
              <w:t>.......................</w:t>
            </w:r>
          </w:p>
        </w:tc>
        <w:tc>
          <w:tcPr>
            <w:tcW w:w="3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13.9 13.9 12.7</w:t>
            </w:r>
          </w:p>
        </w:tc>
        <w:tc>
          <w:tcPr>
            <w:tcW w:w="0" w:type="dxa"/>
            <w:vAlign w:val="bottom"/>
          </w:tcPr>
          <w:p>
            <w:pPr>
              <w:spacing w:after="0"/>
              <w:rPr>
                <w:sz w:val="1"/>
                <w:szCs w:val="1"/>
                <w:color w:val="auto"/>
              </w:rPr>
            </w:pPr>
          </w:p>
        </w:tc>
      </w:tr>
    </w:tbl>
    <w:p>
      <w:pPr>
        <w:jc w:val="center"/>
        <w:ind w:right="4419"/>
        <w:spacing w:after="0" w:line="238" w:lineRule="auto"/>
        <w:rPr>
          <w:sz w:val="20"/>
          <w:szCs w:val="20"/>
          <w:color w:val="auto"/>
        </w:rPr>
      </w:pPr>
      <w:r>
        <w:rPr>
          <w:rFonts w:ascii="Courier New" w:cs="Courier New" w:eastAsia="Courier New" w:hAnsi="Courier New"/>
          <w:sz w:val="18"/>
          <w:szCs w:val="18"/>
          <w:color w:val="auto"/>
        </w:rPr>
        <w:t>Amortization of goodwill and purchased intangible</w:t>
      </w:r>
    </w:p>
    <w:p>
      <w:pPr>
        <w:spacing w:after="0"/>
        <w:rPr>
          <w:sz w:val="20"/>
          <w:szCs w:val="20"/>
          <w:color w:val="auto"/>
        </w:rPr>
      </w:pPr>
      <w:r>
        <w:rPr>
          <w:rFonts w:ascii="Courier New" w:cs="Courier New" w:eastAsia="Courier New" w:hAnsi="Courier New"/>
          <w:sz w:val="18"/>
          <w:szCs w:val="18"/>
          <w:color w:val="auto"/>
        </w:rPr>
        <w:t>assets.................................................</w:t>
      </w:r>
    </w:p>
    <w:p>
      <w:pPr>
        <w:jc w:val="center"/>
        <w:ind w:right="4419"/>
        <w:spacing w:after="0" w:line="238" w:lineRule="auto"/>
        <w:rPr>
          <w:sz w:val="20"/>
          <w:szCs w:val="20"/>
          <w:color w:val="auto"/>
        </w:rPr>
      </w:pPr>
      <w:r>
        <w:rPr>
          <w:rFonts w:ascii="Courier New" w:cs="Courier New" w:eastAsia="Courier New" w:hAnsi="Courier New"/>
          <w:sz w:val="18"/>
          <w:szCs w:val="18"/>
          <w:color w:val="auto"/>
        </w:rPr>
        <w:t>1.4 14.4 14.3 Restructuring charges, in-process</w:t>
      </w:r>
    </w:p>
    <w:p>
      <w:pPr>
        <w:jc w:val="center"/>
        <w:ind w:right="4419"/>
        <w:spacing w:after="0"/>
        <w:rPr>
          <w:sz w:val="20"/>
          <w:szCs w:val="20"/>
          <w:color w:val="auto"/>
        </w:rPr>
      </w:pPr>
      <w:r>
        <w:rPr>
          <w:rFonts w:ascii="Courier New" w:cs="Courier New" w:eastAsia="Courier New" w:hAnsi="Courier New"/>
          <w:sz w:val="18"/>
          <w:szCs w:val="18"/>
          <w:color w:val="auto"/>
        </w:rPr>
        <w:t>research and development and</w:t>
      </w:r>
    </w:p>
    <w:p>
      <w:pPr>
        <w:ind w:left="220"/>
        <w:spacing w:after="0" w:line="238" w:lineRule="auto"/>
        <w:rPr>
          <w:sz w:val="20"/>
          <w:szCs w:val="20"/>
          <w:color w:val="auto"/>
        </w:rPr>
      </w:pPr>
      <w:r>
        <w:rPr>
          <w:rFonts w:ascii="Courier New" w:cs="Courier New" w:eastAsia="Courier New" w:hAnsi="Courier New"/>
          <w:sz w:val="18"/>
          <w:szCs w:val="18"/>
          <w:color w:val="auto"/>
        </w:rPr>
        <w:t>other..............................................</w:t>
      </w:r>
    </w:p>
    <w:p>
      <w:pPr>
        <w:ind w:left="60"/>
        <w:spacing w:after="0"/>
        <w:rPr>
          <w:sz w:val="20"/>
          <w:szCs w:val="20"/>
          <w:color w:val="auto"/>
        </w:rPr>
      </w:pPr>
      <w:r>
        <w:rPr>
          <w:rFonts w:ascii="Courier New" w:cs="Courier New" w:eastAsia="Courier New" w:hAnsi="Courier New"/>
          <w:sz w:val="18"/>
          <w:szCs w:val="18"/>
          <w:color w:val="auto"/>
        </w:rPr>
        <w:t>0.9 3.2 -- ----- ----- ----- 85.8 97.0 89.6 ----- ----</w:t>
      </w:r>
    </w:p>
    <w:p>
      <w:pPr>
        <w:ind w:left="2000"/>
        <w:spacing w:after="0" w:line="238" w:lineRule="auto"/>
        <w:rPr>
          <w:sz w:val="20"/>
          <w:szCs w:val="20"/>
          <w:color w:val="auto"/>
        </w:rPr>
      </w:pPr>
      <w:r>
        <w:rPr>
          <w:rFonts w:ascii="Courier New" w:cs="Courier New" w:eastAsia="Courier New" w:hAnsi="Courier New"/>
          <w:sz w:val="18"/>
          <w:szCs w:val="18"/>
          <w:color w:val="auto"/>
        </w:rPr>
        <w:t>- ----- Operating</w:t>
      </w:r>
    </w:p>
    <w:p>
      <w:pPr>
        <w:ind w:left="280"/>
        <w:spacing w:after="0"/>
        <w:rPr>
          <w:sz w:val="20"/>
          <w:szCs w:val="20"/>
          <w:color w:val="auto"/>
        </w:rPr>
      </w:pPr>
      <w:r>
        <w:rPr>
          <w:rFonts w:ascii="Courier New" w:cs="Courier New" w:eastAsia="Courier New" w:hAnsi="Courier New"/>
          <w:sz w:val="18"/>
          <w:szCs w:val="18"/>
          <w:color w:val="auto"/>
        </w:rPr>
        <w:t>income............................................</w:t>
      </w:r>
    </w:p>
    <w:tbl>
      <w:tblPr>
        <w:tblLayout w:type="fixed"/>
        <w:tblInd w:w="6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Courier New" w:cs="Courier New" w:eastAsia="Courier New" w:hAnsi="Courier New"/>
                <w:sz w:val="5"/>
                <w:szCs w:val="5"/>
                <w:color w:val="auto"/>
                <w:w w:val="72"/>
              </w:rPr>
              <w:t>net..............................</w:t>
            </w:r>
          </w:p>
        </w:tc>
        <w:tc>
          <w:tcPr>
            <w:tcW w:w="4940" w:type="dxa"/>
            <w:vAlign w:val="bottom"/>
          </w:tcPr>
          <w:p>
            <w:pPr>
              <w:jc w:val="center"/>
              <w:ind w:right="632"/>
              <w:spacing w:after="0" w:line="170" w:lineRule="exact"/>
              <w:rPr>
                <w:sz w:val="20"/>
                <w:szCs w:val="20"/>
                <w:color w:val="auto"/>
              </w:rPr>
            </w:pPr>
            <w:r>
              <w:rPr>
                <w:rFonts w:ascii="Courier New" w:cs="Courier New" w:eastAsia="Courier New" w:hAnsi="Courier New"/>
                <w:sz w:val="18"/>
                <w:szCs w:val="18"/>
                <w:color w:val="auto"/>
                <w:w w:val="97"/>
              </w:rPr>
              <w:t>14.2 3.0 10.4 Interest income and other,</w:t>
            </w:r>
          </w:p>
        </w:tc>
        <w:tc>
          <w:tcPr>
            <w:tcW w:w="0" w:type="dxa"/>
            <w:vAlign w:val="bottom"/>
          </w:tcPr>
          <w:p>
            <w:pPr>
              <w:spacing w:after="0"/>
              <w:rPr>
                <w:sz w:val="1"/>
                <w:szCs w:val="1"/>
                <w:color w:val="auto"/>
              </w:rPr>
            </w:pPr>
          </w:p>
        </w:tc>
      </w:tr>
      <w:tr>
        <w:trPr>
          <w:trHeight w:val="203"/>
        </w:trPr>
        <w:tc>
          <w:tcPr>
            <w:tcW w:w="740" w:type="dxa"/>
            <w:vAlign w:val="bottom"/>
            <w:vMerge w:val="continue"/>
          </w:tcPr>
          <w:p>
            <w:pPr>
              <w:spacing w:after="0"/>
              <w:rPr>
                <w:sz w:val="17"/>
                <w:szCs w:val="17"/>
                <w:color w:val="auto"/>
              </w:rPr>
            </w:pPr>
          </w:p>
        </w:tc>
        <w:tc>
          <w:tcPr>
            <w:tcW w:w="4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 1.2 1.4 ----- --</w:t>
            </w:r>
          </w:p>
        </w:tc>
        <w:tc>
          <w:tcPr>
            <w:tcW w:w="0" w:type="dxa"/>
            <w:vAlign w:val="bottom"/>
          </w:tcPr>
          <w:p>
            <w:pPr>
              <w:spacing w:after="0"/>
              <w:rPr>
                <w:sz w:val="1"/>
                <w:szCs w:val="1"/>
                <w:color w:val="auto"/>
              </w:rPr>
            </w:pPr>
          </w:p>
        </w:tc>
      </w:tr>
      <w:tr>
        <w:trPr>
          <w:trHeight w:val="203"/>
        </w:trPr>
        <w:tc>
          <w:tcPr>
            <w:tcW w:w="7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taxes</w:t>
            </w:r>
          </w:p>
        </w:tc>
        <w:tc>
          <w:tcPr>
            <w:tcW w:w="494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 ----- Income before income</w:t>
            </w:r>
          </w:p>
        </w:tc>
        <w:tc>
          <w:tcPr>
            <w:tcW w:w="0" w:type="dxa"/>
            <w:vAlign w:val="bottom"/>
          </w:tcPr>
          <w:p>
            <w:pPr>
              <w:spacing w:after="0"/>
              <w:rPr>
                <w:sz w:val="1"/>
                <w:szCs w:val="1"/>
                <w:color w:val="auto"/>
              </w:rPr>
            </w:pPr>
          </w:p>
        </w:tc>
      </w:tr>
      <w:tr>
        <w:trPr>
          <w:trHeight w:val="203"/>
        </w:trPr>
        <w:tc>
          <w:tcPr>
            <w:tcW w:w="74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4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15.2 4.2 11.8</w:t>
            </w:r>
          </w:p>
        </w:tc>
        <w:tc>
          <w:tcPr>
            <w:tcW w:w="0" w:type="dxa"/>
            <w:vAlign w:val="bottom"/>
          </w:tcPr>
          <w:p>
            <w:pPr>
              <w:spacing w:after="0"/>
              <w:rPr>
                <w:sz w:val="1"/>
                <w:szCs w:val="1"/>
                <w:color w:val="auto"/>
              </w:rPr>
            </w:pPr>
          </w:p>
        </w:tc>
      </w:tr>
      <w:tr>
        <w:trPr>
          <w:trHeight w:val="296"/>
        </w:trPr>
        <w:tc>
          <w:tcPr>
            <w:tcW w:w="7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taxes</w:t>
            </w:r>
          </w:p>
        </w:tc>
        <w:tc>
          <w:tcPr>
            <w:tcW w:w="494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8"/>
              </w:rPr>
              <w:t>Income</w:t>
            </w:r>
          </w:p>
        </w:tc>
        <w:tc>
          <w:tcPr>
            <w:tcW w:w="0" w:type="dxa"/>
            <w:vAlign w:val="bottom"/>
          </w:tcPr>
          <w:p>
            <w:pPr>
              <w:spacing w:after="0"/>
              <w:rPr>
                <w:sz w:val="1"/>
                <w:szCs w:val="1"/>
                <w:color w:val="auto"/>
              </w:rPr>
            </w:pPr>
          </w:p>
        </w:tc>
      </w:tr>
      <w:tr>
        <w:trPr>
          <w:trHeight w:val="141"/>
        </w:trPr>
        <w:tc>
          <w:tcPr>
            <w:tcW w:w="5680" w:type="dxa"/>
            <w:vAlign w:val="bottom"/>
            <w:gridSpan w:val="2"/>
            <w:vMerge w:val="continue"/>
          </w:tcPr>
          <w:p>
            <w:pPr>
              <w:jc w:val="right"/>
              <w:spacing w:after="0" w:line="85" w:lineRule="exact"/>
              <w:rPr>
                <w:sz w:val="20"/>
                <w:szCs w:val="20"/>
                <w:color w:val="auto"/>
              </w:rPr>
            </w:pPr>
            <w:r>
              <w:rPr>
                <w:rFonts w:ascii="Courier New" w:cs="Courier New" w:eastAsia="Courier New" w:hAnsi="Courier New"/>
                <w:sz w:val="9"/>
                <w:szCs w:val="9"/>
                <w:color w:val="auto"/>
              </w:rPr>
              <w:t>................................................</w:t>
            </w:r>
          </w:p>
        </w:tc>
        <w:tc>
          <w:tcPr>
            <w:tcW w:w="0" w:type="dxa"/>
            <w:vAlign w:val="bottom"/>
          </w:tcPr>
          <w:p>
            <w:pPr>
              <w:spacing w:after="0"/>
              <w:rPr>
                <w:sz w:val="1"/>
                <w:szCs w:val="1"/>
                <w:color w:val="auto"/>
              </w:rPr>
            </w:pPr>
          </w:p>
        </w:tc>
      </w:tr>
    </w:tbl>
    <w:p>
      <w:pPr>
        <w:ind w:left="800"/>
        <w:spacing w:after="0" w:line="238" w:lineRule="auto"/>
        <w:rPr>
          <w:sz w:val="20"/>
          <w:szCs w:val="20"/>
          <w:color w:val="auto"/>
        </w:rPr>
      </w:pPr>
      <w:r>
        <w:rPr>
          <w:rFonts w:ascii="Courier New" w:cs="Courier New" w:eastAsia="Courier New" w:hAnsi="Courier New"/>
          <w:sz w:val="18"/>
          <w:szCs w:val="18"/>
          <w:color w:val="auto"/>
        </w:rPr>
        <w:t>3.8 4.5 7.5 ----- ----- ----- Net income</w:t>
      </w:r>
    </w:p>
    <w:p>
      <w:pPr>
        <w:ind w:left="320"/>
        <w:spacing w:after="0"/>
        <w:rPr>
          <w:sz w:val="20"/>
          <w:szCs w:val="20"/>
          <w:color w:val="auto"/>
        </w:rPr>
      </w:pPr>
      <w:r>
        <w:rPr>
          <w:rFonts w:ascii="Courier New" w:cs="Courier New" w:eastAsia="Courier New" w:hAnsi="Courier New"/>
          <w:sz w:val="18"/>
          <w:szCs w:val="18"/>
          <w:color w:val="auto"/>
        </w:rPr>
        <w:t>(loss)...........................................</w:t>
      </w:r>
    </w:p>
    <w:p>
      <w:pPr>
        <w:ind w:left="1060"/>
        <w:spacing w:after="0"/>
        <w:rPr>
          <w:sz w:val="20"/>
          <w:szCs w:val="20"/>
          <w:color w:val="auto"/>
        </w:rPr>
      </w:pPr>
      <w:r>
        <w:rPr>
          <w:rFonts w:ascii="Courier New" w:cs="Courier New" w:eastAsia="Courier New" w:hAnsi="Courier New"/>
          <w:sz w:val="18"/>
          <w:szCs w:val="18"/>
          <w:color w:val="auto"/>
        </w:rPr>
        <w:t>11.4% (0.3)% 4.3% ===== ===== =====</w:t>
      </w:r>
    </w:p>
    <w:p>
      <w:pPr>
        <w:spacing w:after="0" w:line="37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FISCAL YEARS ENDED SEPTEMBER 30, 2003 AND 2002</w:t>
      </w:r>
    </w:p>
    <w:p>
      <w:pPr>
        <w:spacing w:after="0" w:line="201"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The following is a tabular presentation of our results of operations for the fiscal year ended September 30, 2003, compared to the fiscal year ended September 30, 2002. Following the table is a discussion and analysis of our business and results of operations for such years.</w:t>
      </w:r>
    </w:p>
    <w:p>
      <w:pPr>
        <w:spacing w:after="0" w:line="82"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YEAR ENDED SEPTEMBER 30, INCREASE</w:t>
      </w:r>
    </w:p>
    <w:p>
      <w:pPr>
        <w:spacing w:after="0" w:line="29"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(DECREASE) ------------------------- --</w:t>
      </w:r>
    </w:p>
    <w:p>
      <w:pPr>
        <w:jc w:val="center"/>
        <w:ind w:right="5999"/>
        <w:spacing w:after="0" w:line="238" w:lineRule="auto"/>
        <w:rPr>
          <w:sz w:val="20"/>
          <w:szCs w:val="20"/>
          <w:color w:val="auto"/>
        </w:rPr>
      </w:pPr>
      <w:r>
        <w:rPr>
          <w:rFonts w:ascii="Courier New" w:cs="Courier New" w:eastAsia="Courier New" w:hAnsi="Courier New"/>
          <w:sz w:val="18"/>
          <w:szCs w:val="18"/>
          <w:color w:val="auto"/>
        </w:rPr>
        <w:t>----------------- 2003 2002 AMOUNT % --</w:t>
      </w:r>
    </w:p>
    <w:p>
      <w:pPr>
        <w:jc w:val="center"/>
        <w:ind w:right="5999"/>
        <w:spacing w:after="0"/>
        <w:rPr>
          <w:sz w:val="20"/>
          <w:szCs w:val="20"/>
          <w:color w:val="auto"/>
        </w:rPr>
      </w:pPr>
      <w:r>
        <w:rPr>
          <w:rFonts w:ascii="Courier New" w:cs="Courier New" w:eastAsia="Courier New" w:hAnsi="Courier New"/>
          <w:sz w:val="18"/>
          <w:szCs w:val="18"/>
          <w:color w:val="auto"/>
        </w:rPr>
        <w:t>--------- ----------- ---------- ------</w:t>
      </w:r>
    </w:p>
    <w:p>
      <w:pPr>
        <w:jc w:val="center"/>
        <w:ind w:right="5999"/>
        <w:spacing w:after="0" w:line="238" w:lineRule="auto"/>
        <w:rPr>
          <w:sz w:val="20"/>
          <w:szCs w:val="20"/>
          <w:color w:val="auto"/>
        </w:rPr>
      </w:pPr>
      <w:r>
        <w:rPr>
          <w:rFonts w:ascii="Courier New" w:cs="Courier New" w:eastAsia="Courier New" w:hAnsi="Courier New"/>
          <w:sz w:val="18"/>
          <w:szCs w:val="18"/>
          <w:color w:val="auto"/>
        </w:rPr>
        <w:t>(IN THOUSANDS) Revenue:</w:t>
      </w:r>
    </w:p>
    <w:p>
      <w:pPr>
        <w:jc w:val="center"/>
        <w:ind w:right="5999"/>
        <w:spacing w:after="0"/>
        <w:rPr>
          <w:sz w:val="20"/>
          <w:szCs w:val="20"/>
          <w:color w:val="auto"/>
        </w:rPr>
      </w:pPr>
      <w:r>
        <w:rPr>
          <w:rFonts w:ascii="Courier New" w:cs="Courier New" w:eastAsia="Courier New" w:hAnsi="Courier New"/>
          <w:sz w:val="16"/>
          <w:szCs w:val="16"/>
          <w:color w:val="auto"/>
        </w:rPr>
        <w:t>License.................................</w:t>
      </w:r>
    </w:p>
    <w:p>
      <w:pPr>
        <w:spacing w:after="0" w:line="21" w:lineRule="exact"/>
        <w:rPr>
          <w:sz w:val="20"/>
          <w:szCs w:val="20"/>
          <w:color w:val="auto"/>
        </w:rPr>
      </w:pPr>
    </w:p>
    <w:p>
      <w:pPr>
        <w:ind w:right="5999" w:firstLine="166"/>
        <w:spacing w:after="0" w:line="268" w:lineRule="auto"/>
        <w:tabs>
          <w:tab w:leader="none" w:pos="369"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65,582 $ 153,664 $ (88,082) (57.3)% Service.................................</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1,417,745 1,459,901 (42,156) (2.9) ----</w:t>
      </w:r>
    </w:p>
    <w:p>
      <w:pPr>
        <w:ind w:left="160"/>
        <w:spacing w:after="0"/>
        <w:rPr>
          <w:sz w:val="20"/>
          <w:szCs w:val="20"/>
          <w:color w:val="auto"/>
        </w:rPr>
      </w:pPr>
      <w:r>
        <w:rPr>
          <w:rFonts w:ascii="Courier New" w:cs="Courier New" w:eastAsia="Courier New" w:hAnsi="Courier New"/>
          <w:sz w:val="18"/>
          <w:szCs w:val="18"/>
          <w:color w:val="auto"/>
        </w:rPr>
        <w:t>------ ---------- --------- 1,483,327</w:t>
      </w:r>
    </w:p>
    <w:tbl>
      <w:tblPr>
        <w:tblLayout w:type="fixed"/>
        <w:tblInd w:w="60" w:type="dxa"/>
        <w:tblCellMar>
          <w:top w:w="0" w:type="dxa"/>
          <w:left w:w="0" w:type="dxa"/>
          <w:bottom w:w="0" w:type="dxa"/>
          <w:right w:w="0" w:type="dxa"/>
        </w:tblCellMar>
      </w:tblPr>
      <w:tr>
        <w:trPr>
          <w:trHeight w:val="171"/>
        </w:trPr>
        <w:tc>
          <w:tcPr>
            <w:tcW w:w="338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w w:val="86"/>
              </w:rPr>
              <w:t>1,613,565 (130,238) (8.1) ----------</w:t>
            </w:r>
          </w:p>
        </w:tc>
        <w:tc>
          <w:tcPr>
            <w:tcW w:w="72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Operating expenses:</w:t>
            </w:r>
          </w:p>
        </w:tc>
        <w:tc>
          <w:tcPr>
            <w:tcW w:w="0" w:type="dxa"/>
            <w:vAlign w:val="bottom"/>
          </w:tcPr>
          <w:p>
            <w:pPr>
              <w:spacing w:after="0"/>
              <w:rPr>
                <w:sz w:val="1"/>
                <w:szCs w:val="1"/>
                <w:color w:val="auto"/>
              </w:rPr>
            </w:pPr>
          </w:p>
        </w:tc>
      </w:tr>
      <w:tr>
        <w:trPr>
          <w:trHeight w:val="203"/>
        </w:trPr>
        <w:tc>
          <w:tcPr>
            <w:tcW w:w="3380" w:type="dxa"/>
            <w:vAlign w:val="bottom"/>
          </w:tcPr>
          <w:p>
            <w:pPr>
              <w:jc w:val="right"/>
              <w:spacing w:after="0" w:line="202" w:lineRule="exact"/>
              <w:rPr>
                <w:sz w:val="20"/>
                <w:szCs w:val="20"/>
                <w:color w:val="auto"/>
              </w:rPr>
            </w:pPr>
            <w:r>
              <w:rPr>
                <w:rFonts w:ascii="Courier New" w:cs="Courier New" w:eastAsia="Courier New" w:hAnsi="Courier New"/>
                <w:sz w:val="13"/>
                <w:szCs w:val="13"/>
                <w:color w:val="auto"/>
              </w:rPr>
              <w:t>.........................</w:t>
            </w:r>
            <w:r>
              <w:rPr>
                <w:rFonts w:ascii="Courier New" w:cs="Courier New" w:eastAsia="Courier New" w:hAnsi="Courier New"/>
                <w:sz w:val="23"/>
                <w:szCs w:val="23"/>
                <w:color w:val="auto"/>
                <w:vertAlign w:val="superscript"/>
              </w:rPr>
              <w:t>Costof</w:t>
            </w:r>
          </w:p>
        </w:tc>
        <w:tc>
          <w:tcPr>
            <w:tcW w:w="7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5,752</w:t>
            </w:r>
          </w:p>
        </w:tc>
        <w:tc>
          <w:tcPr>
            <w:tcW w:w="0" w:type="dxa"/>
            <w:vAlign w:val="bottom"/>
          </w:tcPr>
          <w:p>
            <w:pPr>
              <w:spacing w:after="0"/>
              <w:rPr>
                <w:sz w:val="1"/>
                <w:szCs w:val="1"/>
                <w:color w:val="auto"/>
              </w:rPr>
            </w:pPr>
          </w:p>
        </w:tc>
      </w:tr>
      <w:tr>
        <w:trPr>
          <w:trHeight w:val="203"/>
        </w:trPr>
        <w:tc>
          <w:tcPr>
            <w:tcW w:w="3380" w:type="dxa"/>
            <w:vAlign w:val="bottom"/>
          </w:tcPr>
          <w:p>
            <w:pPr>
              <w:jc w:val="right"/>
              <w:ind w:right="2495"/>
              <w:spacing w:after="0" w:line="203" w:lineRule="exact"/>
              <w:rPr>
                <w:sz w:val="20"/>
                <w:szCs w:val="20"/>
                <w:color w:val="auto"/>
              </w:rPr>
            </w:pPr>
            <w:r>
              <w:rPr>
                <w:rFonts w:ascii="Courier New" w:cs="Courier New" w:eastAsia="Courier New" w:hAnsi="Courier New"/>
                <w:sz w:val="18"/>
                <w:szCs w:val="18"/>
                <w:color w:val="auto"/>
              </w:rPr>
              <w:t>license</w:t>
            </w: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jc w:val="center"/>
              <w:ind w:left="655"/>
              <w:spacing w:after="0" w:line="203" w:lineRule="exact"/>
              <w:rPr>
                <w:sz w:val="20"/>
                <w:szCs w:val="20"/>
                <w:color w:val="auto"/>
              </w:rPr>
            </w:pPr>
            <w:r>
              <w:rPr>
                <w:rFonts w:ascii="Courier New" w:cs="Courier New" w:eastAsia="Courier New" w:hAnsi="Courier New"/>
                <w:sz w:val="18"/>
                <w:szCs w:val="18"/>
                <w:color w:val="auto"/>
                <w:w w:val="97"/>
              </w:rPr>
              <w:t>5,984 (232) (3.9) Cost of</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service.........................</w:t>
            </w:r>
          </w:p>
        </w:tc>
        <w:tc>
          <w:tcPr>
            <w:tcW w:w="0" w:type="dxa"/>
            <w:vAlign w:val="bottom"/>
          </w:tcPr>
          <w:p>
            <w:pPr>
              <w:spacing w:after="0"/>
              <w:rPr>
                <w:sz w:val="1"/>
                <w:szCs w:val="1"/>
                <w:color w:val="auto"/>
              </w:rPr>
            </w:pPr>
          </w:p>
        </w:tc>
      </w:tr>
      <w:tr>
        <w:trPr>
          <w:trHeight w:val="203"/>
        </w:trPr>
        <w:tc>
          <w:tcPr>
            <w:tcW w:w="4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907,607 927,353 (19,746) (2.1) Research</w:t>
            </w:r>
          </w:p>
        </w:tc>
        <w:tc>
          <w:tcPr>
            <w:tcW w:w="0" w:type="dxa"/>
            <w:vAlign w:val="bottom"/>
          </w:tcPr>
          <w:p>
            <w:pPr>
              <w:spacing w:after="0"/>
              <w:rPr>
                <w:sz w:val="1"/>
                <w:szCs w:val="1"/>
                <w:color w:val="auto"/>
              </w:rPr>
            </w:pPr>
          </w:p>
        </w:tc>
      </w:tr>
      <w:tr>
        <w:trPr>
          <w:trHeight w:val="235"/>
        </w:trPr>
        <w:tc>
          <w:tcPr>
            <w:tcW w:w="3380" w:type="dxa"/>
            <w:vAlign w:val="bottom"/>
          </w:tcPr>
          <w:p>
            <w:pPr>
              <w:jc w:val="right"/>
              <w:ind w:right="35"/>
              <w:spacing w:after="0"/>
              <w:rPr>
                <w:sz w:val="20"/>
                <w:szCs w:val="20"/>
                <w:color w:val="auto"/>
              </w:rPr>
            </w:pPr>
            <w:r>
              <w:rPr>
                <w:rFonts w:ascii="Courier New" w:cs="Courier New" w:eastAsia="Courier New" w:hAnsi="Courier New"/>
                <w:sz w:val="18"/>
                <w:szCs w:val="18"/>
                <w:color w:val="auto"/>
                <w:w w:val="96"/>
              </w:rPr>
              <w:t>and development................</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w w:val="92"/>
              </w:rPr>
              <w:t>119,256</w:t>
            </w:r>
          </w:p>
        </w:tc>
        <w:tc>
          <w:tcPr>
            <w:tcW w:w="0" w:type="dxa"/>
            <w:vAlign w:val="bottom"/>
          </w:tcPr>
          <w:p>
            <w:pPr>
              <w:spacing w:after="0"/>
              <w:rPr>
                <w:sz w:val="1"/>
                <w:szCs w:val="1"/>
                <w:color w:val="auto"/>
              </w:rPr>
            </w:pPr>
          </w:p>
        </w:tc>
      </w:tr>
    </w:tbl>
    <w:p>
      <w:pPr>
        <w:ind w:left="120"/>
        <w:spacing w:after="0" w:line="238" w:lineRule="auto"/>
        <w:rPr>
          <w:sz w:val="20"/>
          <w:szCs w:val="20"/>
          <w:color w:val="auto"/>
        </w:rPr>
      </w:pPr>
      <w:r>
        <w:rPr>
          <w:rFonts w:ascii="Courier New" w:cs="Courier New" w:eastAsia="Courier New" w:hAnsi="Courier New"/>
          <w:sz w:val="18"/>
          <w:szCs w:val="18"/>
          <w:color w:val="auto"/>
        </w:rPr>
        <w:t>124,082 (4,826) (3.9) Selling, general</w:t>
      </w:r>
    </w:p>
    <w:tbl>
      <w:tblPr>
        <w:tblLayout w:type="fixed"/>
        <w:tblInd w:w="6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and administrative.....</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w w:val="98"/>
              </w:rPr>
              <w:t>206,265 223,551</w:t>
            </w:r>
          </w:p>
        </w:tc>
      </w:tr>
    </w:tbl>
    <w:p>
      <w:pPr>
        <w:jc w:val="center"/>
        <w:ind w:right="5999"/>
        <w:spacing w:after="0" w:line="238" w:lineRule="auto"/>
        <w:rPr>
          <w:sz w:val="20"/>
          <w:szCs w:val="20"/>
          <w:color w:val="auto"/>
        </w:rPr>
      </w:pPr>
      <w:r>
        <w:rPr>
          <w:rFonts w:ascii="Courier New" w:cs="Courier New" w:eastAsia="Courier New" w:hAnsi="Courier New"/>
          <w:sz w:val="18"/>
          <w:szCs w:val="18"/>
          <w:color w:val="auto"/>
        </w:rPr>
        <w:t>(17,286) (7.7) Amortization of goodwill</w:t>
      </w:r>
    </w:p>
    <w:p>
      <w:pPr>
        <w:jc w:val="center"/>
        <w:ind w:right="5999"/>
        <w:spacing w:after="0"/>
        <w:rPr>
          <w:sz w:val="20"/>
          <w:szCs w:val="20"/>
          <w:color w:val="auto"/>
        </w:rPr>
      </w:pPr>
      <w:r>
        <w:rPr>
          <w:rFonts w:ascii="Courier New" w:cs="Courier New" w:eastAsia="Courier New" w:hAnsi="Courier New"/>
          <w:sz w:val="18"/>
          <w:szCs w:val="18"/>
          <w:color w:val="auto"/>
        </w:rPr>
        <w:t>and purchased intangible</w:t>
      </w:r>
    </w:p>
    <w:tbl>
      <w:tblPr>
        <w:tblLayout w:type="fixed"/>
        <w:tblInd w:w="380" w:type="dxa"/>
        <w:tblCellMar>
          <w:top w:w="0" w:type="dxa"/>
          <w:left w:w="0" w:type="dxa"/>
          <w:bottom w:w="0" w:type="dxa"/>
          <w:right w:w="0" w:type="dxa"/>
        </w:tblCellMar>
      </w:tblPr>
      <w:tr>
        <w:trPr>
          <w:trHeight w:val="203"/>
        </w:trPr>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assets....................</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19,940</w:t>
            </w:r>
          </w:p>
        </w:tc>
      </w:tr>
    </w:tbl>
    <w:p>
      <w:pPr>
        <w:jc w:val="center"/>
        <w:ind w:right="5999"/>
        <w:spacing w:after="0" w:line="238" w:lineRule="auto"/>
        <w:rPr>
          <w:sz w:val="20"/>
          <w:szCs w:val="20"/>
          <w:color w:val="auto"/>
        </w:rPr>
      </w:pPr>
      <w:r>
        <w:rPr>
          <w:rFonts w:ascii="Courier New" w:cs="Courier New" w:eastAsia="Courier New" w:hAnsi="Courier New"/>
          <w:sz w:val="18"/>
          <w:szCs w:val="18"/>
          <w:color w:val="auto"/>
        </w:rPr>
        <w:t>231,804 (211,864) (91.4) Restructuring</w:t>
      </w:r>
    </w:p>
    <w:p>
      <w:pPr>
        <w:jc w:val="center"/>
        <w:ind w:right="5999"/>
        <w:spacing w:after="0"/>
        <w:rPr>
          <w:sz w:val="20"/>
          <w:szCs w:val="20"/>
          <w:color w:val="auto"/>
        </w:rPr>
      </w:pPr>
      <w:r>
        <w:rPr>
          <w:rFonts w:ascii="Courier New" w:cs="Courier New" w:eastAsia="Courier New" w:hAnsi="Courier New"/>
          <w:sz w:val="18"/>
          <w:szCs w:val="18"/>
          <w:color w:val="auto"/>
        </w:rPr>
        <w:t>charges, in-process research and</w:t>
      </w:r>
    </w:p>
    <w:tbl>
      <w:tblPr>
        <w:tblLayout w:type="fixed"/>
        <w:tblInd w:w="60" w:type="dxa"/>
        <w:tblCellMar>
          <w:top w:w="0" w:type="dxa"/>
          <w:left w:w="0" w:type="dxa"/>
          <w:bottom w:w="0" w:type="dxa"/>
          <w:right w:w="0" w:type="dxa"/>
        </w:tblCellMar>
      </w:tblPr>
      <w:tr>
        <w:trPr>
          <w:trHeight w:val="171"/>
        </w:trPr>
        <w:tc>
          <w:tcPr>
            <w:tcW w:w="2680" w:type="dxa"/>
            <w:vAlign w:val="bottom"/>
            <w:gridSpan w:val="2"/>
          </w:tcPr>
          <w:p>
            <w:pPr>
              <w:ind w:left="60"/>
              <w:spacing w:after="0" w:line="170" w:lineRule="exact"/>
              <w:rPr>
                <w:sz w:val="20"/>
                <w:szCs w:val="20"/>
                <w:color w:val="auto"/>
              </w:rPr>
            </w:pPr>
            <w:r>
              <w:rPr>
                <w:rFonts w:ascii="Courier New" w:cs="Courier New" w:eastAsia="Courier New" w:hAnsi="Courier New"/>
                <w:sz w:val="18"/>
                <w:szCs w:val="18"/>
                <w:color w:val="auto"/>
              </w:rPr>
              <w:t>development and other...</w:t>
            </w:r>
          </w:p>
        </w:tc>
        <w:tc>
          <w:tcPr>
            <w:tcW w:w="1420" w:type="dxa"/>
            <w:vAlign w:val="bottom"/>
            <w:gridSpan w:val="2"/>
          </w:tcPr>
          <w:p>
            <w:pPr>
              <w:jc w:val="right"/>
              <w:spacing w:after="0" w:line="170" w:lineRule="exact"/>
              <w:rPr>
                <w:sz w:val="20"/>
                <w:szCs w:val="20"/>
                <w:color w:val="auto"/>
              </w:rPr>
            </w:pPr>
            <w:r>
              <w:rPr>
                <w:rFonts w:ascii="Courier New" w:cs="Courier New" w:eastAsia="Courier New" w:hAnsi="Courier New"/>
                <w:sz w:val="18"/>
                <w:szCs w:val="18"/>
                <w:color w:val="auto"/>
                <w:w w:val="96"/>
              </w:rPr>
              <w:t>14,089 51,630</w:t>
            </w:r>
          </w:p>
        </w:tc>
      </w:tr>
      <w:tr>
        <w:trPr>
          <w:trHeight w:val="203"/>
        </w:trPr>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(37,541) (72.7)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-------- 1,272,909 1,564,404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(291,495)</w:t>
            </w:r>
          </w:p>
        </w:tc>
      </w:tr>
      <w:tr>
        <w:trPr>
          <w:trHeight w:val="296"/>
        </w:trPr>
        <w:tc>
          <w:tcPr>
            <w:tcW w:w="1680" w:type="dxa"/>
            <w:vAlign w:val="bottom"/>
          </w:tcPr>
          <w:p>
            <w:pPr>
              <w:ind w:left="60"/>
              <w:spacing w:after="0"/>
              <w:rPr>
                <w:sz w:val="20"/>
                <w:szCs w:val="20"/>
                <w:color w:val="auto"/>
              </w:rPr>
            </w:pPr>
            <w:r>
              <w:rPr>
                <w:rFonts w:ascii="Courier New" w:cs="Courier New" w:eastAsia="Courier New" w:hAnsi="Courier New"/>
                <w:sz w:val="18"/>
                <w:szCs w:val="18"/>
                <w:color w:val="auto"/>
                <w:w w:val="87"/>
              </w:rPr>
              <w:t>(18.6) ----------</w:t>
            </w: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spacing w:after="0" w:line="31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691" w:right="1440" w:bottom="0" w:gutter="0" w:footer="0" w:header="0"/>
        </w:sectPr>
      </w:pPr>
    </w:p>
    <w:bookmarkStart w:id="37" w:name="page38"/>
    <w:bookmarkEnd w:id="37"/>
    <w:p>
      <w:pPr>
        <w:ind w:left="120"/>
        <w:spacing w:after="0"/>
        <w:rPr>
          <w:sz w:val="20"/>
          <w:szCs w:val="20"/>
          <w:color w:val="auto"/>
        </w:rPr>
      </w:pPr>
      <w:r>
        <w:rPr>
          <w:rFonts w:ascii="Courier New" w:cs="Courier New" w:eastAsia="Courier New" w:hAnsi="Courier New"/>
          <w:sz w:val="18"/>
          <w:szCs w:val="18"/>
          <w:color w:val="auto"/>
        </w:rPr>
        <w:t>YEAR ENDED SEPTEMBER 30, INCREASE</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(DECREASE) -----------------------</w:t>
      </w:r>
    </w:p>
    <w:p>
      <w:pPr>
        <w:ind w:left="160"/>
        <w:spacing w:after="0" w:line="238" w:lineRule="auto"/>
        <w:rPr>
          <w:sz w:val="20"/>
          <w:szCs w:val="20"/>
          <w:color w:val="auto"/>
        </w:rPr>
      </w:pPr>
      <w:r>
        <w:rPr>
          <w:rFonts w:ascii="Courier New" w:cs="Courier New" w:eastAsia="Courier New" w:hAnsi="Courier New"/>
          <w:sz w:val="18"/>
          <w:szCs w:val="18"/>
          <w:color w:val="auto"/>
        </w:rPr>
        <w:t>-- ------------------- 2003 2002</w:t>
      </w:r>
    </w:p>
    <w:tbl>
      <w:tblPr>
        <w:tblLayout w:type="fixed"/>
        <w:tblInd w:w="60" w:type="dxa"/>
        <w:tblCellMar>
          <w:top w:w="0" w:type="dxa"/>
          <w:left w:w="0" w:type="dxa"/>
          <w:bottom w:w="0" w:type="dxa"/>
          <w:right w:w="0" w:type="dxa"/>
        </w:tblCellMar>
      </w:tblPr>
      <w:tr>
        <w:trPr>
          <w:trHeight w:val="171"/>
        </w:trPr>
        <w:tc>
          <w:tcPr>
            <w:tcW w:w="840" w:type="dxa"/>
            <w:vAlign w:val="bottom"/>
          </w:tcPr>
          <w:p>
            <w:pPr>
              <w:spacing w:after="0" w:line="171" w:lineRule="exact"/>
              <w:rPr>
                <w:sz w:val="20"/>
                <w:szCs w:val="20"/>
                <w:color w:val="auto"/>
              </w:rPr>
            </w:pPr>
            <w:r>
              <w:rPr>
                <w:rFonts w:ascii="Courier New" w:cs="Courier New" w:eastAsia="Courier New" w:hAnsi="Courier New"/>
                <w:sz w:val="18"/>
                <w:szCs w:val="18"/>
                <w:color w:val="auto"/>
                <w:w w:val="94"/>
              </w:rPr>
              <w:t>AMOUNT %</w:t>
            </w:r>
          </w:p>
        </w:tc>
        <w:tc>
          <w:tcPr>
            <w:tcW w:w="320" w:type="dxa"/>
            <w:vAlign w:val="bottom"/>
          </w:tcPr>
          <w:p>
            <w:pPr>
              <w:jc w:val="right"/>
              <w:spacing w:after="0"/>
              <w:rPr>
                <w:sz w:val="20"/>
                <w:szCs w:val="20"/>
                <w:color w:val="auto"/>
              </w:rPr>
            </w:pPr>
            <w:r>
              <w:rPr>
                <w:rFonts w:ascii="Courier New" w:cs="Courier New" w:eastAsia="Courier New" w:hAnsi="Courier New"/>
                <w:sz w:val="5"/>
                <w:szCs w:val="5"/>
                <w:color w:val="auto"/>
                <w:w w:val="90"/>
              </w:rPr>
              <w:t>-----------</w:t>
            </w:r>
          </w:p>
        </w:tc>
        <w:tc>
          <w:tcPr>
            <w:tcW w:w="2420" w:type="dxa"/>
            <w:vAlign w:val="bottom"/>
            <w:gridSpan w:val="2"/>
          </w:tcPr>
          <w:p>
            <w:pPr>
              <w:jc w:val="right"/>
              <w:spacing w:after="0" w:line="171"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1160" w:type="dxa"/>
            <w:vAlign w:val="bottom"/>
            <w:gridSpan w:val="2"/>
          </w:tcPr>
          <w:p>
            <w:pPr>
              <w:jc w:val="right"/>
              <w:ind w:right="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 (IN THOUSANDS)</w:t>
            </w:r>
          </w:p>
        </w:tc>
        <w:tc>
          <w:tcPr>
            <w:tcW w:w="0" w:type="dxa"/>
            <w:vAlign w:val="bottom"/>
          </w:tcPr>
          <w:p>
            <w:pPr>
              <w:spacing w:after="0"/>
              <w:rPr>
                <w:sz w:val="1"/>
                <w:szCs w:val="1"/>
                <w:color w:val="auto"/>
              </w:rPr>
            </w:pPr>
          </w:p>
        </w:tc>
      </w:tr>
      <w:tr>
        <w:trPr>
          <w:trHeight w:val="296"/>
        </w:trPr>
        <w:tc>
          <w:tcPr>
            <w:tcW w:w="1160" w:type="dxa"/>
            <w:vAlign w:val="bottom"/>
            <w:gridSpan w:val="2"/>
            <w:vMerge w:val="restart"/>
          </w:tcPr>
          <w:p>
            <w:pPr>
              <w:jc w:val="right"/>
              <w:spacing w:after="0"/>
              <w:rPr>
                <w:sz w:val="20"/>
                <w:szCs w:val="20"/>
                <w:color w:val="auto"/>
              </w:rPr>
            </w:pPr>
            <w:r>
              <w:rPr>
                <w:rFonts w:ascii="Courier New" w:cs="Courier New" w:eastAsia="Courier New" w:hAnsi="Courier New"/>
                <w:sz w:val="8"/>
                <w:szCs w:val="8"/>
                <w:color w:val="auto"/>
                <w:w w:val="74"/>
              </w:rPr>
              <w:t>income..........................</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Operating</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8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49,161 161,257</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328.0</w:t>
            </w:r>
          </w:p>
        </w:tc>
        <w:tc>
          <w:tcPr>
            <w:tcW w:w="0" w:type="dxa"/>
            <w:vAlign w:val="bottom"/>
          </w:tcPr>
          <w:p>
            <w:pPr>
              <w:spacing w:after="0"/>
              <w:rPr>
                <w:sz w:val="1"/>
                <w:szCs w:val="1"/>
                <w:color w:val="auto"/>
              </w:rPr>
            </w:pPr>
          </w:p>
        </w:tc>
      </w:tr>
      <w:tr>
        <w:trPr>
          <w:trHeight w:val="203"/>
        </w:trPr>
        <w:tc>
          <w:tcPr>
            <w:tcW w:w="1160" w:type="dxa"/>
            <w:vAlign w:val="bottom"/>
            <w:gridSpan w:val="2"/>
          </w:tcPr>
          <w:p>
            <w:pPr>
              <w:jc w:val="right"/>
              <w:ind w:right="42"/>
              <w:spacing w:after="0" w:line="203" w:lineRule="exact"/>
              <w:rPr>
                <w:sz w:val="20"/>
                <w:szCs w:val="20"/>
                <w:color w:val="auto"/>
              </w:rPr>
            </w:pPr>
            <w:r>
              <w:rPr>
                <w:rFonts w:ascii="Courier New" w:cs="Courier New" w:eastAsia="Courier New" w:hAnsi="Courier New"/>
                <w:sz w:val="18"/>
                <w:szCs w:val="18"/>
                <w:color w:val="auto"/>
              </w:rPr>
              <w:t>210,418</w:t>
            </w:r>
          </w:p>
        </w:tc>
        <w:tc>
          <w:tcPr>
            <w:tcW w:w="15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gridSpan w:val="4"/>
          </w:tcPr>
          <w:p>
            <w:pPr>
              <w:jc w:val="right"/>
              <w:ind w:right="332"/>
              <w:spacing w:after="0" w:line="203" w:lineRule="exact"/>
              <w:rPr>
                <w:sz w:val="20"/>
                <w:szCs w:val="20"/>
                <w:color w:val="auto"/>
              </w:rPr>
            </w:pPr>
            <w:r>
              <w:rPr>
                <w:rFonts w:ascii="Courier New" w:cs="Courier New" w:eastAsia="Courier New" w:hAnsi="Courier New"/>
                <w:sz w:val="18"/>
                <w:szCs w:val="18"/>
                <w:color w:val="auto"/>
              </w:rPr>
              <w:t>Interest income and other,</w:t>
            </w:r>
          </w:p>
        </w:tc>
        <w:tc>
          <w:tcPr>
            <w:tcW w:w="0" w:type="dxa"/>
            <w:vAlign w:val="bottom"/>
          </w:tcPr>
          <w:p>
            <w:pPr>
              <w:spacing w:after="0"/>
              <w:rPr>
                <w:sz w:val="1"/>
                <w:szCs w:val="1"/>
                <w:color w:val="auto"/>
              </w:rPr>
            </w:pPr>
          </w:p>
        </w:tc>
      </w:tr>
      <w:tr>
        <w:trPr>
          <w:trHeight w:val="203"/>
        </w:trPr>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0"/>
              </w:rPr>
              <w:t>net............</w:t>
            </w:r>
          </w:p>
        </w:tc>
        <w:tc>
          <w:tcPr>
            <w:tcW w:w="2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14,759 19,298</w:t>
            </w:r>
          </w:p>
        </w:tc>
        <w:tc>
          <w:tcPr>
            <w:tcW w:w="0" w:type="dxa"/>
            <w:vAlign w:val="bottom"/>
          </w:tcPr>
          <w:p>
            <w:pPr>
              <w:spacing w:after="0"/>
              <w:rPr>
                <w:sz w:val="1"/>
                <w:szCs w:val="1"/>
                <w:color w:val="auto"/>
              </w:rPr>
            </w:pPr>
          </w:p>
        </w:tc>
      </w:tr>
      <w:tr>
        <w:trPr>
          <w:trHeight w:val="235"/>
        </w:trPr>
        <w:tc>
          <w:tcPr>
            <w:tcW w:w="840" w:type="dxa"/>
            <w:vAlign w:val="bottom"/>
          </w:tcPr>
          <w:p>
            <w:pPr>
              <w:spacing w:after="0"/>
              <w:rPr>
                <w:sz w:val="20"/>
                <w:szCs w:val="20"/>
                <w:color w:val="auto"/>
              </w:rPr>
            </w:pPr>
            <w:r>
              <w:rPr>
                <w:rFonts w:ascii="Courier New" w:cs="Courier New" w:eastAsia="Courier New" w:hAnsi="Courier New"/>
                <w:sz w:val="18"/>
                <w:szCs w:val="18"/>
                <w:color w:val="auto"/>
              </w:rPr>
              <w:t>(4,539)</w:t>
            </w:r>
          </w:p>
        </w:tc>
        <w:tc>
          <w:tcPr>
            <w:tcW w:w="18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(23.5) ----------</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left="120"/>
        <w:spacing w:after="0" w:line="238" w:lineRule="auto"/>
        <w:rPr>
          <w:sz w:val="20"/>
          <w:szCs w:val="20"/>
          <w:color w:val="auto"/>
        </w:rPr>
      </w:pPr>
      <w:r>
        <w:rPr>
          <w:rFonts w:ascii="Courier New" w:cs="Courier New" w:eastAsia="Courier New" w:hAnsi="Courier New"/>
          <w:sz w:val="18"/>
          <w:szCs w:val="18"/>
          <w:color w:val="auto"/>
        </w:rPr>
        <w:t>-- --------- Income before income</w:t>
      </w:r>
    </w:p>
    <w:p>
      <w:pPr>
        <w:ind w:left="320"/>
        <w:spacing w:after="0"/>
        <w:rPr>
          <w:sz w:val="20"/>
          <w:szCs w:val="20"/>
          <w:color w:val="auto"/>
        </w:rPr>
      </w:pPr>
      <w:r>
        <w:rPr>
          <w:rFonts w:ascii="Courier New" w:cs="Courier New" w:eastAsia="Courier New" w:hAnsi="Courier New"/>
          <w:sz w:val="18"/>
          <w:szCs w:val="18"/>
          <w:color w:val="auto"/>
        </w:rPr>
        <w:t>taxes................ 225,177</w:t>
      </w:r>
    </w:p>
    <w:p>
      <w:pPr>
        <w:ind w:left="420"/>
        <w:spacing w:after="0" w:line="238" w:lineRule="auto"/>
        <w:rPr>
          <w:sz w:val="20"/>
          <w:szCs w:val="20"/>
          <w:color w:val="auto"/>
        </w:rPr>
      </w:pPr>
      <w:r>
        <w:rPr>
          <w:rFonts w:ascii="Courier New" w:cs="Courier New" w:eastAsia="Courier New" w:hAnsi="Courier New"/>
          <w:sz w:val="18"/>
          <w:szCs w:val="18"/>
          <w:color w:val="auto"/>
        </w:rPr>
        <w:t>68,459 156,718 228.9 Income</w:t>
      </w:r>
    </w:p>
    <w:p>
      <w:pPr>
        <w:spacing w:after="0"/>
        <w:rPr>
          <w:sz w:val="20"/>
          <w:szCs w:val="20"/>
          <w:color w:val="auto"/>
        </w:rPr>
      </w:pPr>
      <w:r>
        <w:rPr>
          <w:rFonts w:ascii="Courier New" w:cs="Courier New" w:eastAsia="Courier New" w:hAnsi="Courier New"/>
          <w:sz w:val="18"/>
          <w:szCs w:val="18"/>
          <w:color w:val="auto"/>
        </w:rPr>
        <w:t>taxes..............................</w:t>
      </w:r>
    </w:p>
    <w:p>
      <w:pPr>
        <w:ind w:left="60"/>
        <w:spacing w:after="0" w:line="238" w:lineRule="auto"/>
        <w:rPr>
          <w:sz w:val="20"/>
          <w:szCs w:val="20"/>
          <w:color w:val="auto"/>
        </w:rPr>
      </w:pPr>
      <w:r>
        <w:rPr>
          <w:rFonts w:ascii="Courier New" w:cs="Courier New" w:eastAsia="Courier New" w:hAnsi="Courier New"/>
          <w:sz w:val="18"/>
          <w:szCs w:val="18"/>
          <w:color w:val="auto"/>
        </w:rPr>
        <w:t>56,294 73,520 (17,226) (23.4) ----</w:t>
      </w:r>
    </w:p>
    <w:p>
      <w:pPr>
        <w:ind w:left="220"/>
        <w:spacing w:after="0"/>
        <w:rPr>
          <w:sz w:val="20"/>
          <w:szCs w:val="20"/>
          <w:color w:val="auto"/>
        </w:rPr>
      </w:pPr>
      <w:r>
        <w:rPr>
          <w:rFonts w:ascii="Courier New" w:cs="Courier New" w:eastAsia="Courier New" w:hAnsi="Courier New"/>
          <w:sz w:val="18"/>
          <w:szCs w:val="18"/>
          <w:color w:val="auto"/>
        </w:rPr>
        <w:t>------ ---------- --------- Net</w:t>
      </w:r>
    </w:p>
    <w:tbl>
      <w:tblPr>
        <w:tblLayout w:type="fixed"/>
        <w:tblInd w:w="120" w:type="dxa"/>
        <w:tblCellMar>
          <w:top w:w="0" w:type="dxa"/>
          <w:left w:w="0" w:type="dxa"/>
          <w:bottom w:w="0" w:type="dxa"/>
          <w:right w:w="0" w:type="dxa"/>
        </w:tblCellMar>
      </w:tblPr>
      <w:tr>
        <w:trPr>
          <w:trHeight w:val="296"/>
        </w:trPr>
        <w:tc>
          <w:tcPr>
            <w:tcW w:w="116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6"/>
              </w:rPr>
              <w:t>(loss).........................</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income</w:t>
            </w:r>
          </w:p>
        </w:tc>
        <w:tc>
          <w:tcPr>
            <w:tcW w:w="20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77"/>
        </w:trPr>
        <w:tc>
          <w:tcPr>
            <w:tcW w:w="1160" w:type="dxa"/>
            <w:vAlign w:val="bottom"/>
            <w:vMerge w:val="continue"/>
          </w:tcPr>
          <w:p>
            <w:pPr>
              <w:spacing w:after="0"/>
              <w:rPr>
                <w:sz w:val="6"/>
                <w:szCs w:val="6"/>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 (5,061)</w:t>
            </w:r>
          </w:p>
        </w:tc>
        <w:tc>
          <w:tcPr>
            <w:tcW w:w="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160" w:type="dxa"/>
            <w:vAlign w:val="bottom"/>
          </w:tcPr>
          <w:p>
            <w:pPr>
              <w:jc w:val="right"/>
              <w:ind w:right="49"/>
              <w:spacing w:after="0" w:line="203" w:lineRule="exact"/>
              <w:rPr>
                <w:sz w:val="20"/>
                <w:szCs w:val="20"/>
                <w:color w:val="auto"/>
              </w:rPr>
            </w:pPr>
            <w:r>
              <w:rPr>
                <w:rFonts w:ascii="Courier New" w:cs="Courier New" w:eastAsia="Courier New" w:hAnsi="Courier New"/>
                <w:sz w:val="18"/>
                <w:szCs w:val="18"/>
                <w:color w:val="auto"/>
              </w:rPr>
              <w:t>168,883</w:t>
            </w:r>
          </w:p>
        </w:tc>
        <w:tc>
          <w:tcPr>
            <w:tcW w:w="10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173,944</w:t>
            </w:r>
          </w:p>
        </w:tc>
        <w:tc>
          <w:tcPr>
            <w:tcW w:w="0" w:type="dxa"/>
            <w:vAlign w:val="bottom"/>
          </w:tcPr>
          <w:p>
            <w:pPr>
              <w:spacing w:after="0"/>
              <w:rPr>
                <w:sz w:val="1"/>
                <w:szCs w:val="1"/>
                <w:color w:val="auto"/>
              </w:rPr>
            </w:pPr>
          </w:p>
        </w:tc>
      </w:tr>
      <w:tr>
        <w:trPr>
          <w:trHeight w:val="296"/>
        </w:trPr>
        <w:tc>
          <w:tcPr>
            <w:tcW w:w="23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 ==========</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Revenue. Total revenue decreased by $130.2 million, or 8.1%, in the fiscal year ended September 30, 2003 to $1,483.3 million from $1,613.6 million in fiscal 2002. The decrease in revenue was due to the slowdown in customer buying decisions, stemming from overall reductions in the capital investment budgets of many communications service providers.</w:t>
      </w:r>
    </w:p>
    <w:p>
      <w:pPr>
        <w:spacing w:after="0" w:line="90"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License revenue decreased by $88.1 million, or 57.3%, in the fiscal year ended September 30, 2003 to $65.6 million from $153.7 million in fiscal 2002 Service revenue decreased by $42.2 million, or 2.9%, in the fiscal year ended September 30, 2003 to $1,417.7 million from $1,459.9 million in fiscal 2002. The decrease in license revenue is attributable primarily to the reduction in capital investments by our communications customers, which resulted in our obtaining fewer new contracts than in fiscal 2002 and smaller initial spending commitments under contracts with some of our customers. The significant new contracts that we did obtain in fiscal 2003 were for Managed Services arrangements, which contain only a small license revenue component. We believe that this reduction in capital spending caused our communications customers to shift from purchasing large-scale end-to-end solutions to purchasing more gradual side-by-side installations with fewer users or fewer modules with the possibility of extending orders in the future. In addition, the current communications market environment has resulted in pricing pressure, particularly with respect to license fees. The decrease in service revenue is attributable to smaller initial spending commitments by our communications customers and reduced discretionary spending under contracts with some of our customers. We did not significantly change our pricing policy for products and services and accordingly, pricing pressure resulted in fewer new customer projects.</w:t>
      </w:r>
    </w:p>
    <w:p>
      <w:pPr>
        <w:spacing w:after="0" w:line="200" w:lineRule="exact"/>
        <w:rPr>
          <w:sz w:val="20"/>
          <w:szCs w:val="20"/>
          <w:color w:val="auto"/>
        </w:rPr>
      </w:pPr>
    </w:p>
    <w:p>
      <w:pPr>
        <w:spacing w:after="0" w:line="302"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Recently, there have been some increasing signs of stabilization in the market. Total quarterly revenue increased by $15.6 million, or 4.6%, between the first and second quarters and by $22 million, or 6.2%, between the second and third quarters. These sequential increases were as a result of new Managed Services agreements signed during fiscal 2003. In addition, total quarterly revenue increased by $34.5 million, or 9.2%, between the third and fourth quarters, consisting of approximately $45 million resulting from new Managed Services agreements signed during fiscal 2003 (including the effect of the Certen acquisition in the fourth quarter of fiscal 2003), offset by a decrease in the volume of services rendered to existing customers of approximately $10 million.</w:t>
      </w:r>
    </w:p>
    <w:p>
      <w:pPr>
        <w:spacing w:after="0" w:line="104"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The recent quarterly trends in our total revenue are summarized below (in millions):</w:t>
      </w:r>
    </w:p>
    <w:p>
      <w:pPr>
        <w:spacing w:after="0" w:line="18"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Q1 Q2 Q3 Q4 ------ ------ ------ ------</w:t>
      </w:r>
    </w:p>
    <w:p>
      <w:pPr>
        <w:spacing w:after="0" w:line="29"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Fiscal</w:t>
      </w:r>
    </w:p>
    <w:p>
      <w:pPr>
        <w:spacing w:after="0" w:line="238" w:lineRule="auto"/>
        <w:rPr>
          <w:sz w:val="20"/>
          <w:szCs w:val="20"/>
          <w:color w:val="auto"/>
        </w:rPr>
      </w:pPr>
      <w:r>
        <w:rPr>
          <w:rFonts w:ascii="Courier New" w:cs="Courier New" w:eastAsia="Courier New" w:hAnsi="Courier New"/>
          <w:sz w:val="18"/>
          <w:szCs w:val="18"/>
          <w:color w:val="auto"/>
        </w:rPr>
        <w:t>2003........................................</w:t>
      </w:r>
    </w:p>
    <w:p>
      <w:pPr>
        <w:jc w:val="center"/>
        <w:ind w:right="5579"/>
        <w:spacing w:after="0"/>
        <w:rPr>
          <w:sz w:val="20"/>
          <w:szCs w:val="20"/>
          <w:color w:val="auto"/>
        </w:rPr>
      </w:pPr>
      <w:r>
        <w:rPr>
          <w:rFonts w:ascii="Courier New" w:cs="Courier New" w:eastAsia="Courier New" w:hAnsi="Courier New"/>
          <w:sz w:val="18"/>
          <w:szCs w:val="18"/>
          <w:color w:val="auto"/>
        </w:rPr>
        <w:t>$339.4 $355.0 $377.2 $411.7 Fiscal</w:t>
      </w:r>
    </w:p>
    <w:p>
      <w:pPr>
        <w:spacing w:after="0" w:line="238" w:lineRule="auto"/>
        <w:rPr>
          <w:sz w:val="20"/>
          <w:szCs w:val="20"/>
          <w:color w:val="auto"/>
        </w:rPr>
      </w:pPr>
      <w:r>
        <w:rPr>
          <w:rFonts w:ascii="Courier New" w:cs="Courier New" w:eastAsia="Courier New" w:hAnsi="Courier New"/>
          <w:sz w:val="18"/>
          <w:szCs w:val="18"/>
          <w:color w:val="auto"/>
        </w:rPr>
        <w:t>2002........................................</w:t>
      </w:r>
    </w:p>
    <w:p>
      <w:pPr>
        <w:ind w:left="900"/>
        <w:spacing w:after="0"/>
        <w:rPr>
          <w:sz w:val="20"/>
          <w:szCs w:val="20"/>
          <w:color w:val="auto"/>
        </w:rPr>
      </w:pPr>
      <w:r>
        <w:rPr>
          <w:rFonts w:ascii="Courier New" w:cs="Courier New" w:eastAsia="Courier New" w:hAnsi="Courier New"/>
          <w:sz w:val="18"/>
          <w:szCs w:val="18"/>
          <w:color w:val="auto"/>
        </w:rPr>
        <w:t>$422.6 $455.3 $380.2 $355.5</w:t>
      </w:r>
    </w:p>
    <w:p>
      <w:pPr>
        <w:spacing w:after="0" w:line="372" w:lineRule="exact"/>
        <w:rPr>
          <w:sz w:val="20"/>
          <w:szCs w:val="20"/>
          <w:color w:val="auto"/>
        </w:rPr>
      </w:pPr>
    </w:p>
    <w:p>
      <w:pPr>
        <w:ind w:right="1999" w:firstLine="527"/>
        <w:spacing w:after="0" w:line="306" w:lineRule="auto"/>
        <w:rPr>
          <w:sz w:val="20"/>
          <w:szCs w:val="20"/>
          <w:color w:val="auto"/>
        </w:rPr>
      </w:pPr>
      <w:r>
        <w:rPr>
          <w:rFonts w:ascii="Courier New" w:cs="Courier New" w:eastAsia="Courier New" w:hAnsi="Courier New"/>
          <w:sz w:val="16"/>
          <w:szCs w:val="16"/>
          <w:color w:val="auto"/>
        </w:rPr>
        <w:t>The decline in our overall revenue in fiscal 2003 was attributable to a decrease in revenue from CC&amp;B Systems. Total CC&amp;B Systems revenue decreased by $159.6 million, or 11.1%, in the fiscal year ended September 30, 2003 to $1,280.4 million from $1,440.0 million in fiscal 2002. License and service revenue from the sale of CC&amp;B Systems represented 86.3% and 89.2% of our total</w:t>
      </w:r>
    </w:p>
    <w:p>
      <w:pPr>
        <w:sectPr>
          <w:pgSz w:w="11900" w:h="16838" w:orient="portrait"/>
          <w:cols w:equalWidth="0" w:num="1">
            <w:col w:w="10219"/>
          </w:cols>
          <w:pgMar w:left="240" w:top="691" w:right="1440" w:bottom="0" w:gutter="0" w:footer="0" w:header="0"/>
        </w:sectPr>
      </w:pPr>
    </w:p>
    <w:bookmarkStart w:id="38" w:name="page39"/>
    <w:bookmarkEnd w:id="38"/>
    <w:p>
      <w:pPr>
        <w:ind w:right="1779"/>
        <w:spacing w:after="0" w:line="256" w:lineRule="auto"/>
        <w:rPr>
          <w:sz w:val="20"/>
          <w:szCs w:val="20"/>
          <w:color w:val="auto"/>
        </w:rPr>
      </w:pPr>
      <w:r>
        <w:rPr>
          <w:rFonts w:ascii="Courier New" w:cs="Courier New" w:eastAsia="Courier New" w:hAnsi="Courier New"/>
          <w:sz w:val="18"/>
          <w:szCs w:val="18"/>
          <w:color w:val="auto"/>
        </w:rPr>
        <w:t>revenue in fiscal years 2003 and 2002, respectively. The demand for our CC&amp;B Systems is primarily driven by the need for communications companies to continue to upgrade their billing, CRM and order management systems. In fiscal 2003, many communications companies reduced or delayed expenditures on system upgrades as a result of the slowdown in the communications industry. Approximately $59.0 million of CC&amp;B Systems revenue for fiscal 2003 was derived from customers other than communications service providers.</w:t>
      </w:r>
    </w:p>
    <w:p>
      <w:pPr>
        <w:spacing w:after="0" w:line="9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110" w:right="1440" w:bottom="1440" w:gutter="0" w:footer="0" w:header="0"/>
        </w:sectPr>
      </w:pPr>
    </w:p>
    <w:bookmarkStart w:id="39" w:name="page40"/>
    <w:bookmarkEnd w:id="39"/>
    <w:p>
      <w:pPr>
        <w:ind w:right="1779" w:firstLine="527"/>
        <w:spacing w:after="0" w:line="252" w:lineRule="auto"/>
        <w:rPr>
          <w:sz w:val="20"/>
          <w:szCs w:val="20"/>
          <w:color w:val="auto"/>
        </w:rPr>
      </w:pPr>
      <w:r>
        <w:rPr>
          <w:rFonts w:ascii="Courier New" w:cs="Courier New" w:eastAsia="Courier New" w:hAnsi="Courier New"/>
          <w:sz w:val="18"/>
          <w:szCs w:val="18"/>
          <w:color w:val="auto"/>
        </w:rPr>
        <w:t>Revenue from Directory Systems increased by $29.3 million, or 16.9%, in the fiscal year ended September 30, 2003 to $202.9 million from $173.6 million in fiscal 2002. Approximately $47 million of the increase in Directory Systems revenue in fiscal 2003 was attributable to new Managed Services agreements signed during fiscal 2003. This revenue was partially offset by completion of certain implementation projects that accounted for approximately $18 million of revenue in fiscal 2002. License and service revenue from the sale of Directory Systems represented 13.7% and 10.8% of our total revenue in fiscal years 2003 and 2002, respectively.</w:t>
      </w:r>
    </w:p>
    <w:p>
      <w:pPr>
        <w:spacing w:after="0" w:line="99"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In fiscal 2003, revenue from customers in North America, Europe and the rest of the world accounted for 62.0%, 29.8% and 8.2% of our total revenue, respectively, compared to 61.9%, 28.9% and 9.2%, respectively, for fiscal 2002. The decrease in the absolute amount of revenue from customers in North America was attributable to a decrease in the volume of services rendered to existing customers, which was offset by a $74 million increase from new Managed Services arrangements signed during fiscal 2003, including the Certen acquisition.</w:t>
      </w:r>
    </w:p>
    <w:p>
      <w:pPr>
        <w:spacing w:after="0" w:line="72"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Cost of license for fiscal 2003 was $5.8 million compared to $6.0 million for fiscal 2002, or, as a percentage of license revenue, 8.8% and 3.9%, respectively.</w:t>
      </w:r>
    </w:p>
    <w:p>
      <w:pPr>
        <w:spacing w:after="0" w:line="104"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Cost of Service. The decrease in cost of service in fiscal 2003 was 2.1%, which was less than 8.1%, the decrease in our total revenue in fiscal 2003, and resulted in a 3.8% decrease in our gross margin, as a percentage of revenue. The decrease in cost of service in fiscal 2003 is attributable to the cost reduction programs that we implemented in fiscal 2002 and in the first quarter of fiscal 2003. Although our cost of service decreased in fiscal 2003, our gross margin also decreased. The decrease in the gross margin is attributable to the decrease in license revenue of $88.1 million and to the fact that our cost reductions were proportionally less than the decrease in our service revenue. Our gross margin was also affected by new Managed Services projects, which tend to be less profitable in their initial period. We have taken steps to decrease our costs and increase our gross margin. See the discussion above under the caption "Operational Efficiency and Cost Reduction Programs".</w:t>
      </w:r>
    </w:p>
    <w:p>
      <w:pPr>
        <w:spacing w:after="0" w:line="290"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6"/>
          <w:szCs w:val="16"/>
          <w:color w:val="auto"/>
        </w:rPr>
        <w:t>Research and Development. Research and development expense was primarily comprised of compensation expense attributable to research and development activities, which involve the development of new software modules and product offerings, either in conjunction with customer projects or as part of our internal product development program. Research and development expense decreased by $4.8 million, or 3.9%, in the fiscal year ended September 30, 2003 to $119.3 million, or 8.0% of revenue, from $124.1 million, or 7.7% of revenue, in fiscal 2002. As a result of our research and development program, in fiscal 2003 we launched major releases of our flagship products -- our billing platform, which we call Amdocs Enabler version 5, and Amdocs ClarifyCRM version 12. Enabler version 5 supports new revenue streams and business models with advanced online charging capabilities and supports multi-market/multi-national operations, all on a single platform. ClarifyCRM version 12 features advanced user interface technology that delivers real-time, relevant, and actionable customer information to the service agent's desktop, transforming the high-volume call center into a more efficient and effective multi-channel customer contact center. We are currently focusing significant development efforts on the integration between our products in order to provide Integrated Customer Management to our customers, while continuing to upgrade our existing systems. The majority of our research and development expenditures are aimed to our billing and CRM systems, and the remainder to directory, content and order management solutions. Our research and development budget, like all of our costs, is sensitive to our overall financial condition. A decrease in our total revenue could, in certain circumstances, lead to reductions in the levels of our research and development expenditures. See the discussion above under the caption "Research and Development, Patents and Licenses".</w:t>
      </w:r>
    </w:p>
    <w:p>
      <w:pPr>
        <w:spacing w:after="0" w:line="200" w:lineRule="exact"/>
        <w:rPr>
          <w:sz w:val="20"/>
          <w:szCs w:val="20"/>
          <w:color w:val="auto"/>
        </w:rPr>
      </w:pPr>
    </w:p>
    <w:p>
      <w:pPr>
        <w:spacing w:after="0" w:line="3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691" w:right="1440" w:bottom="1440" w:gutter="0" w:footer="0" w:header="0"/>
        </w:sectPr>
      </w:pPr>
    </w:p>
    <w:bookmarkStart w:id="40" w:name="page41"/>
    <w:bookmarkEnd w:id="40"/>
    <w:p>
      <w:pPr>
        <w:ind w:right="1779" w:firstLine="527"/>
        <w:spacing w:after="0" w:line="250" w:lineRule="auto"/>
        <w:rPr>
          <w:sz w:val="20"/>
          <w:szCs w:val="20"/>
          <w:color w:val="auto"/>
        </w:rPr>
      </w:pPr>
      <w:r>
        <w:rPr>
          <w:rFonts w:ascii="Courier New" w:cs="Courier New" w:eastAsia="Courier New" w:hAnsi="Courier New"/>
          <w:sz w:val="18"/>
          <w:szCs w:val="18"/>
          <w:color w:val="auto"/>
        </w:rPr>
        <w:t>Selling, General and Administrative. Selling, general and administrative expense decreased by $17.3 million, or 77%, in the fiscal year ended September 30, 2003 to $206.3 million, or 13.9% of revenue, in fiscal 2003 from $223.6 million, or 13.9% of revenue, in fiscal 2002. Selling, general and administration expense was primarily comprised of compensation expense. The decrease in selling, general and administrative expense is attributable to the cost reduction programs that we implemented in fiscal 2002 and in the first quarter of fiscal 2003. Selling, general and administrative expense decreased in fiscal 2003 proportionally with our revenue, resulting in the same percentage of revenue as in fiscal 2002.</w:t>
      </w:r>
    </w:p>
    <w:p>
      <w:pPr>
        <w:spacing w:after="0" w:line="104" w:lineRule="exact"/>
        <w:rPr>
          <w:sz w:val="20"/>
          <w:szCs w:val="20"/>
          <w:color w:val="auto"/>
        </w:rPr>
      </w:pPr>
    </w:p>
    <w:p>
      <w:pPr>
        <w:ind w:right="1779" w:firstLine="527"/>
        <w:spacing w:after="0" w:line="288" w:lineRule="auto"/>
        <w:rPr>
          <w:sz w:val="20"/>
          <w:szCs w:val="20"/>
          <w:color w:val="auto"/>
        </w:rPr>
      </w:pPr>
      <w:r>
        <w:rPr>
          <w:rFonts w:ascii="Courier New" w:cs="Courier New" w:eastAsia="Courier New" w:hAnsi="Courier New"/>
          <w:sz w:val="16"/>
          <w:szCs w:val="16"/>
          <w:color w:val="auto"/>
        </w:rPr>
        <w:t>Amortization of Goodwill and Purchased Intangible Assets. Effective as of October 1, 2002, we adopted SFAS No. 142 and goodwill related to our acquisitions is no longer amortized. Instead, any such goodwill is subject only to periodic impairment tests. See the discussion below under the caption "Adoption of New Accounting Standards". Amortization of goodwill for fiscal 2002 was $204.6 million. Amortization of purchased intangible assets for fiscal 2003 was $19.9 million, compared to $27.2 million in fiscal 2002. Amortization of purchased intangible assets for fiscal 2002 included amortization of purchased intangible assets that were fully amortized in fiscal 2002.</w:t>
      </w:r>
    </w:p>
    <w:p>
      <w:pPr>
        <w:spacing w:after="0" w:line="28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Restructuring Charges, In-Process Research and Development and</w:t>
      </w:r>
    </w:p>
    <w:p>
      <w:pPr>
        <w:spacing w:after="0" w:line="31" w:lineRule="exact"/>
        <w:rPr>
          <w:sz w:val="20"/>
          <w:szCs w:val="20"/>
          <w:color w:val="auto"/>
        </w:rPr>
      </w:pPr>
    </w:p>
    <w:p>
      <w:pPr>
        <w:ind w:right="1879"/>
        <w:spacing w:after="0" w:line="244" w:lineRule="auto"/>
        <w:rPr>
          <w:sz w:val="20"/>
          <w:szCs w:val="20"/>
          <w:color w:val="auto"/>
        </w:rPr>
      </w:pPr>
      <w:r>
        <w:rPr>
          <w:rFonts w:ascii="Courier New" w:cs="Courier New" w:eastAsia="Courier New" w:hAnsi="Courier New"/>
          <w:sz w:val="18"/>
          <w:szCs w:val="18"/>
          <w:color w:val="auto"/>
        </w:rPr>
        <w:t>Other. Restructuring charges, in-process research and development and other in fiscal 2003 consisted of a restructuring charge of $10.0 million related to the cost reduction program we implemented in the first quarter of fiscal 2003 and the cumulative effect of our 10% share in Certen's pre-acquisition results of $4.1 million. Restructuring charges, in-process research and development and other in fiscal 2002 consisted of a one-time charge of $17.4 million for write-off of purchased in-process research and development resulting from the Clarify transaction, a restructuring charge of $13.3 million related to the consolidation of data centers and the resulting closure of our Stamford, Connecticut facility and a restructuring charge of $20.9 million related to the cost reduction program we implemented in the fourth quarter of fiscal 2002. See the discussion above under the caption "Operational Efficiency and Cost Reduction Programs".</w:t>
      </w:r>
    </w:p>
    <w:p>
      <w:pPr>
        <w:spacing w:after="0" w:line="109"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Operating Income. Operating income increased by $161.3 million, or 328%, in the fiscal year ended September 30, 2003, to $210.4 million, or 14.2% of revenue, from $49.2 million, or 3.0% of revenue, in fiscal 2002. The increase is attributable to our adoption of SFAS No. 142, which resulted in no amortization of goodwill in fiscal 2003, which accounted for $204.6 million in fiscal 2002.</w:t>
      </w:r>
    </w:p>
    <w:p>
      <w:pPr>
        <w:spacing w:after="0" w:line="6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Operating income for fiscal 2003 included amortization of purchased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intangible assets of $19.9 million, restructuring charges of $10.0 million and</w:t>
      </w:r>
    </w:p>
    <w:p>
      <w:pPr>
        <w:spacing w:after="0" w:line="238" w:lineRule="auto"/>
        <w:rPr>
          <w:sz w:val="20"/>
          <w:szCs w:val="20"/>
          <w:color w:val="auto"/>
        </w:rPr>
      </w:pPr>
      <w:r>
        <w:rPr>
          <w:rFonts w:ascii="Courier New" w:cs="Courier New" w:eastAsia="Courier New" w:hAnsi="Courier New"/>
          <w:sz w:val="18"/>
          <w:szCs w:val="18"/>
          <w:color w:val="auto"/>
        </w:rPr>
        <w:t>the cumulative effect of our 10% share in Certen's pre-acquisition results of</w:t>
      </w:r>
    </w:p>
    <w:p>
      <w:pPr>
        <w:spacing w:after="0"/>
        <w:rPr>
          <w:sz w:val="20"/>
          <w:szCs w:val="20"/>
          <w:color w:val="auto"/>
        </w:rPr>
      </w:pPr>
      <w:r>
        <w:rPr>
          <w:rFonts w:ascii="Courier New" w:cs="Courier New" w:eastAsia="Courier New" w:hAnsi="Courier New"/>
          <w:sz w:val="16"/>
          <w:szCs w:val="16"/>
          <w:color w:val="auto"/>
        </w:rPr>
        <w:t>$4.1 million. Operating income for fiscal 2002 included amortization of goodwill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$204.6 million, amortization of purchased intangible assets of $27.2 million,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restructuring charges of $34.2 million and the write-off of in-process research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development of $17.4 million.</w:t>
      </w:r>
    </w:p>
    <w:p>
      <w:pPr>
        <w:spacing w:after="0" w:line="169" w:lineRule="exact"/>
        <w:rPr>
          <w:sz w:val="20"/>
          <w:szCs w:val="20"/>
          <w:color w:val="auto"/>
        </w:rPr>
      </w:pPr>
    </w:p>
    <w:p>
      <w:pPr>
        <w:ind w:right="1879" w:firstLine="527"/>
        <w:spacing w:after="0" w:line="247" w:lineRule="auto"/>
        <w:rPr>
          <w:sz w:val="20"/>
          <w:szCs w:val="20"/>
          <w:color w:val="auto"/>
        </w:rPr>
      </w:pPr>
      <w:r>
        <w:rPr>
          <w:rFonts w:ascii="Courier New" w:cs="Courier New" w:eastAsia="Courier New" w:hAnsi="Courier New"/>
          <w:sz w:val="18"/>
          <w:szCs w:val="18"/>
          <w:color w:val="auto"/>
        </w:rPr>
        <w:t>Interest Income and Other, Net. Interest income and other, net, decreased by $4.5 million, or 23.5%, in the fiscal year ended September 30, 2003 to $14.8 million from $19.3 million in fiscal 2002. The decrease in interest income and other, net, is attributable to a decline in interest rates on our short-term interest-bearing investments which resulted in a decrease of $4.5 million in interest income, and to the $6.0 million gain recognized in the fourth quarter of fiscal 2002 from the repurchases of our 2% Notes that was greater than the $0.4 million gain from our repurchases in the fourth quarter of 2003. These decreases were offset primarily by the decrease in interest expense of approximately $4 million related to the 2% Notes that we repurchased in the fourth quarter of fiscal 2002, and by a decrease of $1.6 million in other interest expenses. See the discussion above under the caption "Convertible Notes".</w:t>
      </w:r>
    </w:p>
    <w:p>
      <w:pPr>
        <w:spacing w:after="0" w:line="108" w:lineRule="exact"/>
        <w:rPr>
          <w:sz w:val="20"/>
          <w:szCs w:val="20"/>
          <w:color w:val="auto"/>
        </w:rPr>
      </w:pPr>
    </w:p>
    <w:p>
      <w:pPr>
        <w:ind w:right="1779" w:firstLine="527"/>
        <w:spacing w:after="0" w:line="241" w:lineRule="auto"/>
        <w:rPr>
          <w:sz w:val="20"/>
          <w:szCs w:val="20"/>
          <w:color w:val="auto"/>
        </w:rPr>
      </w:pPr>
      <w:r>
        <w:rPr>
          <w:rFonts w:ascii="Courier New" w:cs="Courier New" w:eastAsia="Courier New" w:hAnsi="Courier New"/>
          <w:sz w:val="18"/>
          <w:szCs w:val="18"/>
          <w:color w:val="auto"/>
        </w:rPr>
        <w:t>Income Taxes. Income taxes for fiscal 2003 were $56.3 million on pretax income of $225.2 million, resulting in an effective tax rate of 25%. As a result of the adoption of SFAS No. 142, we no longer amortize goodwill resulting from acquisitions, thus goodwill amortization that is not tax-deductible no longer affects our effective tax rate. In fiscal 2002, income taxes were $73.5 million on pretax income of $68.5 million, or 107% of pretax income. This higher effective tax rate in 2002 was attributable to the fact that non-cash amortization of goodwill related to acquisitions (much of which is not tax deductible) represented a large component of our pretax income. Excluding the effect of such non-deductible non-cash amortization of goodwill (which accounted for 89% of the effective tax rate) and offsetting such 89% by</w:t>
      </w:r>
    </w:p>
    <w:p>
      <w:pPr>
        <w:spacing w:after="0" w:line="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691" w:right="1440" w:bottom="154" w:gutter="0" w:footer="0" w:header="0"/>
        </w:sectPr>
      </w:pPr>
    </w:p>
    <w:bookmarkStart w:id="41" w:name="page42"/>
    <w:bookmarkEnd w:id="41"/>
    <w:p>
      <w:pPr>
        <w:ind w:right="1879"/>
        <w:spacing w:after="0" w:line="292" w:lineRule="auto"/>
        <w:rPr>
          <w:sz w:val="20"/>
          <w:szCs w:val="20"/>
          <w:color w:val="auto"/>
        </w:rPr>
      </w:pPr>
      <w:r>
        <w:rPr>
          <w:rFonts w:ascii="Courier New" w:cs="Courier New" w:eastAsia="Courier New" w:hAnsi="Courier New"/>
          <w:sz w:val="18"/>
          <w:szCs w:val="18"/>
          <w:color w:val="auto"/>
        </w:rPr>
        <w:t>the 10% decrease in the tax rate due to the repurchase of our 2% Notes, our effective tax rate for 2002 would have been 28%. See the discussion below under the caption "Effective Tax Rate".</w:t>
      </w:r>
    </w:p>
    <w:p>
      <w:pPr>
        <w:spacing w:after="0" w:line="66"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Net Income (Loss). Net income was $168.9 million in fiscal 2003, compared to a net loss of $5.1 million in fiscal 2002. Net income for fiscal 2003 included amortization of purchased intangible assets, restructuring charges and the cumulative effect of our 10% share in Certen's pre-acquisition results. Net loss for fiscal 2002 included amortization of goodwill and purchased intangible assets, restructuring charges, the write-off of in-process research and development and the gain from the repurchase of our 2% Notes.</w:t>
      </w:r>
    </w:p>
    <w:p>
      <w:pPr>
        <w:spacing w:after="0" w:line="72" w:lineRule="exact"/>
        <w:rPr>
          <w:sz w:val="20"/>
          <w:szCs w:val="20"/>
          <w:color w:val="auto"/>
        </w:rPr>
      </w:pPr>
    </w:p>
    <w:p>
      <w:pPr>
        <w:ind w:right="1779" w:firstLine="527"/>
        <w:spacing w:after="0" w:line="267" w:lineRule="auto"/>
        <w:rPr>
          <w:sz w:val="20"/>
          <w:szCs w:val="20"/>
          <w:color w:val="auto"/>
        </w:rPr>
      </w:pPr>
      <w:r>
        <w:rPr>
          <w:rFonts w:ascii="Courier New" w:cs="Courier New" w:eastAsia="Courier New" w:hAnsi="Courier New"/>
          <w:sz w:val="18"/>
          <w:szCs w:val="18"/>
          <w:color w:val="auto"/>
        </w:rPr>
        <w:t>Prior to fiscal 2003, goodwill was amortized using the straight-line method over its estimated period of benefit. Net income and earnings per share for fiscal 2002, adjusted to exclude amortization of goodwill and workforce-in-place, net of tax, are as follows (in millions, except per share data):</w:t>
      </w:r>
    </w:p>
    <w:p>
      <w:pPr>
        <w:spacing w:after="0" w:line="3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 ENDED SEPTEMBER 30, 2002 -------------</w:t>
      </w:r>
    </w:p>
    <w:p>
      <w:pPr>
        <w:spacing w:after="0" w:line="29"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Reported net</w:t>
      </w:r>
    </w:p>
    <w:p>
      <w:pPr>
        <w:spacing w:after="0" w:line="238" w:lineRule="auto"/>
        <w:rPr>
          <w:sz w:val="20"/>
          <w:szCs w:val="20"/>
          <w:color w:val="auto"/>
        </w:rPr>
      </w:pPr>
      <w:r>
        <w:rPr>
          <w:rFonts w:ascii="Courier New" w:cs="Courier New" w:eastAsia="Courier New" w:hAnsi="Courier New"/>
          <w:sz w:val="18"/>
          <w:szCs w:val="18"/>
          <w:color w:val="auto"/>
        </w:rPr>
        <w:t>loss...........................................</w:t>
      </w:r>
    </w:p>
    <w:p>
      <w:pPr>
        <w:ind w:left="160"/>
        <w:spacing w:after="0"/>
        <w:rPr>
          <w:sz w:val="20"/>
          <w:szCs w:val="20"/>
          <w:color w:val="auto"/>
        </w:rPr>
      </w:pPr>
      <w:r>
        <w:rPr>
          <w:rFonts w:ascii="Courier New" w:cs="Courier New" w:eastAsia="Courier New" w:hAnsi="Courier New"/>
          <w:sz w:val="18"/>
          <w:szCs w:val="18"/>
          <w:color w:val="auto"/>
        </w:rPr>
        <w:t>$ (5.1) Add back: goodwill and workforce-in-</w:t>
      </w:r>
    </w:p>
    <w:tbl>
      <w:tblPr>
        <w:tblLayout w:type="fixed"/>
        <w:tblInd w:w="0" w:type="dxa"/>
        <w:tblCellMar>
          <w:top w:w="0" w:type="dxa"/>
          <w:left w:w="0" w:type="dxa"/>
          <w:bottom w:w="0" w:type="dxa"/>
          <w:right w:w="0" w:type="dxa"/>
        </w:tblCellMar>
      </w:tblPr>
      <w:tr>
        <w:trPr>
          <w:trHeight w:val="171"/>
        </w:trPr>
        <w:tc>
          <w:tcPr>
            <w:tcW w:w="212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place amortization</w:t>
            </w:r>
          </w:p>
        </w:tc>
        <w:tc>
          <w:tcPr>
            <w:tcW w:w="2780" w:type="dxa"/>
            <w:vAlign w:val="bottom"/>
          </w:tcPr>
          <w:p>
            <w:pPr>
              <w:jc w:val="right"/>
              <w:ind w:right="72"/>
              <w:spacing w:after="0" w:line="170" w:lineRule="exact"/>
              <w:rPr>
                <w:sz w:val="20"/>
                <w:szCs w:val="20"/>
                <w:color w:val="auto"/>
              </w:rPr>
            </w:pPr>
            <w:r>
              <w:rPr>
                <w:rFonts w:ascii="Courier New" w:cs="Courier New" w:eastAsia="Courier New" w:hAnsi="Courier New"/>
                <w:sz w:val="18"/>
                <w:szCs w:val="18"/>
                <w:color w:val="auto"/>
                <w:w w:val="96"/>
              </w:rPr>
              <w:t>...... 204.6 Attributable</w:t>
            </w:r>
          </w:p>
        </w:tc>
        <w:tc>
          <w:tcPr>
            <w:tcW w:w="0" w:type="dxa"/>
            <w:vAlign w:val="bottom"/>
          </w:tcPr>
          <w:p>
            <w:pPr>
              <w:spacing w:after="0"/>
              <w:rPr>
                <w:sz w:val="1"/>
                <w:szCs w:val="1"/>
                <w:color w:val="auto"/>
              </w:rPr>
            </w:pPr>
          </w:p>
        </w:tc>
      </w:tr>
      <w:tr>
        <w:trPr>
          <w:trHeight w:val="296"/>
        </w:trPr>
        <w:tc>
          <w:tcPr>
            <w:tcW w:w="212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1"/>
              </w:rPr>
              <w:t>effect.....................................</w:t>
            </w:r>
            <w:r>
              <w:rPr>
                <w:rFonts w:ascii="Courier New" w:cs="Courier New" w:eastAsia="Courier New" w:hAnsi="Courier New"/>
                <w:sz w:val="15"/>
                <w:szCs w:val="15"/>
                <w:color w:val="auto"/>
                <w:w w:val="71"/>
                <w:vertAlign w:val="subscript"/>
              </w:rPr>
              <w:t>------</w:t>
            </w:r>
          </w:p>
        </w:tc>
        <w:tc>
          <w:tcPr>
            <w:tcW w:w="2780" w:type="dxa"/>
            <w:vAlign w:val="bottom"/>
          </w:tcPr>
          <w:p>
            <w:pPr>
              <w:jc w:val="center"/>
              <w:ind w:right="1972"/>
              <w:spacing w:after="0"/>
              <w:rPr>
                <w:sz w:val="20"/>
                <w:szCs w:val="20"/>
                <w:color w:val="auto"/>
              </w:rPr>
            </w:pPr>
            <w:r>
              <w:rPr>
                <w:rFonts w:ascii="Courier New" w:cs="Courier New" w:eastAsia="Courier New" w:hAnsi="Courier New"/>
                <w:sz w:val="18"/>
                <w:szCs w:val="18"/>
                <w:color w:val="auto"/>
                <w:w w:val="98"/>
              </w:rPr>
              <w:t>tax</w:t>
            </w:r>
          </w:p>
        </w:tc>
        <w:tc>
          <w:tcPr>
            <w:tcW w:w="0" w:type="dxa"/>
            <w:vAlign w:val="bottom"/>
          </w:tcPr>
          <w:p>
            <w:pPr>
              <w:spacing w:after="0"/>
              <w:rPr>
                <w:sz w:val="1"/>
                <w:szCs w:val="1"/>
                <w:color w:val="auto"/>
              </w:rPr>
            </w:pPr>
          </w:p>
        </w:tc>
      </w:tr>
      <w:tr>
        <w:trPr>
          <w:trHeight w:val="109"/>
        </w:trPr>
        <w:tc>
          <w:tcPr>
            <w:tcW w:w="2120" w:type="dxa"/>
            <w:vAlign w:val="bottom"/>
            <w:vMerge w:val="continue"/>
          </w:tcPr>
          <w:p>
            <w:pPr>
              <w:spacing w:after="0"/>
              <w:rPr>
                <w:sz w:val="9"/>
                <w:szCs w:val="9"/>
                <w:color w:val="auto"/>
              </w:rPr>
            </w:pPr>
          </w:p>
        </w:tc>
        <w:tc>
          <w:tcPr>
            <w:tcW w:w="2780" w:type="dxa"/>
            <w:vAlign w:val="bottom"/>
            <w:vMerge w:val="restart"/>
          </w:tcPr>
          <w:p>
            <w:pPr>
              <w:jc w:val="right"/>
              <w:ind w:right="1012"/>
              <w:spacing w:after="0"/>
              <w:rPr>
                <w:sz w:val="20"/>
                <w:szCs w:val="20"/>
                <w:color w:val="auto"/>
              </w:rPr>
            </w:pPr>
            <w:r>
              <w:rPr>
                <w:rFonts w:ascii="Courier New" w:cs="Courier New" w:eastAsia="Courier New" w:hAnsi="Courier New"/>
                <w:sz w:val="18"/>
                <w:szCs w:val="18"/>
                <w:color w:val="auto"/>
              </w:rPr>
              <w:t>Adjusted net</w:t>
            </w:r>
          </w:p>
        </w:tc>
        <w:tc>
          <w:tcPr>
            <w:tcW w:w="0" w:type="dxa"/>
            <w:vAlign w:val="bottom"/>
          </w:tcPr>
          <w:p>
            <w:pPr>
              <w:spacing w:after="0"/>
              <w:rPr>
                <w:sz w:val="1"/>
                <w:szCs w:val="1"/>
                <w:color w:val="auto"/>
              </w:rPr>
            </w:pPr>
          </w:p>
        </w:tc>
      </w:tr>
      <w:tr>
        <w:trPr>
          <w:trHeight w:val="203"/>
        </w:trPr>
        <w:tc>
          <w:tcPr>
            <w:tcW w:w="2120" w:type="dxa"/>
            <w:vAlign w:val="bottom"/>
          </w:tcPr>
          <w:p>
            <w:pPr>
              <w:jc w:val="right"/>
              <w:ind w:right="359"/>
              <w:spacing w:after="0" w:line="203" w:lineRule="exact"/>
              <w:rPr>
                <w:sz w:val="20"/>
                <w:szCs w:val="20"/>
                <w:color w:val="auto"/>
              </w:rPr>
            </w:pPr>
            <w:r>
              <w:rPr>
                <w:rFonts w:ascii="Courier New" w:cs="Courier New" w:eastAsia="Courier New" w:hAnsi="Courier New"/>
                <w:sz w:val="18"/>
                <w:szCs w:val="18"/>
                <w:color w:val="auto"/>
              </w:rPr>
              <w:t>(2.7)</w:t>
            </w: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income.........................................</w:t>
            </w:r>
          </w:p>
        </w:tc>
        <w:tc>
          <w:tcPr>
            <w:tcW w:w="0" w:type="dxa"/>
            <w:vAlign w:val="bottom"/>
          </w:tcPr>
          <w:p>
            <w:pPr>
              <w:spacing w:after="0"/>
              <w:rPr>
                <w:sz w:val="1"/>
                <w:szCs w:val="1"/>
                <w:color w:val="auto"/>
              </w:rPr>
            </w:pPr>
          </w:p>
        </w:tc>
      </w:tr>
      <w:tr>
        <w:trPr>
          <w:trHeight w:val="203"/>
        </w:trPr>
        <w:tc>
          <w:tcPr>
            <w:tcW w:w="4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$196.8 ====== Adjusted basic earnings per</w:t>
            </w:r>
          </w:p>
        </w:tc>
        <w:tc>
          <w:tcPr>
            <w:tcW w:w="0" w:type="dxa"/>
            <w:vAlign w:val="bottom"/>
          </w:tcPr>
          <w:p>
            <w:pPr>
              <w:spacing w:after="0"/>
              <w:rPr>
                <w:sz w:val="1"/>
                <w:szCs w:val="1"/>
                <w:color w:val="auto"/>
              </w:rPr>
            </w:pPr>
          </w:p>
        </w:tc>
      </w:tr>
      <w:tr>
        <w:trPr>
          <w:trHeight w:val="203"/>
        </w:trPr>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w w:val="72"/>
              </w:rPr>
              <w:t>share...........................</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$ 0.89 ======</w:t>
            </w:r>
          </w:p>
        </w:tc>
        <w:tc>
          <w:tcPr>
            <w:tcW w:w="0" w:type="dxa"/>
            <w:vAlign w:val="bottom"/>
          </w:tcPr>
          <w:p>
            <w:pPr>
              <w:spacing w:after="0"/>
              <w:rPr>
                <w:sz w:val="1"/>
                <w:szCs w:val="1"/>
                <w:color w:val="auto"/>
              </w:rPr>
            </w:pPr>
          </w:p>
        </w:tc>
      </w:tr>
      <w:tr>
        <w:trPr>
          <w:trHeight w:val="203"/>
        </w:trPr>
        <w:tc>
          <w:tcPr>
            <w:tcW w:w="4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Adjusted diluted earnings per</w:t>
            </w:r>
          </w:p>
        </w:tc>
        <w:tc>
          <w:tcPr>
            <w:tcW w:w="0" w:type="dxa"/>
            <w:vAlign w:val="bottom"/>
          </w:tcPr>
          <w:p>
            <w:pPr>
              <w:spacing w:after="0"/>
              <w:rPr>
                <w:sz w:val="1"/>
                <w:szCs w:val="1"/>
                <w:color w:val="auto"/>
              </w:rPr>
            </w:pPr>
          </w:p>
        </w:tc>
      </w:tr>
      <w:tr>
        <w:trPr>
          <w:trHeight w:val="296"/>
        </w:trPr>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w w:val="72"/>
              </w:rPr>
              <w:t>share.........................</w:t>
            </w:r>
          </w:p>
        </w:tc>
        <w:tc>
          <w:tcPr>
            <w:tcW w:w="2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$ 0.88 ======</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999" w:firstLine="527"/>
        <w:spacing w:after="0" w:line="402" w:lineRule="auto"/>
        <w:rPr>
          <w:sz w:val="20"/>
          <w:szCs w:val="20"/>
          <w:color w:val="auto"/>
        </w:rPr>
      </w:pPr>
      <w:r>
        <w:rPr>
          <w:rFonts w:ascii="Courier New" w:cs="Courier New" w:eastAsia="Courier New" w:hAnsi="Courier New"/>
          <w:sz w:val="16"/>
          <w:szCs w:val="16"/>
          <w:color w:val="auto"/>
        </w:rPr>
        <w:t>Diluted Earnings (Loss) Per Share. Diluted earnings per share were $0.77 for fiscal 2003, compared to net loss per share of $0.02 in fiscal 2002.</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FISCAL YEARS ENDED SEPTEMBER 30, 2002 AND 2001</w:t>
      </w:r>
    </w:p>
    <w:p>
      <w:pPr>
        <w:spacing w:after="0" w:line="201"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The following is a tabular presentation of our results of operations for the fiscal year ended September 30, 2002, compared to the fiscal year ended September 30, 2001. Following the table is a discussion and analysis of our business and results of operations for such years.</w:t>
      </w:r>
    </w:p>
    <w:p>
      <w:pPr>
        <w:spacing w:after="0" w:line="82"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YEAR ENDED SEPTEMBER 30, INCREASE</w:t>
      </w:r>
    </w:p>
    <w:p>
      <w:pPr>
        <w:spacing w:after="0" w:line="29"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(DECREASE) ------------------------- --</w:t>
      </w:r>
    </w:p>
    <w:p>
      <w:pPr>
        <w:jc w:val="center"/>
        <w:ind w:right="5999"/>
        <w:spacing w:after="0" w:line="238" w:lineRule="auto"/>
        <w:rPr>
          <w:sz w:val="20"/>
          <w:szCs w:val="20"/>
          <w:color w:val="auto"/>
        </w:rPr>
      </w:pPr>
      <w:r>
        <w:rPr>
          <w:rFonts w:ascii="Courier New" w:cs="Courier New" w:eastAsia="Courier New" w:hAnsi="Courier New"/>
          <w:sz w:val="18"/>
          <w:szCs w:val="18"/>
          <w:color w:val="auto"/>
        </w:rPr>
        <w:t>----------------- 2002 2001 AMOUNT % --</w:t>
      </w:r>
    </w:p>
    <w:p>
      <w:pPr>
        <w:jc w:val="center"/>
        <w:ind w:right="5999"/>
        <w:spacing w:after="0"/>
        <w:rPr>
          <w:sz w:val="20"/>
          <w:szCs w:val="20"/>
          <w:color w:val="auto"/>
        </w:rPr>
      </w:pPr>
      <w:r>
        <w:rPr>
          <w:rFonts w:ascii="Courier New" w:cs="Courier New" w:eastAsia="Courier New" w:hAnsi="Courier New"/>
          <w:sz w:val="18"/>
          <w:szCs w:val="18"/>
          <w:color w:val="auto"/>
        </w:rPr>
        <w:t>--------- ----------- ---------- ------</w:t>
      </w:r>
    </w:p>
    <w:p>
      <w:pPr>
        <w:jc w:val="center"/>
        <w:ind w:right="5999"/>
        <w:spacing w:after="0" w:line="238" w:lineRule="auto"/>
        <w:rPr>
          <w:sz w:val="20"/>
          <w:szCs w:val="20"/>
          <w:color w:val="auto"/>
        </w:rPr>
      </w:pPr>
      <w:r>
        <w:rPr>
          <w:rFonts w:ascii="Courier New" w:cs="Courier New" w:eastAsia="Courier New" w:hAnsi="Courier New"/>
          <w:sz w:val="18"/>
          <w:szCs w:val="18"/>
          <w:color w:val="auto"/>
        </w:rPr>
        <w:t>(IN THOUSANDS) Revenue:</w:t>
      </w:r>
    </w:p>
    <w:p>
      <w:pPr>
        <w:jc w:val="center"/>
        <w:ind w:right="5999"/>
        <w:spacing w:after="0"/>
        <w:rPr>
          <w:sz w:val="20"/>
          <w:szCs w:val="20"/>
          <w:color w:val="auto"/>
        </w:rPr>
      </w:pPr>
      <w:r>
        <w:rPr>
          <w:rFonts w:ascii="Courier New" w:cs="Courier New" w:eastAsia="Courier New" w:hAnsi="Courier New"/>
          <w:sz w:val="16"/>
          <w:szCs w:val="16"/>
          <w:color w:val="auto"/>
        </w:rPr>
        <w:t>License.................................</w:t>
      </w:r>
    </w:p>
    <w:p>
      <w:pPr>
        <w:spacing w:after="0" w:line="21" w:lineRule="exact"/>
        <w:rPr>
          <w:sz w:val="20"/>
          <w:szCs w:val="20"/>
          <w:color w:val="auto"/>
        </w:rPr>
      </w:pPr>
    </w:p>
    <w:p>
      <w:pPr>
        <w:ind w:right="5999" w:firstLine="113"/>
        <w:spacing w:after="0" w:line="268" w:lineRule="auto"/>
        <w:tabs>
          <w:tab w:leader="none" w:pos="316"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153,664 $ 171,430 $ (17,766) (10.4)% Service.................................</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1,459,901 1,362,480 97,421 7.2 --------</w:t>
      </w:r>
    </w:p>
    <w:p>
      <w:pPr>
        <w:ind w:left="380"/>
        <w:spacing w:after="0"/>
        <w:rPr>
          <w:sz w:val="20"/>
          <w:szCs w:val="20"/>
          <w:color w:val="auto"/>
        </w:rPr>
      </w:pPr>
      <w:r>
        <w:rPr>
          <w:rFonts w:ascii="Courier New" w:cs="Courier New" w:eastAsia="Courier New" w:hAnsi="Courier New"/>
          <w:sz w:val="18"/>
          <w:szCs w:val="18"/>
          <w:color w:val="auto"/>
        </w:rPr>
        <w:t>-- ---------- --------- 1,613,565</w:t>
      </w:r>
    </w:p>
    <w:p>
      <w:pPr>
        <w:ind w:left="60"/>
        <w:spacing w:after="0" w:line="238" w:lineRule="auto"/>
        <w:rPr>
          <w:sz w:val="20"/>
          <w:szCs w:val="20"/>
          <w:color w:val="auto"/>
        </w:rPr>
      </w:pPr>
      <w:r>
        <w:rPr>
          <w:rFonts w:ascii="Courier New" w:cs="Courier New" w:eastAsia="Courier New" w:hAnsi="Courier New"/>
          <w:sz w:val="18"/>
          <w:szCs w:val="18"/>
          <w:color w:val="auto"/>
        </w:rPr>
        <w:t>1,533,910 79,655 5.2 ---------- -------</w:t>
      </w:r>
    </w:p>
    <w:p>
      <w:pPr>
        <w:ind w:left="280" w:right="6099" w:hanging="167"/>
        <w:spacing w:after="0" w:line="268" w:lineRule="auto"/>
        <w:tabs>
          <w:tab w:leader="none" w:pos="54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Operating expenses: Cost of license.........................</w:t>
      </w:r>
    </w:p>
    <w:p>
      <w:pPr>
        <w:ind w:left="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5,984 5,651 333 5.9 Cost of</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service.........................</w:t>
      </w:r>
    </w:p>
    <w:p>
      <w:pPr>
        <w:spacing w:after="0" w:line="169"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development................ 124,082</w:t>
      </w:r>
    </w:p>
    <w:p>
      <w:pPr>
        <w:spacing w:after="0" w:line="29"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105,807 18,275 17.3 Selling, general</w:t>
      </w:r>
    </w:p>
    <w:p>
      <w:pPr>
        <w:jc w:val="center"/>
        <w:ind w:right="5999"/>
        <w:spacing w:after="0" w:line="238" w:lineRule="auto"/>
        <w:rPr>
          <w:sz w:val="20"/>
          <w:szCs w:val="20"/>
          <w:color w:val="auto"/>
        </w:rPr>
      </w:pPr>
      <w:r>
        <w:rPr>
          <w:rFonts w:ascii="Courier New" w:cs="Courier New" w:eastAsia="Courier New" w:hAnsi="Courier New"/>
          <w:sz w:val="18"/>
          <w:szCs w:val="18"/>
          <w:color w:val="auto"/>
        </w:rPr>
        <w:t>and administrative..... 223,551 195,592</w:t>
      </w:r>
    </w:p>
    <w:p>
      <w:pPr>
        <w:jc w:val="center"/>
        <w:ind w:right="5999"/>
        <w:spacing w:after="0"/>
        <w:rPr>
          <w:sz w:val="20"/>
          <w:szCs w:val="20"/>
          <w:color w:val="auto"/>
        </w:rPr>
      </w:pPr>
      <w:r>
        <w:rPr>
          <w:rFonts w:ascii="Courier New" w:cs="Courier New" w:eastAsia="Courier New" w:hAnsi="Courier New"/>
          <w:sz w:val="18"/>
          <w:szCs w:val="18"/>
          <w:color w:val="auto"/>
        </w:rPr>
        <w:t>27,959 14.3 Amortization of goodwill</w:t>
      </w:r>
    </w:p>
    <w:p>
      <w:pPr>
        <w:jc w:val="center"/>
        <w:ind w:right="5999"/>
        <w:spacing w:after="0" w:line="238" w:lineRule="auto"/>
        <w:rPr>
          <w:sz w:val="20"/>
          <w:szCs w:val="20"/>
          <w:color w:val="auto"/>
        </w:rPr>
      </w:pPr>
      <w:r>
        <w:rPr>
          <w:rFonts w:ascii="Courier New" w:cs="Courier New" w:eastAsia="Courier New" w:hAnsi="Courier New"/>
          <w:sz w:val="18"/>
          <w:szCs w:val="18"/>
          <w:color w:val="auto"/>
        </w:rPr>
        <w:t>and purchased intangible</w:t>
      </w:r>
    </w:p>
    <w:p>
      <w:pPr>
        <w:jc w:val="center"/>
        <w:ind w:right="5999"/>
        <w:spacing w:after="0"/>
        <w:rPr>
          <w:sz w:val="20"/>
          <w:szCs w:val="20"/>
          <w:color w:val="auto"/>
        </w:rPr>
      </w:pPr>
      <w:r>
        <w:rPr>
          <w:rFonts w:ascii="Courier New" w:cs="Courier New" w:eastAsia="Courier New" w:hAnsi="Courier New"/>
          <w:sz w:val="18"/>
          <w:szCs w:val="18"/>
          <w:color w:val="auto"/>
        </w:rPr>
        <w:t>assets.................... 231,804</w:t>
      </w:r>
    </w:p>
    <w:p>
      <w:pPr>
        <w:jc w:val="center"/>
        <w:ind w:right="5999"/>
        <w:spacing w:after="0" w:line="238" w:lineRule="auto"/>
        <w:rPr>
          <w:sz w:val="20"/>
          <w:szCs w:val="20"/>
          <w:color w:val="auto"/>
        </w:rPr>
      </w:pPr>
      <w:r>
        <w:rPr>
          <w:rFonts w:ascii="Courier New" w:cs="Courier New" w:eastAsia="Courier New" w:hAnsi="Courier New"/>
          <w:sz w:val="18"/>
          <w:szCs w:val="18"/>
          <w:color w:val="auto"/>
        </w:rPr>
        <w:t>219,988 11,816 5.4 Restructuring</w:t>
      </w:r>
    </w:p>
    <w:p>
      <w:pPr>
        <w:jc w:val="center"/>
        <w:ind w:right="5999"/>
        <w:spacing w:after="0"/>
        <w:rPr>
          <w:sz w:val="20"/>
          <w:szCs w:val="20"/>
          <w:color w:val="auto"/>
        </w:rPr>
      </w:pPr>
      <w:r>
        <w:rPr>
          <w:rFonts w:ascii="Courier New" w:cs="Courier New" w:eastAsia="Courier New" w:hAnsi="Courier New"/>
          <w:sz w:val="18"/>
          <w:szCs w:val="18"/>
          <w:color w:val="auto"/>
        </w:rPr>
        <w:t>charges and in-process research and</w:t>
      </w:r>
    </w:p>
    <w:tbl>
      <w:tblPr>
        <w:tblLayout w:type="fixed"/>
        <w:tblInd w:w="60" w:type="dxa"/>
        <w:tblCellMar>
          <w:top w:w="0" w:type="dxa"/>
          <w:left w:w="0" w:type="dxa"/>
          <w:bottom w:w="0" w:type="dxa"/>
          <w:right w:w="0" w:type="dxa"/>
        </w:tblCellMar>
      </w:tblPr>
      <w:tr>
        <w:trPr>
          <w:trHeight w:val="171"/>
        </w:trPr>
        <w:tc>
          <w:tcPr>
            <w:tcW w:w="1420" w:type="dxa"/>
            <w:vAlign w:val="bottom"/>
            <w:gridSpan w:val="2"/>
          </w:tcPr>
          <w:p>
            <w:pPr>
              <w:jc w:val="right"/>
              <w:spacing w:after="0" w:line="170" w:lineRule="exact"/>
              <w:rPr>
                <w:sz w:val="20"/>
                <w:szCs w:val="20"/>
                <w:color w:val="auto"/>
              </w:rPr>
            </w:pPr>
            <w:r>
              <w:rPr>
                <w:rFonts w:ascii="Courier New" w:cs="Courier New" w:eastAsia="Courier New" w:hAnsi="Courier New"/>
                <w:sz w:val="18"/>
                <w:szCs w:val="18"/>
                <w:color w:val="auto"/>
              </w:rPr>
              <w:t>development</w:t>
            </w:r>
          </w:p>
        </w:tc>
        <w:tc>
          <w:tcPr>
            <w:tcW w:w="1460" w:type="dxa"/>
            <w:vAlign w:val="bottom"/>
            <w:gridSpan w:val="2"/>
          </w:tcPr>
          <w:p>
            <w:pPr>
              <w:jc w:val="right"/>
              <w:spacing w:after="0" w:line="170" w:lineRule="exact"/>
              <w:rPr>
                <w:sz w:val="20"/>
                <w:szCs w:val="20"/>
                <w:color w:val="auto"/>
              </w:rPr>
            </w:pPr>
            <w:r>
              <w:rPr>
                <w:rFonts w:ascii="Courier New" w:cs="Courier New" w:eastAsia="Courier New" w:hAnsi="Courier New"/>
                <w:sz w:val="18"/>
                <w:szCs w:val="18"/>
                <w:color w:val="auto"/>
                <w:w w:val="96"/>
              </w:rPr>
              <w:t>.............</w:t>
            </w:r>
          </w:p>
        </w:tc>
        <w:tc>
          <w:tcPr>
            <w:tcW w:w="1220" w:type="dxa"/>
            <w:vAlign w:val="bottom"/>
          </w:tcPr>
          <w:p>
            <w:pPr>
              <w:jc w:val="right"/>
              <w:ind w:right="172"/>
              <w:spacing w:after="0" w:line="170" w:lineRule="exact"/>
              <w:rPr>
                <w:sz w:val="20"/>
                <w:szCs w:val="20"/>
                <w:color w:val="auto"/>
              </w:rPr>
            </w:pPr>
            <w:r>
              <w:rPr>
                <w:rFonts w:ascii="Courier New" w:cs="Courier New" w:eastAsia="Courier New" w:hAnsi="Courier New"/>
                <w:sz w:val="18"/>
                <w:szCs w:val="18"/>
                <w:color w:val="auto"/>
                <w:w w:val="96"/>
              </w:rPr>
              <w:t>51,630 --</w:t>
            </w:r>
          </w:p>
        </w:tc>
      </w:tr>
      <w:tr>
        <w:trPr>
          <w:trHeight w:val="203"/>
        </w:trPr>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51,630 ----------</w:t>
            </w:r>
          </w:p>
        </w:tc>
        <w:tc>
          <w:tcPr>
            <w:tcW w:w="2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35"/>
        </w:trPr>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1,564,404</w:t>
            </w:r>
          </w:p>
        </w:tc>
        <w:tc>
          <w:tcPr>
            <w:tcW w:w="10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4"/>
              </w:rPr>
              <w:t>1,374,629</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w w:val="95"/>
              </w:rPr>
              <w:t>189,775</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13.8 ------</w:t>
            </w:r>
          </w:p>
        </w:tc>
      </w:tr>
    </w:tbl>
    <w:p>
      <w:pPr>
        <w:ind w:left="800"/>
        <w:spacing w:after="0"/>
        <w:rPr>
          <w:sz w:val="20"/>
          <w:szCs w:val="20"/>
          <w:color w:val="auto"/>
        </w:rPr>
      </w:pPr>
      <w:r>
        <w:rPr>
          <w:rFonts w:ascii="Courier New" w:cs="Courier New" w:eastAsia="Courier New" w:hAnsi="Courier New"/>
          <w:sz w:val="18"/>
          <w:szCs w:val="18"/>
          <w:color w:val="auto"/>
        </w:rPr>
        <w:t>---- ---------- ---------</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691" w:right="1440" w:bottom="591" w:gutter="0" w:footer="0" w:header="0"/>
        </w:sectPr>
      </w:pPr>
    </w:p>
    <w:bookmarkStart w:id="42" w:name="page43"/>
    <w:bookmarkEnd w:id="42"/>
    <w:p>
      <w:pPr>
        <w:ind w:left="120"/>
        <w:spacing w:after="0"/>
        <w:rPr>
          <w:sz w:val="20"/>
          <w:szCs w:val="20"/>
          <w:color w:val="auto"/>
        </w:rPr>
      </w:pPr>
      <w:r>
        <w:rPr>
          <w:rFonts w:ascii="Courier New" w:cs="Courier New" w:eastAsia="Courier New" w:hAnsi="Courier New"/>
          <w:sz w:val="18"/>
          <w:szCs w:val="18"/>
          <w:color w:val="auto"/>
        </w:rPr>
        <w:t>YEAR ENDED SEPTEMBER 30, INCREASE</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(DECREASE) -----------------------</w:t>
      </w:r>
    </w:p>
    <w:p>
      <w:pPr>
        <w:ind w:left="160"/>
        <w:spacing w:after="0" w:line="238" w:lineRule="auto"/>
        <w:rPr>
          <w:sz w:val="20"/>
          <w:szCs w:val="20"/>
          <w:color w:val="auto"/>
        </w:rPr>
      </w:pPr>
      <w:r>
        <w:rPr>
          <w:rFonts w:ascii="Courier New" w:cs="Courier New" w:eastAsia="Courier New" w:hAnsi="Courier New"/>
          <w:sz w:val="18"/>
          <w:szCs w:val="18"/>
          <w:color w:val="auto"/>
        </w:rPr>
        <w:t>-- ------------------- 2002 2001</w:t>
      </w:r>
    </w:p>
    <w:tbl>
      <w:tblPr>
        <w:tblLayout w:type="fixed"/>
        <w:tblInd w:w="60" w:type="dxa"/>
        <w:tblCellMar>
          <w:top w:w="0" w:type="dxa"/>
          <w:left w:w="0" w:type="dxa"/>
          <w:bottom w:w="0" w:type="dxa"/>
          <w:right w:w="0" w:type="dxa"/>
        </w:tblCellMar>
      </w:tblPr>
      <w:tr>
        <w:trPr>
          <w:trHeight w:val="171"/>
        </w:trPr>
        <w:tc>
          <w:tcPr>
            <w:tcW w:w="1740" w:type="dxa"/>
            <w:vAlign w:val="bottom"/>
            <w:gridSpan w:val="2"/>
          </w:tcPr>
          <w:p>
            <w:pPr>
              <w:spacing w:after="0" w:line="171" w:lineRule="exact"/>
              <w:rPr>
                <w:sz w:val="20"/>
                <w:szCs w:val="20"/>
                <w:color w:val="auto"/>
              </w:rPr>
            </w:pPr>
            <w:r>
              <w:rPr>
                <w:rFonts w:ascii="Courier New" w:cs="Courier New" w:eastAsia="Courier New" w:hAnsi="Courier New"/>
                <w:sz w:val="18"/>
                <w:szCs w:val="18"/>
                <w:color w:val="auto"/>
                <w:w w:val="79"/>
              </w:rPr>
              <w:t>AMOUNT % -----------</w:t>
            </w:r>
          </w:p>
        </w:tc>
        <w:tc>
          <w:tcPr>
            <w:tcW w:w="1840" w:type="dxa"/>
            <w:vAlign w:val="bottom"/>
            <w:gridSpan w:val="2"/>
          </w:tcPr>
          <w:p>
            <w:pPr>
              <w:jc w:val="right"/>
              <w:spacing w:after="0" w:line="171"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840" w:type="dxa"/>
            <w:vAlign w:val="bottom"/>
          </w:tcPr>
          <w:p>
            <w:pPr>
              <w:ind w:left="160"/>
              <w:spacing w:after="0"/>
              <w:rPr>
                <w:sz w:val="20"/>
                <w:szCs w:val="20"/>
                <w:color w:val="auto"/>
              </w:rPr>
            </w:pPr>
            <w:r>
              <w:rPr>
                <w:rFonts w:ascii="Courier New" w:cs="Courier New" w:eastAsia="Courier New" w:hAnsi="Courier New"/>
                <w:sz w:val="16"/>
                <w:szCs w:val="16"/>
                <w:color w:val="auto"/>
                <w:w w:val="76"/>
              </w:rPr>
              <w:t>---------</w:t>
            </w:r>
          </w:p>
        </w:tc>
        <w:tc>
          <w:tcPr>
            <w:tcW w:w="27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 (IN THOUSANDS)</w:t>
            </w:r>
          </w:p>
        </w:tc>
        <w:tc>
          <w:tcPr>
            <w:tcW w:w="0" w:type="dxa"/>
            <w:vAlign w:val="bottom"/>
          </w:tcPr>
          <w:p>
            <w:pPr>
              <w:spacing w:after="0"/>
              <w:rPr>
                <w:sz w:val="1"/>
                <w:szCs w:val="1"/>
                <w:color w:val="auto"/>
              </w:rPr>
            </w:pPr>
          </w:p>
        </w:tc>
      </w:tr>
      <w:tr>
        <w:trPr>
          <w:trHeight w:val="296"/>
        </w:trPr>
        <w:tc>
          <w:tcPr>
            <w:tcW w:w="840" w:type="dxa"/>
            <w:vAlign w:val="bottom"/>
            <w:vMerge w:val="restart"/>
          </w:tcPr>
          <w:p>
            <w:pPr>
              <w:jc w:val="right"/>
              <w:spacing w:after="0"/>
              <w:rPr>
                <w:sz w:val="20"/>
                <w:szCs w:val="20"/>
                <w:color w:val="auto"/>
              </w:rPr>
            </w:pPr>
            <w:r>
              <w:rPr>
                <w:rFonts w:ascii="Courier New" w:cs="Courier New" w:eastAsia="Courier New" w:hAnsi="Courier New"/>
                <w:sz w:val="5"/>
                <w:szCs w:val="5"/>
                <w:color w:val="auto"/>
                <w:w w:val="85"/>
              </w:rPr>
              <w:t>income..........................</w:t>
            </w:r>
          </w:p>
        </w:tc>
        <w:tc>
          <w:tcPr>
            <w:tcW w:w="188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6"/>
              </w:rPr>
              <w:t>Operating</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840" w:type="dxa"/>
            <w:vAlign w:val="bottom"/>
            <w:vMerge w:val="continue"/>
          </w:tcPr>
          <w:p>
            <w:pPr>
              <w:spacing w:after="0"/>
              <w:rPr>
                <w:sz w:val="9"/>
                <w:szCs w:val="9"/>
                <w:color w:val="auto"/>
              </w:rPr>
            </w:pPr>
          </w:p>
        </w:tc>
        <w:tc>
          <w:tcPr>
            <w:tcW w:w="900" w:type="dxa"/>
            <w:vAlign w:val="bottom"/>
            <w:vMerge w:val="restart"/>
          </w:tcPr>
          <w:p>
            <w:pPr>
              <w:jc w:val="right"/>
              <w:ind w:right="19"/>
              <w:spacing w:after="0"/>
              <w:rPr>
                <w:sz w:val="20"/>
                <w:szCs w:val="20"/>
                <w:color w:val="auto"/>
              </w:rPr>
            </w:pPr>
            <w:r>
              <w:rPr>
                <w:rFonts w:ascii="Courier New" w:cs="Courier New" w:eastAsia="Courier New" w:hAnsi="Courier New"/>
                <w:sz w:val="18"/>
                <w:szCs w:val="18"/>
                <w:color w:val="auto"/>
              </w:rPr>
              <w:t>159,281</w:t>
            </w:r>
          </w:p>
        </w:tc>
        <w:tc>
          <w:tcPr>
            <w:tcW w:w="9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(110,120)</w:t>
            </w:r>
          </w:p>
        </w:tc>
        <w:tc>
          <w:tcPr>
            <w:tcW w:w="8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(69.1)</w:t>
            </w:r>
          </w:p>
        </w:tc>
        <w:tc>
          <w:tcPr>
            <w:tcW w:w="0" w:type="dxa"/>
            <w:vAlign w:val="bottom"/>
          </w:tcPr>
          <w:p>
            <w:pPr>
              <w:spacing w:after="0"/>
              <w:rPr>
                <w:sz w:val="1"/>
                <w:szCs w:val="1"/>
                <w:color w:val="auto"/>
              </w:rPr>
            </w:pPr>
          </w:p>
        </w:tc>
      </w:tr>
      <w:tr>
        <w:trPr>
          <w:trHeight w:val="203"/>
        </w:trPr>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49,161</w:t>
            </w:r>
          </w:p>
        </w:tc>
        <w:tc>
          <w:tcPr>
            <w:tcW w:w="9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Interest income and other,</w:t>
            </w:r>
          </w:p>
        </w:tc>
        <w:tc>
          <w:tcPr>
            <w:tcW w:w="0" w:type="dxa"/>
            <w:vAlign w:val="bottom"/>
          </w:tcPr>
          <w:p>
            <w:pPr>
              <w:spacing w:after="0"/>
              <w:rPr>
                <w:sz w:val="1"/>
                <w:szCs w:val="1"/>
                <w:color w:val="auto"/>
              </w:rPr>
            </w:pPr>
          </w:p>
        </w:tc>
      </w:tr>
      <w:tr>
        <w:trPr>
          <w:trHeight w:val="203"/>
        </w:trPr>
        <w:tc>
          <w:tcPr>
            <w:tcW w:w="840" w:type="dxa"/>
            <w:vAlign w:val="bottom"/>
          </w:tcPr>
          <w:p>
            <w:pPr>
              <w:jc w:val="right"/>
              <w:spacing w:after="0"/>
              <w:rPr>
                <w:sz w:val="20"/>
                <w:szCs w:val="20"/>
                <w:color w:val="auto"/>
              </w:rPr>
            </w:pPr>
            <w:r>
              <w:rPr>
                <w:rFonts w:ascii="Courier New" w:cs="Courier New" w:eastAsia="Courier New" w:hAnsi="Courier New"/>
                <w:sz w:val="13"/>
                <w:szCs w:val="13"/>
                <w:color w:val="auto"/>
                <w:w w:val="70"/>
              </w:rPr>
              <w:t>net............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1"/>
              </w:rPr>
              <w:t>(13.4) ----------</w:t>
            </w:r>
          </w:p>
        </w:tc>
        <w:tc>
          <w:tcPr>
            <w:tcW w:w="1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19,298 22,286</w:t>
            </w:r>
          </w:p>
        </w:tc>
        <w:tc>
          <w:tcPr>
            <w:tcW w:w="0" w:type="dxa"/>
            <w:vAlign w:val="bottom"/>
          </w:tcPr>
          <w:p>
            <w:pPr>
              <w:spacing w:after="0"/>
              <w:rPr>
                <w:sz w:val="1"/>
                <w:szCs w:val="1"/>
                <w:color w:val="auto"/>
              </w:rPr>
            </w:pPr>
          </w:p>
        </w:tc>
      </w:tr>
      <w:tr>
        <w:trPr>
          <w:trHeight w:val="235"/>
        </w:trPr>
        <w:tc>
          <w:tcPr>
            <w:tcW w:w="840" w:type="dxa"/>
            <w:vAlign w:val="bottom"/>
          </w:tcPr>
          <w:p>
            <w:pPr>
              <w:spacing w:after="0"/>
              <w:rPr>
                <w:sz w:val="20"/>
                <w:szCs w:val="20"/>
                <w:color w:val="auto"/>
              </w:rPr>
            </w:pPr>
            <w:r>
              <w:rPr>
                <w:rFonts w:ascii="Courier New" w:cs="Courier New" w:eastAsia="Courier New" w:hAnsi="Courier New"/>
                <w:sz w:val="18"/>
                <w:szCs w:val="18"/>
                <w:color w:val="auto"/>
              </w:rPr>
              <w:t>(2,988)</w:t>
            </w:r>
          </w:p>
        </w:tc>
        <w:tc>
          <w:tcPr>
            <w:tcW w:w="900" w:type="dxa"/>
            <w:vAlign w:val="bottom"/>
            <w:vMerge w:val="continue"/>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bl>
    <w:p>
      <w:pPr>
        <w:ind w:left="120"/>
        <w:spacing w:after="0" w:line="238" w:lineRule="auto"/>
        <w:rPr>
          <w:sz w:val="20"/>
          <w:szCs w:val="20"/>
          <w:color w:val="auto"/>
        </w:rPr>
      </w:pPr>
      <w:r>
        <w:rPr>
          <w:rFonts w:ascii="Courier New" w:cs="Courier New" w:eastAsia="Courier New" w:hAnsi="Courier New"/>
          <w:sz w:val="18"/>
          <w:szCs w:val="18"/>
          <w:color w:val="auto"/>
        </w:rPr>
        <w:t>-- --------- Income before income</w:t>
      </w:r>
    </w:p>
    <w:p>
      <w:pPr>
        <w:ind w:left="380"/>
        <w:spacing w:after="0"/>
        <w:rPr>
          <w:sz w:val="20"/>
          <w:szCs w:val="20"/>
          <w:color w:val="auto"/>
        </w:rPr>
      </w:pPr>
      <w:r>
        <w:rPr>
          <w:rFonts w:ascii="Courier New" w:cs="Courier New" w:eastAsia="Courier New" w:hAnsi="Courier New"/>
          <w:sz w:val="18"/>
          <w:szCs w:val="18"/>
          <w:color w:val="auto"/>
        </w:rPr>
        <w:t>taxes................ 68,459</w:t>
      </w:r>
    </w:p>
    <w:p>
      <w:pPr>
        <w:ind w:left="220"/>
        <w:spacing w:after="0" w:line="238" w:lineRule="auto"/>
        <w:rPr>
          <w:sz w:val="20"/>
          <w:szCs w:val="20"/>
          <w:color w:val="auto"/>
        </w:rPr>
      </w:pPr>
      <w:r>
        <w:rPr>
          <w:rFonts w:ascii="Courier New" w:cs="Courier New" w:eastAsia="Courier New" w:hAnsi="Courier New"/>
          <w:sz w:val="18"/>
          <w:szCs w:val="18"/>
          <w:color w:val="auto"/>
        </w:rPr>
        <w:t>181,567 (113,108) (62.3) Income</w:t>
      </w:r>
    </w:p>
    <w:p>
      <w:pPr>
        <w:spacing w:after="0"/>
        <w:rPr>
          <w:sz w:val="20"/>
          <w:szCs w:val="20"/>
          <w:color w:val="auto"/>
        </w:rPr>
      </w:pPr>
      <w:r>
        <w:rPr>
          <w:rFonts w:ascii="Courier New" w:cs="Courier New" w:eastAsia="Courier New" w:hAnsi="Courier New"/>
          <w:sz w:val="18"/>
          <w:szCs w:val="18"/>
          <w:color w:val="auto"/>
        </w:rPr>
        <w:t>taxes..............................</w:t>
      </w:r>
    </w:p>
    <w:p>
      <w:pPr>
        <w:jc w:val="center"/>
        <w:ind w:right="6519"/>
        <w:spacing w:after="0" w:line="238" w:lineRule="auto"/>
        <w:rPr>
          <w:sz w:val="20"/>
          <w:szCs w:val="20"/>
          <w:color w:val="auto"/>
        </w:rPr>
      </w:pPr>
      <w:r>
        <w:rPr>
          <w:rFonts w:ascii="Courier New" w:cs="Courier New" w:eastAsia="Courier New" w:hAnsi="Courier New"/>
          <w:sz w:val="18"/>
          <w:szCs w:val="18"/>
          <w:color w:val="auto"/>
        </w:rPr>
        <w:t>73,520 115,181 (41,661) (36.2) ---</w:t>
      </w:r>
    </w:p>
    <w:p>
      <w:pPr>
        <w:ind w:left="160"/>
        <w:spacing w:after="0"/>
        <w:rPr>
          <w:sz w:val="20"/>
          <w:szCs w:val="20"/>
          <w:color w:val="auto"/>
        </w:rPr>
      </w:pPr>
      <w:r>
        <w:rPr>
          <w:rFonts w:ascii="Courier New" w:cs="Courier New" w:eastAsia="Courier New" w:hAnsi="Courier New"/>
          <w:sz w:val="18"/>
          <w:szCs w:val="18"/>
          <w:color w:val="auto"/>
        </w:rPr>
        <w:t>------- ---------- --------- Net</w:t>
      </w:r>
    </w:p>
    <w:tbl>
      <w:tblPr>
        <w:tblLayout w:type="fixed"/>
        <w:tblInd w:w="120" w:type="dxa"/>
        <w:tblCellMar>
          <w:top w:w="0" w:type="dxa"/>
          <w:left w:w="0" w:type="dxa"/>
          <w:bottom w:w="0" w:type="dxa"/>
          <w:right w:w="0" w:type="dxa"/>
        </w:tblCellMar>
      </w:tblPr>
      <w:tr>
        <w:trPr>
          <w:trHeight w:val="296"/>
        </w:trPr>
        <w:tc>
          <w:tcPr>
            <w:tcW w:w="116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6"/>
              </w:rPr>
              <w:t>income.........................</w:t>
            </w:r>
          </w:p>
        </w:tc>
        <w:tc>
          <w:tcPr>
            <w:tcW w:w="920" w:type="dxa"/>
            <w:vAlign w:val="bottom"/>
          </w:tcPr>
          <w:p>
            <w:pPr>
              <w:jc w:val="right"/>
              <w:spacing w:after="0"/>
              <w:rPr>
                <w:sz w:val="20"/>
                <w:szCs w:val="20"/>
                <w:color w:val="auto"/>
              </w:rPr>
            </w:pPr>
            <w:r>
              <w:rPr>
                <w:rFonts w:ascii="Courier New" w:cs="Courier New" w:eastAsia="Courier New" w:hAnsi="Courier New"/>
                <w:sz w:val="18"/>
                <w:szCs w:val="18"/>
                <w:color w:val="auto"/>
              </w:rPr>
              <w:t>(loss)</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77"/>
        </w:trPr>
        <w:tc>
          <w:tcPr>
            <w:tcW w:w="1160" w:type="dxa"/>
            <w:vAlign w:val="bottom"/>
            <w:vMerge w:val="continue"/>
          </w:tcPr>
          <w:p>
            <w:pPr>
              <w:spacing w:after="0"/>
              <w:rPr>
                <w:sz w:val="6"/>
                <w:szCs w:val="6"/>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$ 66,386</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1160" w:type="dxa"/>
            <w:vAlign w:val="bottom"/>
          </w:tcPr>
          <w:p>
            <w:pPr>
              <w:jc w:val="right"/>
              <w:ind w:right="57"/>
              <w:spacing w:after="0"/>
              <w:rPr>
                <w:sz w:val="20"/>
                <w:szCs w:val="20"/>
                <w:color w:val="auto"/>
              </w:rPr>
            </w:pPr>
            <w:r>
              <w:rPr>
                <w:rFonts w:ascii="Courier New" w:cs="Courier New" w:eastAsia="Courier New" w:hAnsi="Courier New"/>
                <w:sz w:val="18"/>
                <w:szCs w:val="18"/>
                <w:color w:val="auto"/>
              </w:rPr>
              <w:t>(5,061)</w:t>
            </w:r>
          </w:p>
        </w:tc>
        <w:tc>
          <w:tcPr>
            <w:tcW w:w="920" w:type="dxa"/>
            <w:vAlign w:val="bottom"/>
            <w:vMerge w:val="continue"/>
          </w:tcPr>
          <w:p>
            <w:pPr>
              <w:spacing w:after="0"/>
              <w:rPr>
                <w:sz w:val="20"/>
                <w:szCs w:val="20"/>
                <w:color w:val="auto"/>
              </w:rPr>
            </w:pPr>
          </w:p>
        </w:tc>
        <w:tc>
          <w:tcPr>
            <w:tcW w:w="14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8"/>
              </w:rPr>
              <w:t>$ (71,447)</w:t>
            </w:r>
          </w:p>
        </w:tc>
        <w:tc>
          <w:tcPr>
            <w:tcW w:w="0" w:type="dxa"/>
            <w:vAlign w:val="bottom"/>
          </w:tcPr>
          <w:p>
            <w:pPr>
              <w:spacing w:after="0"/>
              <w:rPr>
                <w:sz w:val="1"/>
                <w:szCs w:val="1"/>
                <w:color w:val="auto"/>
              </w:rPr>
            </w:pPr>
          </w:p>
        </w:tc>
      </w:tr>
    </w:tbl>
    <w:p>
      <w:pPr>
        <w:ind w:left="220"/>
        <w:spacing w:after="0"/>
        <w:rPr>
          <w:sz w:val="20"/>
          <w:szCs w:val="20"/>
          <w:color w:val="auto"/>
        </w:rPr>
      </w:pPr>
      <w:r>
        <w:rPr>
          <w:rFonts w:ascii="Courier New" w:cs="Courier New" w:eastAsia="Courier New" w:hAnsi="Courier New"/>
          <w:sz w:val="18"/>
          <w:szCs w:val="18"/>
          <w:color w:val="auto"/>
        </w:rPr>
        <w:t>========== ========== =========</w:t>
      </w:r>
    </w:p>
    <w:p>
      <w:pPr>
        <w:spacing w:after="0" w:line="372"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Revenue. Total revenue increased by $79.7 million, or 5.2%, in the fiscal year ended September 30, 2002 to $1,613.6 million from $1,553.9 million in fiscal 2001. This growth rate was significantly less than the 37.2% revenue increase we had been able to achieve between fiscal 2000 and 2001, as a result of the pronounced decrease in our CC&amp;B Systems revenue in the second half of fiscal 2002, partially offset by revenue attributable to our acquisition of Clarify. While CC&amp;B Systems revenue levels in the first six months of fiscal 2002 were 23.8% higher than revenue levels for CC&amp;B Systems in the comparable period of fiscal 2001, and 6.3% higher sequentially based on a comparison of our second to our first fiscal quarters of 2002, CC&amp;B Systems revenue declined significantly in the second six months of fiscal 2002. We experienced a $130.6 million, or 16.6%, decline in revenue from our CC&amp;B Systems between the first half and second half of fiscal 2002 and sequential declines of $65.9 million or 16.3% and $23.0 million or 6.8%, between the second and third fiscal quarters and third and fourth fiscal quarters of 2002, respectively.</w:t>
      </w:r>
    </w:p>
    <w:p>
      <w:pPr>
        <w:spacing w:after="0" w:line="106"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The quarterly trends in our total revenue in fiscal 2002 and 2001 are summarized below (in millions):</w:t>
      </w:r>
    </w:p>
    <w:p>
      <w:pPr>
        <w:spacing w:after="0" w:line="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Q1 Q2 Q3 Q4 ------ ------ ------ ------ Fiscal</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2002................................................</w:t>
      </w:r>
    </w:p>
    <w:p>
      <w:pPr>
        <w:jc w:val="center"/>
        <w:ind w:right="4739"/>
        <w:spacing w:after="0" w:line="238" w:lineRule="auto"/>
        <w:rPr>
          <w:sz w:val="20"/>
          <w:szCs w:val="20"/>
          <w:color w:val="auto"/>
        </w:rPr>
      </w:pPr>
      <w:r>
        <w:rPr>
          <w:rFonts w:ascii="Courier New" w:cs="Courier New" w:eastAsia="Courier New" w:hAnsi="Courier New"/>
          <w:sz w:val="18"/>
          <w:szCs w:val="18"/>
          <w:color w:val="auto"/>
        </w:rPr>
        <w:t>$422.6 $455.3 $380.2 $355.5 Fiscal</w:t>
      </w:r>
    </w:p>
    <w:p>
      <w:pPr>
        <w:spacing w:after="0"/>
        <w:rPr>
          <w:sz w:val="20"/>
          <w:szCs w:val="20"/>
          <w:color w:val="auto"/>
        </w:rPr>
      </w:pPr>
      <w:r>
        <w:rPr>
          <w:rFonts w:ascii="Courier New" w:cs="Courier New" w:eastAsia="Courier New" w:hAnsi="Courier New"/>
          <w:sz w:val="18"/>
          <w:szCs w:val="18"/>
          <w:color w:val="auto"/>
        </w:rPr>
        <w:t>2001................................................</w:t>
      </w:r>
    </w:p>
    <w:p>
      <w:pPr>
        <w:ind w:left="1320"/>
        <w:spacing w:after="0"/>
        <w:rPr>
          <w:sz w:val="20"/>
          <w:szCs w:val="20"/>
          <w:color w:val="auto"/>
        </w:rPr>
      </w:pPr>
      <w:r>
        <w:rPr>
          <w:rFonts w:ascii="Courier New" w:cs="Courier New" w:eastAsia="Courier New" w:hAnsi="Courier New"/>
          <w:sz w:val="18"/>
          <w:szCs w:val="18"/>
          <w:color w:val="auto"/>
        </w:rPr>
        <w:t>$342.2 $372.3 $404.0 $415.4</w:t>
      </w:r>
    </w:p>
    <w:p>
      <w:pPr>
        <w:spacing w:after="0" w:line="372"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License revenue decreased by $17.8 million, or 10.4%, in the fiscal year ended September 30, 2002 to $153.7 million from $171.4 million in fiscal 2001. Service revenue increased by $97.4 million, or 7.2%, in the fiscal year ended September 30, 2002 to $1,459.9 million from $1,362.5 million in fiscal 2001. The decrease in license revenue and the smaller than expected growth in service revenue are attributable to the slowdown in customer buying decisions in the second half of fiscal 2002, stemming from overall reductions in the capital investment budgets of many communications service providers. This reduction in investment by our customers resulted in our obtaining fewer new contracts than expected and smaller than expected initial spending commitments under contracts with some of our customers. The smaller than anticipated increase in service revenue was also attributable, in part, to reduced discretionary spending under contracts with some of our customers in the second half of fiscal 2002.</w:t>
      </w:r>
    </w:p>
    <w:p>
      <w:pPr>
        <w:spacing w:after="0" w:line="290"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Total CC&amp;B Systems revenue increased by $60.3 million, or 4.4%, in the fiscal year ended September 30, 2002 to $1,440.0 million from $1,379.7 million in fiscal 2001. As a result of the Clarify acquisition, we derived a portion of our CC&amp;B Systems revenue in fiscal 2002 from customers other than communications service providers. The increase in our CC&amp;B Systems revenue for fiscal 2002 was attributable to such customers. License and service revenue from the sale of CC&amp;B Systems represented 89.2% and 89.9% of our total revenue in fiscal years 2002 and 2001, respectively. During fiscal 2002, the demand for our CC&amp;B Systems was primarily driven by the need for communications companies to continue to upgrade their customer care and billing, CRM software and order management systems in response to competition in the subscriber markets, the need to offer new data services and the need to improve productivity and operational efficiency. In addition, demand for our CC&amp;B Systems was enhanced by our acquisition of Clarify, which added Clarify's CRM software to our CC&amp;B Systems portfolio of offerings.</w:t>
      </w:r>
    </w:p>
    <w:p>
      <w:pPr>
        <w:sectPr>
          <w:pgSz w:w="11900" w:h="16838" w:orient="portrait"/>
          <w:cols w:equalWidth="0" w:num="1">
            <w:col w:w="10219"/>
          </w:cols>
          <w:pgMar w:left="240" w:top="691" w:right="1440" w:bottom="0" w:gutter="0" w:footer="0" w:header="0"/>
        </w:sectPr>
      </w:pPr>
    </w:p>
    <w:bookmarkStart w:id="43" w:name="page44"/>
    <w:bookmarkEnd w:id="43"/>
    <w:p>
      <w:pPr>
        <w:ind w:right="1779" w:firstLine="527"/>
        <w:spacing w:after="0" w:line="318" w:lineRule="auto"/>
        <w:rPr>
          <w:sz w:val="20"/>
          <w:szCs w:val="20"/>
          <w:color w:val="auto"/>
        </w:rPr>
      </w:pPr>
      <w:r>
        <w:rPr>
          <w:rFonts w:ascii="Courier New" w:cs="Courier New" w:eastAsia="Courier New" w:hAnsi="Courier New"/>
          <w:sz w:val="16"/>
          <w:szCs w:val="16"/>
          <w:color w:val="auto"/>
        </w:rPr>
        <w:t>Revenue from Directory Systems increased by $19.3 million, or 12.5%, in the fiscal year ended September 30, 2002 to $173.6 million from $ 154.2 million in fiscal 2001. The increase was attributable to extensions of agreements with, and additional services rendered to, existing customers. License and service</w:t>
      </w:r>
    </w:p>
    <w:p>
      <w:pPr>
        <w:spacing w:after="0" w:line="5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312" w:right="1440" w:bottom="1440" w:gutter="0" w:footer="0" w:header="0"/>
        </w:sectPr>
      </w:pPr>
    </w:p>
    <w:bookmarkStart w:id="44" w:name="page45"/>
    <w:bookmarkEnd w:id="44"/>
    <w:p>
      <w:pPr>
        <w:ind w:right="2099"/>
        <w:spacing w:after="0" w:line="347" w:lineRule="auto"/>
        <w:rPr>
          <w:sz w:val="20"/>
          <w:szCs w:val="20"/>
          <w:color w:val="auto"/>
        </w:rPr>
      </w:pPr>
      <w:r>
        <w:rPr>
          <w:rFonts w:ascii="Courier New" w:cs="Courier New" w:eastAsia="Courier New" w:hAnsi="Courier New"/>
          <w:sz w:val="18"/>
          <w:szCs w:val="18"/>
          <w:color w:val="auto"/>
        </w:rPr>
        <w:t>revenue from the sale of Directory Systems represented 10.8% and 10.1% of our total revenue in fiscal years 2002 and 2001, respectively.</w:t>
      </w:r>
    </w:p>
    <w:p>
      <w:pPr>
        <w:spacing w:after="0" w:line="18"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fiscal 2002, revenue from customers in North America, Europe and the rest of the world accounted for 61.9%, 28.9% and 9.2%, respectively, compared to 53.8%, 35.8% and 10.4%, respectively, for fiscal 2001. As a result of the Clarify acquisition, $39.9 million of the growth in North American revenue in fiscal 2002 was attributable to customers other than communications service providers, and the remaining $133.9 million of the increase was attributable to extensions of agreements with, and additional services rendered to, existing customers. The decrease in Europe and in the rest of the world was attributable to the completion of projects, which accounted for $94.1 million of revenue in fiscal 2001.</w:t>
      </w:r>
    </w:p>
    <w:p>
      <w:pPr>
        <w:spacing w:after="0" w:line="104"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Cost of License. Cost of license for fiscal 2002 was $6.0 million, an increase of $0.3 million, or 5.9%, over the cost of license for fiscal 2001. Cost of license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Cost of license, as a percentage of license revenue, for fiscal 2002 and fiscal 2001, was 3.9% and 3.3%, respectively.</w:t>
      </w:r>
    </w:p>
    <w:p>
      <w:pPr>
        <w:spacing w:after="0" w:line="99"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Cost of Service. The increase in cost of service in fiscal 2002 was 9.4%, which was higher than 5.2%, the increase in our total revenue in fiscal 2002, and resulted in a 2.1% decrease in our gross margin, as a percentage of revenue. The increase in cost of service as a percentage of revenue was attributable to the decrease in license revenue of $17.8 million and the slight decrease in the gross margin of our service revenue in the second half of fiscal 2002. As a result of general economic and other factors negatively impacting our markets, we took steps to decrease our costs. See the discussion above under the caption "Operational Efficiency and Cost Reduction Programs".</w:t>
      </w:r>
    </w:p>
    <w:p>
      <w:pPr>
        <w:spacing w:after="0" w:line="99" w:lineRule="exact"/>
        <w:rPr>
          <w:sz w:val="20"/>
          <w:szCs w:val="20"/>
          <w:color w:val="auto"/>
        </w:rPr>
      </w:pPr>
    </w:p>
    <w:p>
      <w:pPr>
        <w:ind w:left="540"/>
        <w:spacing w:after="0"/>
        <w:tabs>
          <w:tab w:leader="none" w:pos="3360" w:val="left"/>
        </w:tabs>
        <w:rPr>
          <w:sz w:val="20"/>
          <w:szCs w:val="20"/>
          <w:color w:val="auto"/>
        </w:rPr>
      </w:pPr>
      <w:r>
        <w:rPr>
          <w:rFonts w:ascii="Courier New" w:cs="Courier New" w:eastAsia="Courier New" w:hAnsi="Courier New"/>
          <w:sz w:val="18"/>
          <w:szCs w:val="18"/>
          <w:color w:val="auto"/>
        </w:rPr>
        <w:t>Research and Development.</w:t>
      </w:r>
      <w:r>
        <w:rPr>
          <w:sz w:val="20"/>
          <w:szCs w:val="20"/>
          <w:color w:val="auto"/>
        </w:rPr>
        <w:tab/>
      </w:r>
      <w:r>
        <w:rPr>
          <w:rFonts w:ascii="Courier New" w:cs="Courier New" w:eastAsia="Courier New" w:hAnsi="Courier New"/>
          <w:sz w:val="16"/>
          <w:szCs w:val="16"/>
          <w:color w:val="auto"/>
        </w:rPr>
        <w:t>Research and development expense was primarily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comprised of compensation expense attributable to research and development</w:t>
      </w:r>
    </w:p>
    <w:p>
      <w:pPr>
        <w:spacing w:after="0" w:line="238" w:lineRule="auto"/>
        <w:rPr>
          <w:sz w:val="20"/>
          <w:szCs w:val="20"/>
          <w:color w:val="auto"/>
        </w:rPr>
      </w:pPr>
      <w:r>
        <w:rPr>
          <w:rFonts w:ascii="Courier New" w:cs="Courier New" w:eastAsia="Courier New" w:hAnsi="Courier New"/>
          <w:sz w:val="18"/>
          <w:szCs w:val="18"/>
          <w:color w:val="auto"/>
        </w:rPr>
        <w:t>activities, which involve the development of new software modules and product</w:t>
      </w:r>
    </w:p>
    <w:p>
      <w:pPr>
        <w:spacing w:after="0"/>
        <w:rPr>
          <w:sz w:val="20"/>
          <w:szCs w:val="20"/>
          <w:color w:val="auto"/>
        </w:rPr>
      </w:pPr>
      <w:r>
        <w:rPr>
          <w:rFonts w:ascii="Courier New" w:cs="Courier New" w:eastAsia="Courier New" w:hAnsi="Courier New"/>
          <w:sz w:val="18"/>
          <w:szCs w:val="18"/>
          <w:color w:val="auto"/>
        </w:rPr>
        <w:t>offerings, either in conjunction with customer projects or as part of our</w:t>
      </w:r>
    </w:p>
    <w:p>
      <w:pPr>
        <w:spacing w:after="0"/>
        <w:rPr>
          <w:sz w:val="20"/>
          <w:szCs w:val="20"/>
          <w:color w:val="auto"/>
        </w:rPr>
      </w:pPr>
      <w:r>
        <w:rPr>
          <w:rFonts w:ascii="Courier New" w:cs="Courier New" w:eastAsia="Courier New" w:hAnsi="Courier New"/>
          <w:sz w:val="16"/>
          <w:szCs w:val="16"/>
          <w:color w:val="auto"/>
        </w:rPr>
        <w:t>internal product development program. Research and development expense increased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$18.3 million, or 17.3%, in the fiscal year ended September 30, 2002 to</w:t>
      </w:r>
    </w:p>
    <w:p>
      <w:pPr>
        <w:spacing w:after="0"/>
        <w:rPr>
          <w:sz w:val="20"/>
          <w:szCs w:val="20"/>
          <w:color w:val="auto"/>
        </w:rPr>
      </w:pPr>
      <w:r>
        <w:rPr>
          <w:rFonts w:ascii="Courier New" w:cs="Courier New" w:eastAsia="Courier New" w:hAnsi="Courier New"/>
          <w:sz w:val="16"/>
          <w:szCs w:val="16"/>
          <w:color w:val="auto"/>
        </w:rPr>
        <w:t>$124.1 million, or 7.7% of revenue, from $105.8 million, or 6.9% of revenue,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2001. The increase in expense reflects ongoing expenditures primarily for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CC&amp;B Systems and the remainder for Directory Systems. Our research and</w:t>
      </w:r>
    </w:p>
    <w:p>
      <w:pPr>
        <w:spacing w:after="0"/>
        <w:rPr>
          <w:sz w:val="20"/>
          <w:szCs w:val="20"/>
          <w:color w:val="auto"/>
        </w:rPr>
      </w:pPr>
      <w:r>
        <w:rPr>
          <w:rFonts w:ascii="Courier New" w:cs="Courier New" w:eastAsia="Courier New" w:hAnsi="Courier New"/>
          <w:sz w:val="16"/>
          <w:szCs w:val="16"/>
          <w:color w:val="auto"/>
        </w:rPr>
        <w:t>development budget, like all of our costs, is sensitive to our overall financial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 A decrease in our total revenue could, in certain circumstances, lead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reductions in the levels of our research and development expenditures. See</w:t>
      </w:r>
    </w:p>
    <w:p>
      <w:pPr>
        <w:spacing w:after="0" w:line="238" w:lineRule="auto"/>
        <w:rPr>
          <w:sz w:val="20"/>
          <w:szCs w:val="20"/>
          <w:color w:val="auto"/>
        </w:rPr>
      </w:pPr>
      <w:r>
        <w:rPr>
          <w:rFonts w:ascii="Courier New" w:cs="Courier New" w:eastAsia="Courier New" w:hAnsi="Courier New"/>
          <w:sz w:val="18"/>
          <w:szCs w:val="18"/>
          <w:color w:val="auto"/>
        </w:rPr>
        <w:t>the discussion above under the caption "Research and Development, Patents and</w:t>
      </w:r>
    </w:p>
    <w:p>
      <w:pPr>
        <w:spacing w:after="0"/>
        <w:rPr>
          <w:sz w:val="20"/>
          <w:szCs w:val="20"/>
          <w:color w:val="auto"/>
        </w:rPr>
      </w:pPr>
      <w:r>
        <w:rPr>
          <w:rFonts w:ascii="Courier New" w:cs="Courier New" w:eastAsia="Courier New" w:hAnsi="Courier New"/>
          <w:sz w:val="18"/>
          <w:szCs w:val="18"/>
          <w:color w:val="auto"/>
        </w:rPr>
        <w:t>Licenses".</w:t>
      </w:r>
    </w:p>
    <w:p>
      <w:pPr>
        <w:spacing w:after="0" w:line="169"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Selling, General and Administrative. Selling, general and administrative expense increased by $28.0 million, or 14.3%, in the fiscal year ended September 30, 2002 $223.6 million, or 13.9% of revenue, in fiscal 2002 from $195.6 million, or 12.7% of revenue, in fiscal 2001. The increase in selling, general and administrative expense as a percentage, by 1.2%, of revenue was attributable primarily to the increase in our selling and marketing efforts in fiscal 2002 and, to a lesser degree, to the reduction in our revenue growth, which was not offset by a corresponding decrease in our selling, general and administrative expense.</w:t>
      </w:r>
    </w:p>
    <w:p>
      <w:pPr>
        <w:spacing w:after="0" w:line="99" w:lineRule="exact"/>
        <w:rPr>
          <w:sz w:val="20"/>
          <w:szCs w:val="20"/>
          <w:color w:val="auto"/>
        </w:rPr>
      </w:pPr>
    </w:p>
    <w:p>
      <w:pPr>
        <w:ind w:right="1879" w:firstLine="527"/>
        <w:spacing w:after="0" w:line="247" w:lineRule="auto"/>
        <w:rPr>
          <w:sz w:val="20"/>
          <w:szCs w:val="20"/>
          <w:color w:val="auto"/>
        </w:rPr>
      </w:pPr>
      <w:r>
        <w:rPr>
          <w:rFonts w:ascii="Courier New" w:cs="Courier New" w:eastAsia="Courier New" w:hAnsi="Courier New"/>
          <w:sz w:val="18"/>
          <w:szCs w:val="18"/>
          <w:color w:val="auto"/>
        </w:rPr>
        <w:t>Amortization of Goodwill and Purchased Intangible Assets. Amortization of goodwill and purchased intangible assets for fiscal 2002 was $231.8 million, compared to $220.0 million in fiscal 2001. The increase in amortization expense in fiscal 2002 was due to non-goodwill related amortization resulting from the Clarify acquisition. In accordance with SFAS No. 142, goodwill related to Clarify, an acquisition completed after July 1, 2001, is not amortized, but is subject to periodic impairment tests. For acquisitions completed prior to July 1, 2001, under SFAS No. 142 amortization of goodwill and certain other intangibles, such as workforce-in-place, ceased on October 1, 2002. In fiscal 2002 and 2001, total amortization related to such goodwill and workforce-in-place was $204.6 million. Effective as of October 1, 2002, we adopted SFAS No. 142 and goodwill related to our acquisitions is no longer amortized. Instead,</w:t>
      </w:r>
    </w:p>
    <w:p>
      <w:pPr>
        <w:spacing w:after="0" w:line="1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691" w:right="1440" w:bottom="591" w:gutter="0" w:footer="0" w:header="0"/>
        </w:sectPr>
      </w:pPr>
    </w:p>
    <w:bookmarkStart w:id="45" w:name="page46"/>
    <w:bookmarkEnd w:id="45"/>
    <w:p>
      <w:pPr>
        <w:ind w:right="2319"/>
        <w:spacing w:after="0" w:line="347" w:lineRule="auto"/>
        <w:rPr>
          <w:sz w:val="20"/>
          <w:szCs w:val="20"/>
          <w:color w:val="auto"/>
        </w:rPr>
      </w:pPr>
      <w:r>
        <w:rPr>
          <w:rFonts w:ascii="Courier New" w:cs="Courier New" w:eastAsia="Courier New" w:hAnsi="Courier New"/>
          <w:sz w:val="18"/>
          <w:szCs w:val="18"/>
          <w:color w:val="auto"/>
        </w:rPr>
        <w:t>any such goodwill became subject only to the same periodic impairment tests applicable to Clarify-related goodwill.</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Restructuring Charges and In-Process Research and</w:t>
      </w:r>
    </w:p>
    <w:p>
      <w:pPr>
        <w:spacing w:after="0" w:line="31" w:lineRule="exact"/>
        <w:rPr>
          <w:sz w:val="20"/>
          <w:szCs w:val="20"/>
          <w:color w:val="auto"/>
        </w:rPr>
      </w:pPr>
    </w:p>
    <w:p>
      <w:pPr>
        <w:ind w:right="1879"/>
        <w:spacing w:after="0" w:line="247" w:lineRule="auto"/>
        <w:rPr>
          <w:sz w:val="20"/>
          <w:szCs w:val="20"/>
          <w:color w:val="auto"/>
        </w:rPr>
      </w:pPr>
      <w:r>
        <w:rPr>
          <w:rFonts w:ascii="Courier New" w:cs="Courier New" w:eastAsia="Courier New" w:hAnsi="Courier New"/>
          <w:sz w:val="18"/>
          <w:szCs w:val="18"/>
          <w:color w:val="auto"/>
        </w:rPr>
        <w:t>Development. Restructuring charges and in-process research and development in fiscal 2002 consisted of a one-time charge of $17.4 million for write-off of purchased in-process research and development resulting from the Clarify transaction, a restructuring charge of $13.3 million related to the consolidation of data centers and the resulting closure of our Stamford, Connecticut facility and a restructuring charge of $20.9 million related to the cost reduction program we implemented in the fourth quarter of fiscal 2002. See the discussion above under the caption "Operational Efficiency and Cost Reduction Programs".</w:t>
      </w:r>
    </w:p>
    <w:p>
      <w:pPr>
        <w:spacing w:after="0" w:line="105"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Operating Income. Operating income decreased by $110.1 million, or 69.1%, in the fiscal year ended September 30, 2002, to $49.2 million, or 3.0% of revenue, from $159.3 million, or 10.4% of revenue, in fiscal 2001. The decrease resulted primarily from the reduction in our revenue growth in fiscal 2002, which was not offset by a corresponding decrease in our costs, as well as from the Clarify acquisition-related charges and the restructuring charges resulting from the Stamford facility closing and the implementation of our cost reduction program.</w:t>
      </w:r>
    </w:p>
    <w:p>
      <w:pPr>
        <w:spacing w:after="0" w:line="104"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Operating income for fiscal 2002 included amortization of goodwill and purchased intangible assets of $231.8 million, restructuring charges of $34.2 million and the write-off of in-process research and development of $17.4 million. Operating income for fiscal 2001 included amortization of goodwill and purchased intangible assets of $220.0 million.</w:t>
      </w:r>
    </w:p>
    <w:p>
      <w:pPr>
        <w:spacing w:after="0" w:line="90"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Interest Income and Other, Net. Interest income and other, net, decreased by $3.0 million, or 13.4%, in the fiscal year ended September 30, 2002 to $19.3 million from $22.3 million in fiscal 2001. The decrease in interest income and other, net, was attributable to the full-year interest expense and amortization of debt issuance costs related to our 2% Notes, compared to four months of these costs in fiscal 2001. The decrease in interest income and other, net, was partially offset by gain of $6.0 million from the repurchase of our 2% Notes. See the discussion above under the caption "Convertible Notes".</w:t>
      </w:r>
    </w:p>
    <w:p>
      <w:pPr>
        <w:spacing w:after="0" w:line="77"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Income Taxes. Income taxes for fiscal 2002 were $73.5 million on pretax income of $68.5 million, resulting in an effective tax rate of 107%. This effective tax rate was attributable to the fact that non-cash amortization of goodwill related to acquisitions (much of which is not tax deductible) represented a large component of our pretax income. Excluding the effect of such non-deductible non-cash amortization of goodwill (which accounted for 89% of the effective tax rate) and offsetting such 89% by the 10% decrease in the tax rate due to the repurchase of our 2% Notes, our effective tax rate for 2002 would have been 28%. See the discussion below under the caption "Effective Tax Rate". Income taxes for fiscal 2001 were $115.2 million on pretax income of $181.6 million, resulting in an effective tax rate of 63%. This effective tax rate was attributable to the fact that non-cash amortization of goodwill related to acquisitions (much of which is not tax deductible) represented a significant component of our pretax income. Excluding the effect of such non-deductible non-cash amortization of goodwill (which accounted for 33% of the effective tax rate), our effective tax rate for 2001 would have been 30%.</w:t>
      </w:r>
    </w:p>
    <w:p>
      <w:pPr>
        <w:spacing w:after="0" w:line="295"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Net (Loss) Income. We incurred a net loss of $5.1 million in fiscal 2002, compared to net income of $66.4 million in fiscal 2001. The net loss in fiscal 2002 resulted primarily from a decrease in our license revenue and the reduction in our revenue growth in fiscal 2002, which was not offset by a corresponding decrease in our costs, as well as from the Clarify acquisition-related charges and the restructuring charges resulting from the Stamford facility closing and the implementation of the cost reduction program. Our adoption of SFAS No. 142 as of October 1, 2002 had a positive impact on our results of operations in fiscal 2003. As a result of the adoption, we no longer amortize the goodwill from any of our acquisitions. Instead, any such goodwill is subject only to periodic impairment tests.</w:t>
      </w:r>
    </w:p>
    <w:p>
      <w:pPr>
        <w:spacing w:after="0" w:line="104" w:lineRule="exact"/>
        <w:rPr>
          <w:sz w:val="20"/>
          <w:szCs w:val="20"/>
          <w:color w:val="auto"/>
        </w:rPr>
      </w:pPr>
    </w:p>
    <w:p>
      <w:pPr>
        <w:jc w:val="both"/>
        <w:ind w:right="1879" w:firstLine="527"/>
        <w:spacing w:after="0" w:line="318" w:lineRule="auto"/>
        <w:rPr>
          <w:sz w:val="20"/>
          <w:szCs w:val="20"/>
          <w:color w:val="auto"/>
        </w:rPr>
      </w:pPr>
      <w:r>
        <w:rPr>
          <w:rFonts w:ascii="Courier New" w:cs="Courier New" w:eastAsia="Courier New" w:hAnsi="Courier New"/>
          <w:sz w:val="16"/>
          <w:szCs w:val="16"/>
          <w:color w:val="auto"/>
        </w:rPr>
        <w:t>Net income for fiscal 2001 included amortization of goodwill and purchased intangible assets. Net income for fiscal 2002 included amortization of goodwill and purchased intangible assets, purchased in-process research and development, restructuring charges and the gain from the repurchase of our 2% Notes.</w:t>
      </w:r>
    </w:p>
    <w:p>
      <w:pPr>
        <w:spacing w:after="0" w:line="5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691" w:right="1440" w:bottom="793" w:gutter="0" w:footer="0" w:header="0"/>
        </w:sectPr>
      </w:pPr>
    </w:p>
    <w:bookmarkStart w:id="46" w:name="page47"/>
    <w:bookmarkEnd w:id="46"/>
    <w:p>
      <w:pPr>
        <w:ind w:right="2839" w:firstLine="527"/>
        <w:spacing w:after="0" w:line="347" w:lineRule="auto"/>
        <w:rPr>
          <w:sz w:val="20"/>
          <w:szCs w:val="20"/>
          <w:color w:val="auto"/>
        </w:rPr>
      </w:pPr>
      <w:r>
        <w:rPr>
          <w:rFonts w:ascii="Courier New" w:cs="Courier New" w:eastAsia="Courier New" w:hAnsi="Courier New"/>
          <w:sz w:val="18"/>
          <w:szCs w:val="18"/>
          <w:color w:val="auto"/>
        </w:rPr>
        <w:t>Set forth below is the effect of non-amortization of goodwill and workforce-in-place (in millions, except per share data):</w:t>
      </w:r>
    </w:p>
    <w:p>
      <w:pPr>
        <w:spacing w:after="0" w:line="18"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YEAR ENDED SEPTEMBER 30, --------------- 2002</w:t>
      </w:r>
    </w:p>
    <w:p>
      <w:pPr>
        <w:spacing w:after="0" w:line="29"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2001 ------ ------ Reported net (loss)</w:t>
      </w:r>
    </w:p>
    <w:p>
      <w:pPr>
        <w:jc w:val="center"/>
        <w:ind w:right="5259"/>
        <w:spacing w:after="0" w:line="238" w:lineRule="auto"/>
        <w:rPr>
          <w:sz w:val="20"/>
          <w:szCs w:val="20"/>
          <w:color w:val="auto"/>
        </w:rPr>
      </w:pPr>
      <w:r>
        <w:rPr>
          <w:rFonts w:ascii="Courier New" w:cs="Courier New" w:eastAsia="Courier New" w:hAnsi="Courier New"/>
          <w:sz w:val="18"/>
          <w:szCs w:val="18"/>
          <w:color w:val="auto"/>
        </w:rPr>
        <w:t>income.................................. $</w:t>
      </w:r>
    </w:p>
    <w:p>
      <w:pPr>
        <w:ind w:left="60"/>
        <w:spacing w:after="0"/>
        <w:rPr>
          <w:sz w:val="20"/>
          <w:szCs w:val="20"/>
          <w:color w:val="auto"/>
        </w:rPr>
      </w:pPr>
      <w:r>
        <w:rPr>
          <w:rFonts w:ascii="Courier New" w:cs="Courier New" w:eastAsia="Courier New" w:hAnsi="Courier New"/>
          <w:sz w:val="18"/>
          <w:szCs w:val="18"/>
          <w:color w:val="auto"/>
        </w:rPr>
        <w:t>(5.1) $ 66.4 Add back: goodwill and workforce-</w:t>
      </w:r>
    </w:p>
    <w:tbl>
      <w:tblPr>
        <w:tblLayout w:type="fixed"/>
        <w:tblInd w:w="0" w:type="dxa"/>
        <w:tblCellMar>
          <w:top w:w="0" w:type="dxa"/>
          <w:left w:w="0" w:type="dxa"/>
          <w:bottom w:w="0" w:type="dxa"/>
          <w:right w:w="0" w:type="dxa"/>
        </w:tblCellMar>
      </w:tblPr>
      <w:tr>
        <w:trPr>
          <w:trHeight w:val="171"/>
        </w:trPr>
        <w:tc>
          <w:tcPr>
            <w:tcW w:w="3340" w:type="dxa"/>
            <w:vAlign w:val="bottom"/>
            <w:gridSpan w:val="2"/>
          </w:tcPr>
          <w:p>
            <w:pPr>
              <w:ind w:left="420"/>
              <w:spacing w:after="0" w:line="170" w:lineRule="exact"/>
              <w:rPr>
                <w:sz w:val="20"/>
                <w:szCs w:val="20"/>
                <w:color w:val="auto"/>
              </w:rPr>
            </w:pPr>
            <w:r>
              <w:rPr>
                <w:rFonts w:ascii="Courier New" w:cs="Courier New" w:eastAsia="Courier New" w:hAnsi="Courier New"/>
                <w:sz w:val="18"/>
                <w:szCs w:val="18"/>
                <w:color w:val="auto"/>
                <w:w w:val="99"/>
              </w:rPr>
              <w:t>in-place amortizations.....</w:t>
            </w:r>
          </w:p>
        </w:tc>
        <w:tc>
          <w:tcPr>
            <w:tcW w:w="1360" w:type="dxa"/>
            <w:vAlign w:val="bottom"/>
          </w:tcPr>
          <w:p>
            <w:pPr>
              <w:jc w:val="right"/>
              <w:ind w:right="72"/>
              <w:spacing w:after="0" w:line="170" w:lineRule="exact"/>
              <w:rPr>
                <w:sz w:val="20"/>
                <w:szCs w:val="20"/>
                <w:color w:val="auto"/>
              </w:rPr>
            </w:pPr>
            <w:r>
              <w:rPr>
                <w:rFonts w:ascii="Courier New" w:cs="Courier New" w:eastAsia="Courier New" w:hAnsi="Courier New"/>
                <w:sz w:val="18"/>
                <w:szCs w:val="18"/>
                <w:color w:val="auto"/>
                <w:w w:val="99"/>
              </w:rPr>
              <w:t>204.6 204.6</w:t>
            </w:r>
          </w:p>
        </w:tc>
        <w:tc>
          <w:tcPr>
            <w:tcW w:w="0" w:type="dxa"/>
            <w:vAlign w:val="bottom"/>
          </w:tcPr>
          <w:p>
            <w:pPr>
              <w:spacing w:after="0"/>
              <w:rPr>
                <w:sz w:val="1"/>
                <w:szCs w:val="1"/>
                <w:color w:val="auto"/>
              </w:rPr>
            </w:pPr>
          </w:p>
        </w:tc>
      </w:tr>
      <w:tr>
        <w:trPr>
          <w:trHeight w:val="296"/>
        </w:trPr>
        <w:tc>
          <w:tcPr>
            <w:tcW w:w="164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8"/>
              </w:rPr>
              <w:t>effect.....................................</w:t>
            </w:r>
          </w:p>
        </w:tc>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Attributable tax</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640" w:type="dxa"/>
            <w:vAlign w:val="bottom"/>
            <w:vMerge w:val="continue"/>
          </w:tcPr>
          <w:p>
            <w:pPr>
              <w:spacing w:after="0"/>
              <w:rPr>
                <w:sz w:val="9"/>
                <w:szCs w:val="9"/>
                <w:color w:val="auto"/>
              </w:rPr>
            </w:pPr>
          </w:p>
        </w:tc>
        <w:tc>
          <w:tcPr>
            <w:tcW w:w="3060" w:type="dxa"/>
            <w:vAlign w:val="bottom"/>
            <w:gridSpan w:val="2"/>
            <w:vMerge w:val="restart"/>
          </w:tcPr>
          <w:p>
            <w:pPr>
              <w:ind w:left="100"/>
              <w:spacing w:after="0"/>
              <w:rPr>
                <w:sz w:val="20"/>
                <w:szCs w:val="20"/>
                <w:color w:val="auto"/>
              </w:rPr>
            </w:pPr>
            <w:r>
              <w:rPr>
                <w:rFonts w:ascii="Courier New" w:cs="Courier New" w:eastAsia="Courier New" w:hAnsi="Courier New"/>
                <w:sz w:val="18"/>
                <w:szCs w:val="18"/>
                <w:color w:val="auto"/>
              </w:rPr>
              <w:t>------ ------ Adjusted net</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 (2.7)</w:t>
            </w:r>
          </w:p>
        </w:tc>
        <w:tc>
          <w:tcPr>
            <w:tcW w:w="3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8"/>
                <w:szCs w:val="8"/>
                <w:color w:val="auto"/>
                <w:w w:val="71"/>
              </w:rPr>
              <w:t>income.........................................</w:t>
            </w:r>
          </w:p>
        </w:tc>
        <w:tc>
          <w:tcPr>
            <w:tcW w:w="3060" w:type="dxa"/>
            <w:vAlign w:val="bottom"/>
            <w:gridSpan w:val="2"/>
            <w:vMerge w:val="restart"/>
          </w:tcPr>
          <w:p>
            <w:pPr>
              <w:ind w:left="100"/>
              <w:spacing w:after="0"/>
              <w:rPr>
                <w:sz w:val="20"/>
                <w:szCs w:val="20"/>
                <w:color w:val="auto"/>
              </w:rPr>
            </w:pPr>
            <w:r>
              <w:rPr>
                <w:rFonts w:ascii="Courier New" w:cs="Courier New" w:eastAsia="Courier New" w:hAnsi="Courier New"/>
                <w:sz w:val="18"/>
                <w:szCs w:val="18"/>
                <w:color w:val="auto"/>
                <w:w w:val="97"/>
              </w:rPr>
              <w:t>====== ====== Adjusted basic</w:t>
            </w:r>
          </w:p>
        </w:tc>
        <w:tc>
          <w:tcPr>
            <w:tcW w:w="0" w:type="dxa"/>
            <w:vAlign w:val="bottom"/>
          </w:tcPr>
          <w:p>
            <w:pPr>
              <w:spacing w:after="0"/>
              <w:rPr>
                <w:sz w:val="1"/>
                <w:szCs w:val="1"/>
                <w:color w:val="auto"/>
              </w:rPr>
            </w:pPr>
          </w:p>
        </w:tc>
      </w:tr>
      <w:tr>
        <w:trPr>
          <w:trHeight w:val="235"/>
        </w:trPr>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$196.8 $268.3</w:t>
            </w:r>
          </w:p>
        </w:tc>
        <w:tc>
          <w:tcPr>
            <w:tcW w:w="30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00"/>
        <w:spacing w:after="0" w:line="238" w:lineRule="auto"/>
        <w:rPr>
          <w:sz w:val="20"/>
          <w:szCs w:val="20"/>
          <w:color w:val="auto"/>
        </w:rPr>
      </w:pPr>
      <w:r>
        <w:rPr>
          <w:rFonts w:ascii="Courier New" w:cs="Courier New" w:eastAsia="Courier New" w:hAnsi="Courier New"/>
          <w:sz w:val="18"/>
          <w:szCs w:val="18"/>
          <w:color w:val="auto"/>
        </w:rPr>
        <w:t>earnings per share...........................</w:t>
      </w:r>
    </w:p>
    <w:p>
      <w:pPr>
        <w:ind w:left="100" w:right="5359" w:firstLine="62"/>
        <w:spacing w:after="0" w:line="323" w:lineRule="auto"/>
        <w:tabs>
          <w:tab w:leader="none" w:pos="36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0.89 $ 1.21 ====== ====== Adjusted diluted earnings per share......................... $ 0.88 $ 1.18 ====== ======</w:t>
      </w:r>
    </w:p>
    <w:p>
      <w:pPr>
        <w:spacing w:after="0" w:line="249" w:lineRule="exact"/>
        <w:rPr>
          <w:sz w:val="20"/>
          <w:szCs w:val="20"/>
          <w:color w:val="auto"/>
        </w:rPr>
      </w:pPr>
    </w:p>
    <w:p>
      <w:pPr>
        <w:ind w:right="2099" w:firstLine="527"/>
        <w:spacing w:after="0" w:line="402" w:lineRule="auto"/>
        <w:rPr>
          <w:sz w:val="20"/>
          <w:szCs w:val="20"/>
          <w:color w:val="auto"/>
        </w:rPr>
      </w:pPr>
      <w:r>
        <w:rPr>
          <w:rFonts w:ascii="Courier New" w:cs="Courier New" w:eastAsia="Courier New" w:hAnsi="Courier New"/>
          <w:sz w:val="16"/>
          <w:szCs w:val="16"/>
          <w:color w:val="auto"/>
        </w:rPr>
        <w:t>Diluted (Loss) Earnings Per Share. Diluted loss per share was $0.02 for fiscal 2002, compared to diluted earnings per share of $0.29 in fiscal 2001.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ind w:right="1879" w:firstLine="527"/>
        <w:spacing w:after="0" w:line="278" w:lineRule="auto"/>
        <w:rPr>
          <w:sz w:val="20"/>
          <w:szCs w:val="20"/>
          <w:color w:val="auto"/>
        </w:rPr>
      </w:pPr>
      <w:r>
        <w:rPr>
          <w:rFonts w:ascii="Courier New" w:cs="Courier New" w:eastAsia="Courier New" w:hAnsi="Courier New"/>
          <w:sz w:val="16"/>
          <w:szCs w:val="16"/>
          <w:color w:val="auto"/>
        </w:rPr>
        <w:t>Cash, cash equivalents and short-term interest-bearing investments totaled $1,290.9 million as of September 30, 2003, compared to $1,047.8 million as of September 30, 2002. The increase is attributable primarily to cash flows from operations which was partially offset by the use of $67.6 million in cash in connection with the acquisition of Certen, less $25.5 million in cash received in connection with that acquisition, and $44.2 million in cash to repurchase a portion of our 2% Notes. Net cash provided by operating activities amounted to $382.0 million for fiscal 2003 and $412.3 million for fiscal 2002. The decrease in cash flows from operations was primarily due to decreased net income before depreciation and amortization, which was partially offset by a decrease in working capital excluding cash. We currently intend to retain our future operating cash flows to support the further expansion of our business including investments related to new Managed Services projects and acquisitions, although we may also use a portion of our cash for future repurchases of our outstanding securities. See the discussions above under the captions "Share Repurchase Program" and "Convertible Notes".</w:t>
      </w:r>
    </w:p>
    <w:p>
      <w:pPr>
        <w:spacing w:after="0" w:line="295"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As of September 30, 2003, we had positive working capital of $567.3 million, compared to positive working capital of $938.6 million as of September 30, 2002. The decrease is attributable primarily to the reclassification of the 2% Notes as a short-term liability because the holders of the 2% Notes may require us to redeem the 2% Notes on June 1, 2004. The decrease was partially offset by the increase in cash, cash equivalents and short-term interest-bearing investments. We believe that our current cash balances, cash generated from operations and our current lines of credit will provide sufficient resources to meet our liquidity needs for at least the next fiscal year.</w:t>
      </w:r>
    </w:p>
    <w:p>
      <w:pPr>
        <w:spacing w:after="0" w:line="75"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As of September 30, 2003, $400.5 million aggregate principal amount of the 2% Notes was outstanding. In July 2002, our Board of Directors authorized us to repurchase outstanding 2% Notes, in such amounts, at such prices and at such times considered appropriate by us. During the fourth quarter of fiscal 2002 and the fourth quarter of fiscal 2003 we repurchased $54.9 million and $44.6 million aggregate principal amount of the 2% Notes, respectively. We funded these repurchases with available funds. On May 3, 2004, we announced a cash offer for the $395.5 million aggregate principal amount of 2% Notes then outstanding. Pursuant to the indenture for the 2% Notes, each holder of the 2% Notes had the right to require us to repurchase on June 1, 2004 all or any part of such holder's 2% Notes at a price equal to 100% of the principal amount plus accrued and unpaid interest. Under the terms of the 2% Notes, we had the option to pay for the 2% Notes with cash, ordinary shares, or a combination of cash and ordinary shares, and we elected to pay for the 2% Notes solely with cash. On June 1, 2004, we announced that the offer had expired and that we had accepted for purchase $395.1 million in aggregate principal amount of the 2% Notes in the tender offer. The untendered 2% Notes remain as our outstanding obligations, in accordance with their terms. See the discussion above under the caption "Convertible Notes".</w:t>
      </w:r>
    </w:p>
    <w:p>
      <w:pPr>
        <w:spacing w:after="0" w:line="11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691" w:right="1440" w:bottom="996" w:gutter="0" w:footer="0" w:header="0"/>
        </w:sectPr>
      </w:pPr>
    </w:p>
    <w:bookmarkStart w:id="47" w:name="page48"/>
    <w:bookmarkEnd w:id="47"/>
    <w:p>
      <w:pPr>
        <w:ind w:right="1779" w:firstLine="527"/>
        <w:spacing w:after="0" w:line="253" w:lineRule="auto"/>
        <w:rPr>
          <w:sz w:val="20"/>
          <w:szCs w:val="20"/>
          <w:color w:val="auto"/>
        </w:rPr>
      </w:pPr>
      <w:r>
        <w:rPr>
          <w:rFonts w:ascii="Courier New" w:cs="Courier New" w:eastAsia="Courier New" w:hAnsi="Courier New"/>
          <w:sz w:val="18"/>
          <w:szCs w:val="18"/>
          <w:color w:val="auto"/>
        </w:rPr>
        <w:t>As of September 30, 2003, we had available short-term general revolving lines of credit totaling $30.0 million, none of which were outstanding. In addition, as of September 30, 2003 we had credit facilities totaling $40.3 million, limited for the use of letters of credit and bank guarantees from various banks. Outstanding letters of credit and bank guarantees as of September 30, 2003 totaled $22.6 million. These were mostly supported by a combination of the credit facilities described above and compensating cash balances that we maintain with the issuing banks.</w:t>
      </w:r>
    </w:p>
    <w:p>
      <w:pPr>
        <w:spacing w:after="0" w:line="104"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As of September 30, 2003, we had outstanding long-term obligations of $48.2 million in connection with leasing arrangements.</w:t>
      </w:r>
    </w:p>
    <w:p>
      <w:pPr>
        <w:spacing w:after="0" w:line="18"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The following table summarizes our contractual obligations as of September 30, 2003 and the effect such obligations are expected to have on our liquidity and cash flows in future periods (in millions):</w:t>
      </w:r>
    </w:p>
    <w:p>
      <w:pPr>
        <w:spacing w:after="0" w:line="6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CASH PAYMENTS DUE BY PERIOD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 LESS THAN</w:t>
      </w:r>
    </w:p>
    <w:p>
      <w:pPr>
        <w:jc w:val="center"/>
        <w:ind w:right="6519"/>
        <w:spacing w:after="0"/>
        <w:rPr>
          <w:sz w:val="20"/>
          <w:szCs w:val="20"/>
          <w:color w:val="auto"/>
        </w:rPr>
      </w:pPr>
      <w:r>
        <w:rPr>
          <w:rFonts w:ascii="Courier New" w:cs="Courier New" w:eastAsia="Courier New" w:hAnsi="Courier New"/>
          <w:sz w:val="18"/>
          <w:szCs w:val="18"/>
          <w:color w:val="auto"/>
        </w:rPr>
        <w:t>CONTRACTUAL OBLIGATIONS TOTAL 1</w:t>
      </w:r>
    </w:p>
    <w:p>
      <w:pPr>
        <w:jc w:val="center"/>
        <w:ind w:right="6519"/>
        <w:spacing w:after="0" w:line="238" w:lineRule="auto"/>
        <w:rPr>
          <w:sz w:val="20"/>
          <w:szCs w:val="20"/>
          <w:color w:val="auto"/>
        </w:rPr>
      </w:pPr>
      <w:r>
        <w:rPr>
          <w:rFonts w:ascii="Courier New" w:cs="Courier New" w:eastAsia="Courier New" w:hAnsi="Courier New"/>
          <w:sz w:val="18"/>
          <w:szCs w:val="18"/>
          <w:color w:val="auto"/>
        </w:rPr>
        <w:t>YEAR 1-3 YEARS 4-5 YEARS OVER 5</w:t>
      </w:r>
    </w:p>
    <w:p>
      <w:pPr>
        <w:jc w:val="center"/>
        <w:ind w:right="6519"/>
        <w:spacing w:after="0"/>
        <w:rPr>
          <w:sz w:val="20"/>
          <w:szCs w:val="20"/>
          <w:color w:val="auto"/>
        </w:rPr>
      </w:pPr>
      <w:r>
        <w:rPr>
          <w:rFonts w:ascii="Courier New" w:cs="Courier New" w:eastAsia="Courier New" w:hAnsi="Courier New"/>
          <w:sz w:val="18"/>
          <w:szCs w:val="18"/>
          <w:color w:val="auto"/>
        </w:rPr>
        <w:t>YEARS - ----------------------- --</w:t>
      </w:r>
    </w:p>
    <w:p>
      <w:pPr>
        <w:ind w:left="60"/>
        <w:spacing w:after="0" w:line="238" w:lineRule="auto"/>
        <w:rPr>
          <w:sz w:val="20"/>
          <w:szCs w:val="20"/>
          <w:color w:val="auto"/>
        </w:rPr>
      </w:pPr>
      <w:r>
        <w:rPr>
          <w:rFonts w:ascii="Courier New" w:cs="Courier New" w:eastAsia="Courier New" w:hAnsi="Courier New"/>
          <w:sz w:val="18"/>
          <w:szCs w:val="18"/>
          <w:color w:val="auto"/>
        </w:rPr>
        <w:t>---- --------- --------- ---------</w:t>
      </w:r>
    </w:p>
    <w:tbl>
      <w:tblPr>
        <w:tblLayout w:type="fixed"/>
        <w:tblInd w:w="0" w:type="dxa"/>
        <w:tblCellMar>
          <w:top w:w="0" w:type="dxa"/>
          <w:left w:w="0" w:type="dxa"/>
          <w:bottom w:w="0" w:type="dxa"/>
          <w:right w:w="0" w:type="dxa"/>
        </w:tblCellMar>
      </w:tblPr>
      <w:tr>
        <w:trPr>
          <w:trHeight w:val="296"/>
        </w:trPr>
        <w:tc>
          <w:tcPr>
            <w:tcW w:w="1860" w:type="dxa"/>
            <w:vAlign w:val="bottom"/>
            <w:gridSpan w:val="2"/>
            <w:vMerge w:val="restart"/>
          </w:tcPr>
          <w:p>
            <w:pPr>
              <w:jc w:val="right"/>
              <w:spacing w:after="0"/>
              <w:rPr>
                <w:sz w:val="20"/>
                <w:szCs w:val="20"/>
                <w:color w:val="auto"/>
              </w:rPr>
            </w:pPr>
            <w:r>
              <w:rPr>
                <w:rFonts w:ascii="Courier New" w:cs="Courier New" w:eastAsia="Courier New" w:hAnsi="Courier New"/>
                <w:sz w:val="10"/>
                <w:szCs w:val="10"/>
                <w:color w:val="auto"/>
                <w:w w:val="70"/>
              </w:rPr>
              <w:t>notes(*)</w:t>
            </w:r>
            <w:r>
              <w:rPr>
                <w:rFonts w:ascii="Courier New" w:cs="Courier New" w:eastAsia="Courier New" w:hAnsi="Courier New"/>
                <w:sz w:val="13"/>
                <w:szCs w:val="13"/>
                <w:color w:val="auto"/>
                <w:w w:val="70"/>
                <w:vertAlign w:val="superscript"/>
              </w:rPr>
              <w:t>------------</w:t>
            </w:r>
            <w:r>
              <w:rPr>
                <w:rFonts w:ascii="Courier New" w:cs="Courier New" w:eastAsia="Courier New" w:hAnsi="Courier New"/>
                <w:sz w:val="10"/>
                <w:szCs w:val="10"/>
                <w:color w:val="auto"/>
                <w:w w:val="70"/>
              </w:rPr>
              <w:t>.........................</w:t>
            </w:r>
          </w:p>
        </w:tc>
        <w:tc>
          <w:tcPr>
            <w:tcW w:w="17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Convertible</w:t>
            </w:r>
          </w:p>
        </w:tc>
        <w:tc>
          <w:tcPr>
            <w:tcW w:w="0" w:type="dxa"/>
            <w:vAlign w:val="bottom"/>
          </w:tcPr>
          <w:p>
            <w:pPr>
              <w:spacing w:after="0"/>
              <w:rPr>
                <w:sz w:val="1"/>
                <w:szCs w:val="1"/>
                <w:color w:val="auto"/>
              </w:rPr>
            </w:pPr>
          </w:p>
        </w:tc>
      </w:tr>
      <w:tr>
        <w:trPr>
          <w:trHeight w:val="77"/>
        </w:trPr>
        <w:tc>
          <w:tcPr>
            <w:tcW w:w="1060" w:type="dxa"/>
            <w:vAlign w:val="bottom"/>
            <w:vMerge w:val="continue"/>
          </w:tcPr>
          <w:p>
            <w:pPr>
              <w:spacing w:after="0"/>
              <w:rPr>
                <w:sz w:val="6"/>
                <w:szCs w:val="6"/>
                <w:color w:val="auto"/>
              </w:rPr>
            </w:pPr>
          </w:p>
        </w:tc>
        <w:tc>
          <w:tcPr>
            <w:tcW w:w="80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$400.5</w:t>
            </w:r>
          </w:p>
        </w:tc>
        <w:tc>
          <w:tcPr>
            <w:tcW w:w="17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5"/>
              </w:rPr>
              <w:t>$ -- $ -- $ --</w:t>
            </w:r>
          </w:p>
        </w:tc>
        <w:tc>
          <w:tcPr>
            <w:tcW w:w="0" w:type="dxa"/>
            <w:vAlign w:val="bottom"/>
          </w:tcPr>
          <w:p>
            <w:pPr>
              <w:spacing w:after="0"/>
              <w:rPr>
                <w:sz w:val="1"/>
                <w:szCs w:val="1"/>
                <w:color w:val="auto"/>
              </w:rPr>
            </w:pP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$400.5</w:t>
            </w:r>
          </w:p>
        </w:tc>
        <w:tc>
          <w:tcPr>
            <w:tcW w:w="80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2580" w:type="dxa"/>
            <w:vAlign w:val="bottom"/>
            <w:gridSpan w:val="2"/>
          </w:tcPr>
          <w:p>
            <w:pPr>
              <w:jc w:val="right"/>
              <w:ind w:right="1232"/>
              <w:spacing w:after="0" w:line="203" w:lineRule="exact"/>
              <w:rPr>
                <w:sz w:val="20"/>
                <w:szCs w:val="20"/>
                <w:color w:val="auto"/>
              </w:rPr>
            </w:pPr>
            <w:r>
              <w:rPr>
                <w:rFonts w:ascii="Courier New" w:cs="Courier New" w:eastAsia="Courier New" w:hAnsi="Courier New"/>
                <w:sz w:val="18"/>
                <w:szCs w:val="18"/>
                <w:color w:val="auto"/>
              </w:rPr>
              <w:t>Financing</w:t>
            </w:r>
          </w:p>
        </w:tc>
        <w:tc>
          <w:tcPr>
            <w:tcW w:w="0" w:type="dxa"/>
            <w:vAlign w:val="bottom"/>
          </w:tcPr>
          <w:p>
            <w:pPr>
              <w:spacing w:after="0"/>
              <w:rPr>
                <w:sz w:val="1"/>
                <w:szCs w:val="1"/>
                <w:color w:val="auto"/>
              </w:rPr>
            </w:pPr>
          </w:p>
        </w:tc>
      </w:tr>
      <w:tr>
        <w:trPr>
          <w:trHeight w:val="203"/>
        </w:trPr>
        <w:tc>
          <w:tcPr>
            <w:tcW w:w="3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arrangement........................</w:t>
            </w:r>
          </w:p>
        </w:tc>
        <w:tc>
          <w:tcPr>
            <w:tcW w:w="0" w:type="dxa"/>
            <w:vAlign w:val="bottom"/>
          </w:tcPr>
          <w:p>
            <w:pPr>
              <w:spacing w:after="0"/>
              <w:rPr>
                <w:sz w:val="1"/>
                <w:szCs w:val="1"/>
                <w:color w:val="auto"/>
              </w:rPr>
            </w:pPr>
          </w:p>
        </w:tc>
      </w:tr>
      <w:tr>
        <w:trPr>
          <w:trHeight w:val="203"/>
        </w:trPr>
        <w:tc>
          <w:tcPr>
            <w:tcW w:w="1060" w:type="dxa"/>
            <w:vAlign w:val="bottom"/>
          </w:tcPr>
          <w:p>
            <w:pPr>
              <w:jc w:val="right"/>
              <w:ind w:right="17"/>
              <w:spacing w:after="0" w:line="203" w:lineRule="exact"/>
              <w:rPr>
                <w:sz w:val="20"/>
                <w:szCs w:val="20"/>
                <w:color w:val="auto"/>
              </w:rPr>
            </w:pPr>
            <w:r>
              <w:rPr>
                <w:rFonts w:ascii="Courier New" w:cs="Courier New" w:eastAsia="Courier New" w:hAnsi="Courier New"/>
                <w:sz w:val="18"/>
                <w:szCs w:val="18"/>
                <w:color w:val="auto"/>
              </w:rPr>
              <w:t>2.8 2.2</w:t>
            </w:r>
          </w:p>
        </w:tc>
        <w:tc>
          <w:tcPr>
            <w:tcW w:w="2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0.6 -- -- Capital lease</w:t>
            </w:r>
          </w:p>
        </w:tc>
        <w:tc>
          <w:tcPr>
            <w:tcW w:w="0" w:type="dxa"/>
            <w:vAlign w:val="bottom"/>
          </w:tcPr>
          <w:p>
            <w:pPr>
              <w:spacing w:after="0"/>
              <w:rPr>
                <w:sz w:val="1"/>
                <w:szCs w:val="1"/>
                <w:color w:val="auto"/>
              </w:rPr>
            </w:pPr>
          </w:p>
        </w:tc>
      </w:tr>
      <w:tr>
        <w:trPr>
          <w:trHeight w:val="203"/>
        </w:trPr>
        <w:tc>
          <w:tcPr>
            <w:tcW w:w="36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obligations....................</w:t>
            </w:r>
          </w:p>
        </w:tc>
        <w:tc>
          <w:tcPr>
            <w:tcW w:w="0" w:type="dxa"/>
            <w:vAlign w:val="bottom"/>
          </w:tcPr>
          <w:p>
            <w:pPr>
              <w:spacing w:after="0"/>
              <w:rPr>
                <w:sz w:val="1"/>
                <w:szCs w:val="1"/>
                <w:color w:val="auto"/>
              </w:rPr>
            </w:pPr>
          </w:p>
        </w:tc>
      </w:tr>
      <w:tr>
        <w:trPr>
          <w:trHeight w:val="203"/>
        </w:trPr>
        <w:tc>
          <w:tcPr>
            <w:tcW w:w="1060" w:type="dxa"/>
            <w:vAlign w:val="bottom"/>
          </w:tcPr>
          <w:p>
            <w:pPr>
              <w:jc w:val="right"/>
              <w:ind w:right="17"/>
              <w:spacing w:after="0" w:line="203" w:lineRule="exact"/>
              <w:rPr>
                <w:sz w:val="20"/>
                <w:szCs w:val="20"/>
                <w:color w:val="auto"/>
              </w:rPr>
            </w:pPr>
            <w:r>
              <w:rPr>
                <w:rFonts w:ascii="Courier New" w:cs="Courier New" w:eastAsia="Courier New" w:hAnsi="Courier New"/>
                <w:sz w:val="18"/>
                <w:szCs w:val="18"/>
                <w:color w:val="auto"/>
              </w:rPr>
              <w:t>48.2</w:t>
            </w:r>
          </w:p>
        </w:tc>
        <w:tc>
          <w:tcPr>
            <w:tcW w:w="25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25.5 22.7 -- -- Non-</w:t>
            </w:r>
          </w:p>
        </w:tc>
        <w:tc>
          <w:tcPr>
            <w:tcW w:w="0" w:type="dxa"/>
            <w:vAlign w:val="bottom"/>
          </w:tcPr>
          <w:p>
            <w:pPr>
              <w:spacing w:after="0"/>
              <w:rPr>
                <w:sz w:val="1"/>
                <w:szCs w:val="1"/>
                <w:color w:val="auto"/>
              </w:rPr>
            </w:pPr>
          </w:p>
        </w:tc>
      </w:tr>
      <w:tr>
        <w:trPr>
          <w:trHeight w:val="203"/>
        </w:trPr>
        <w:tc>
          <w:tcPr>
            <w:tcW w:w="364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cancelable operating</w:t>
            </w:r>
          </w:p>
        </w:tc>
        <w:tc>
          <w:tcPr>
            <w:tcW w:w="0" w:type="dxa"/>
            <w:vAlign w:val="bottom"/>
          </w:tcPr>
          <w:p>
            <w:pPr>
              <w:spacing w:after="0"/>
              <w:rPr>
                <w:sz w:val="1"/>
                <w:szCs w:val="1"/>
                <w:color w:val="auto"/>
              </w:rPr>
            </w:pPr>
          </w:p>
        </w:tc>
      </w:tr>
      <w:tr>
        <w:trPr>
          <w:trHeight w:val="203"/>
        </w:trPr>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leases..............</w:t>
            </w:r>
          </w:p>
        </w:tc>
        <w:tc>
          <w:tcPr>
            <w:tcW w:w="1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146.5 38.8</w:t>
            </w:r>
          </w:p>
        </w:tc>
        <w:tc>
          <w:tcPr>
            <w:tcW w:w="0" w:type="dxa"/>
            <w:vAlign w:val="bottom"/>
          </w:tcPr>
          <w:p>
            <w:pPr>
              <w:spacing w:after="0"/>
              <w:rPr>
                <w:sz w:val="1"/>
                <w:szCs w:val="1"/>
                <w:color w:val="auto"/>
              </w:rPr>
            </w:pPr>
          </w:p>
        </w:tc>
      </w:tr>
      <w:tr>
        <w:trPr>
          <w:trHeight w:val="235"/>
        </w:trPr>
        <w:tc>
          <w:tcPr>
            <w:tcW w:w="18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1"/>
              </w:rPr>
              <w:t>55.2 33.5 19.0 ------</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bl>
    <w:p>
      <w:pPr>
        <w:jc w:val="both"/>
        <w:ind w:left="220" w:right="6739" w:hanging="1"/>
        <w:spacing w:after="0" w:line="268" w:lineRule="auto"/>
        <w:tabs>
          <w:tab w:leader="none" w:pos="852"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$598.0 $467.0 $78.5 $33.5 $19.0 ====== ====== =====</w:t>
      </w:r>
    </w:p>
    <w:p>
      <w:pPr>
        <w:ind w:left="1900" w:hanging="628"/>
        <w:spacing w:after="0"/>
        <w:tabs>
          <w:tab w:leader="none" w:pos="1900" w:val="left"/>
        </w:tabs>
        <w:numPr>
          <w:ilvl w:val="2"/>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7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the discussion above under the caption "Convertible Notes".</w:t>
      </w:r>
    </w:p>
    <w:p>
      <w:pPr>
        <w:spacing w:after="0" w:line="201"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Our capital expenditures were approximately $63.0 million in fiscal 2003. These expenditures consisted primarily of purchases of computer equipment and, to a lesser degree, leasehold improvements and vehicles. We funded our capital expenditures principally from operating cash flows. We do not anticipate any changes to this policy in the foreseeable future.</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DEFERRED TAX ASSETS</w:t>
      </w:r>
    </w:p>
    <w:p>
      <w:pPr>
        <w:spacing w:after="0" w:line="201"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In September 2003, we released $13.3 million of valuation allowances related to deferred tax assets derived from carry-forward operating losses incurred by our Canadian subsidiary. In September 2002, we released valuation allowances related to deferred tax assets derived from carry-forward operating losses relating to losses incurred by the subsidiary prior to our acquisition of that company in April 2000, resulting in an offsetting reduction of the goodwill recorded in the acquisition of approximately $9.0 million. The release of these valuation allowances was made based on our estimation that we will be able to realize the tax benefits associated with those net operating losses.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TAX RATE</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Our effective tax rate for fiscal year 2003 was 25% due to the corporate income tax rates in the various countries in which we operate and the relative magnitude of our business in those countries.</w:t>
      </w:r>
    </w:p>
    <w:p>
      <w:pPr>
        <w:spacing w:after="0" w:line="66"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Effective October 1, 2002, following the adoption of SFAS No. 142, we no longer amortize goodwill resulting from acquisitions. See the discussion below under the caption "Adoption of New Accounting Standards". As a result, goodwill amortization that is not tax-deductible no longer affects our effective tax rate.</w:t>
      </w:r>
    </w:p>
    <w:p>
      <w:pPr>
        <w:spacing w:after="0" w:line="90"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In fiscal 2002, our effective tax rate was 107%. This effective tax rate in 2002 was attributable to the fact that non-cash amortization of goodwill related to acquisitions (much of which is not tax deductible) represented a large component of our pretax income. Excluding the effect of such non-deductible non-cash amortization of goodwill (which accounted for 89% of the effective tax</w:t>
      </w:r>
    </w:p>
    <w:p>
      <w:pPr>
        <w:sectPr>
          <w:pgSz w:w="11900" w:h="16838" w:orient="portrait"/>
          <w:cols w:equalWidth="0" w:num="1">
            <w:col w:w="10219"/>
          </w:cols>
          <w:pgMar w:left="240" w:top="691" w:right="1440" w:bottom="0" w:gutter="0" w:footer="0" w:header="0"/>
        </w:sectPr>
      </w:pPr>
    </w:p>
    <w:bookmarkStart w:id="48" w:name="page49"/>
    <w:bookmarkEnd w:id="48"/>
    <w:p>
      <w:pPr>
        <w:ind w:right="1779"/>
        <w:spacing w:after="0" w:line="265" w:lineRule="auto"/>
        <w:rPr>
          <w:sz w:val="20"/>
          <w:szCs w:val="20"/>
          <w:color w:val="auto"/>
        </w:rPr>
      </w:pPr>
      <w:r>
        <w:rPr>
          <w:rFonts w:ascii="Courier New" w:cs="Courier New" w:eastAsia="Courier New" w:hAnsi="Courier New"/>
          <w:sz w:val="18"/>
          <w:szCs w:val="18"/>
          <w:color w:val="auto"/>
        </w:rPr>
        <w:t>rate) and offsetting such 89% by the 10% decrease in the tax rate due to the repurchase of our 2% Notes, our effective tax rate for 2002 would have been 28%. This high effective tax rate was also adversely affected by the revision we made in our third quarter of fiscal 2002 to our annual estimated pretax income levels.</w:t>
      </w:r>
    </w:p>
    <w:p>
      <w:pPr>
        <w:spacing w:after="0" w:line="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110" w:right="1440" w:bottom="1440" w:gutter="0" w:footer="0" w:header="0"/>
        </w:sectPr>
      </w:pPr>
    </w:p>
    <w:bookmarkStart w:id="49" w:name="page50"/>
    <w:bookmarkEnd w:id="49"/>
    <w:p>
      <w:pPr>
        <w:ind w:right="1879" w:firstLine="527"/>
        <w:spacing w:after="0" w:line="292" w:lineRule="auto"/>
        <w:rPr>
          <w:sz w:val="20"/>
          <w:szCs w:val="20"/>
          <w:color w:val="auto"/>
        </w:rPr>
      </w:pPr>
      <w:r>
        <w:rPr>
          <w:rFonts w:ascii="Courier New" w:cs="Courier New" w:eastAsia="Courier New" w:hAnsi="Courier New"/>
          <w:sz w:val="18"/>
          <w:szCs w:val="18"/>
          <w:color w:val="auto"/>
        </w:rPr>
        <w:t>We expect a reduction in our effective tax rate in fiscal 2004 from 25% to 23%. The reduction is due to our continued expansion into countries with lower effective tax rates.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ADOPTION OF NEW ACCOUNTING STANDARDS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ACCOUNTING FOR REVENUE ARRANGEMENTS WITH MULTIPLE DELIVERABLES</w:t>
      </w:r>
    </w:p>
    <w:p>
      <w:pPr>
        <w:spacing w:after="0" w:line="201"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In November 2002, the Emerging Issues Task Force ("EITF") reached a consensus on EITF Issue No. 00-21, "Revenue Arrangements With Multiple Deliverables" ("Issue 00-21"). Issue 00-21 provides guidance for determining the unit(s) of accounting in arrangements that include multiple products, services, and/or rights to use assets. Issue 00-21 is effective for revenue arrangements entered into in fiscal periods beginning after June 15, 2003. We have adopted Issue 00-21 effective July 1, 2003. The guidance in EITF 00-21 did not modify our previous accounting for transactions that includes multiple deliverables.</w:t>
      </w:r>
    </w:p>
    <w:p>
      <w:pPr>
        <w:spacing w:after="0" w:line="7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ACCOUNTING FOR STOCK-BASED COMPENSATION</w:t>
      </w:r>
    </w:p>
    <w:p>
      <w:pPr>
        <w:spacing w:after="0" w:line="201"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In June 2002 the FASB issued SFAS No. 148, "Accounting for Stock-Based Compensation -- Transition and Disclosure -- an Amendment of FASB Statement No. 123". SFAS No. 148 amends SFAS No. 123 to provide alternative methods of transition for a voluntary change to the fair value-based method of accounting for stock-based employee compensation. In addition, SFAS No. 148 amends the disclosure requirements of SFAS No. 123 to require more prominent disclosures in both annual and interim financial statements regarding the method of accounting for stock-based employee compensation and the effect of the method used on reported results. The alternative methods of transition of SFAS No. 148 were effective for fiscal years ending after December 15, 2002. The disclosure provision of SFAS No. 148 is effective for interim periods beginning after December 15, 2002. We follow Accounting Principles Board No. 25 in accounting for our employee stock options. The transition and annual disclosure requirements of SFAS No. 148 were effective for us commencing January 1, 2003. We adopted the interim disclosure provision in the quarter ended March 31, 2003, which is provided in Note 2 to the consolidated financial statements included in this Annual Report.</w:t>
      </w:r>
    </w:p>
    <w:p>
      <w:pPr>
        <w:spacing w:after="0" w:line="1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 AND PURCHASED INTANGIBLE ASSETS</w:t>
      </w:r>
    </w:p>
    <w:p>
      <w:pPr>
        <w:spacing w:after="0" w:line="201"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In June 2001, the FASB issued SFAS No. 141, "Business Combinations" ("SFAS No. 141"), and No. 142, "Goodwill and Other Intangible Assets" ("SFAS No. 142"). SFAS No. 141 requires that the purchase method of accounting be used for all business combinations initiated after June 30, 2001. SFAS No. 142 is effective for fiscal years beginning after December 15, 2001. Under SFAS No. 142, goodwill and intangible assets deemed to have indefinite lives will no longer be amortized but will be subject to periodic impairment tests in accordance with the Statement. Goodwill impairment is deemed to exist if the net book value of a reporting unit exceeds its estimated fair value. Certain intangible assets will continue to be amortized over their useful lives. According to SFAS No. 141's new definition of intangible assets, workforce-in-place was reclassified to goodwill.</w:t>
      </w:r>
    </w:p>
    <w:p>
      <w:pPr>
        <w:spacing w:after="0" w:line="105"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6"/>
          <w:szCs w:val="16"/>
          <w:color w:val="auto"/>
        </w:rPr>
        <w:t>Effective October 1, 2002 we adopted SFAS No. 142. Subsequent to the adoption of the new rules, we performed the transitional impairment tests of goodwill recorded as of October 1, 2002. Thereafter, an annual impairment test will be performed in the fourth quarter of each fiscal year, or more frequently if impairment indicators are present. As discussed in Note 1 to the consolidated financial statements included in this document, Amdocs and its subsidiaries operate in one operating segment, which is the reporting unit under SFAS No.</w:t>
      </w:r>
    </w:p>
    <w:p>
      <w:pPr>
        <w:spacing w:after="0" w:line="2" w:lineRule="exact"/>
        <w:rPr>
          <w:sz w:val="20"/>
          <w:szCs w:val="20"/>
          <w:color w:val="auto"/>
        </w:rPr>
      </w:pPr>
    </w:p>
    <w:p>
      <w:pPr>
        <w:ind w:right="1779" w:firstLine="8"/>
        <w:spacing w:after="0" w:line="273" w:lineRule="auto"/>
        <w:tabs>
          <w:tab w:leader="none" w:pos="527"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calculating the fair value of the reporting unit, we used a discounted cash flow methodology. There was no impairment of goodwill upon adoption of SFAS No. 142 and as a result of the annual impairment tests.</w:t>
      </w:r>
    </w:p>
    <w:p>
      <w:pPr>
        <w:spacing w:after="0" w:line="82"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Prior to fiscal 2003, goodwill and workforce-in-place were amortized using the straight-line method over their estimated period of benefit. We recorded goodwill and workforce-in-place amortization of $204.6 million in fiscal 2002 and in fiscal 2001.</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691" w:right="1440" w:bottom="1440" w:gutter="0" w:footer="0" w:header="0"/>
        </w:sectPr>
      </w:pPr>
    </w:p>
    <w:bookmarkStart w:id="50" w:name="page51"/>
    <w:bookmarkEnd w:id="50"/>
    <w:p>
      <w:pPr>
        <w:ind w:left="220"/>
        <w:spacing w:after="0"/>
        <w:rPr>
          <w:sz w:val="20"/>
          <w:szCs w:val="20"/>
          <w:color w:val="auto"/>
        </w:rPr>
      </w:pPr>
      <w:r>
        <w:rPr>
          <w:rFonts w:ascii="Courier New" w:cs="Courier New" w:eastAsia="Courier New" w:hAnsi="Courier New"/>
          <w:sz w:val="18"/>
          <w:szCs w:val="18"/>
          <w:color w:val="auto"/>
        </w:rPr>
        <w:t>GAINS AND LOSSES FROM EXTINGUISHMENT OF DEBT</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April 2002, the FASB issued SFAS No. 145, "Rescission of FASB Statements No. 4, 44, and 64, Amendment of FASB Statement No. 13, and Technical Corrections" ("SFAS No. 145"). SFAS No. 145 eliminates previous requirements to classify gains and losses from extinguishment of debt as extraordinary items in earnings. Gains or losses from extinguishment of debt for fiscal years beginning after May 15, 2002 may not be classified as extraordinary items unless certain provisions are met. Early adoption was encouraged. We adopted SFAS No. 145 in the fourth quarter of fiscal 2002 in connection with the gains related to the repurchases of a portion of our 2% Notes. See the discussion above under the caption "Convertible Notes".</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GUARANTOR'S ACCOUNTING AND DISCLOSURE REQUIREMENTS FOR GUARANTEES</w:t>
      </w:r>
    </w:p>
    <w:p>
      <w:pPr>
        <w:spacing w:after="0" w:line="201"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In November 2002 the FASB issued FASB Interpretation ("FIN") No. 45 "Guarantor's Accounting and Disclosure Requirements for Guarantees, Including Indirect Guarantees of Indebtedness of Others". FIN No. 45 requires that at the inception of certain types of guarantees, the guarantor must disclose and recognize a liability for the fair value of the obligation it assumes under the guarantee. The initial recognition and measurement requirements of FIN No. 45 are effective for guarantees issued or modified after December 31, 2002. The additional disclosure requirements of FIN No. 45 are effective for interim and annual periods ending after December 15, 2002, and are applicable to certain of our guarantees issued before December 31, 2002.</w:t>
      </w:r>
    </w:p>
    <w:p>
      <w:pPr>
        <w:spacing w:after="0" w:line="104"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are a party to an agreement entered into prior to December 31, 2002 that includes an indemnification of one of our customers for any withholding tax that might be required under the customer's local tax laws from certain payments made to us under this agreement. The indemnification under this agreement expires in December 2005. As of September 30, 2003 and September 30, 2002, the maximum potential amount of our future exposure under this guarantee pursuant to FIN No. 45 was $4.7 million.</w:t>
      </w:r>
    </w:p>
    <w:p>
      <w:pPr>
        <w:spacing w:after="0" w:line="98"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We generally sell our ClarifyCRM products with a limited warranty for a period of 90 days. Our policy is to accrue for warranty costs, if needed, based on historical trends in product failure. Based on our experience, only minimal warranty services have been required and, as a result, we did not accrue any amounts for product warranty liability during fiscal 2003.</w:t>
      </w:r>
    </w:p>
    <w:p>
      <w:pPr>
        <w:spacing w:after="0" w:line="90"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We generally indemnify our customers against claims of intellectual property infringement made by third parties arising from the use of our software. To date, we have incurred only minimal costs as a result of such obligations and have not accrued any liabilities related to such indemnification in our financial statements.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COSTS ASSOCIATED WITH EXIT OR DISPOSAL ACTIVITIES</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June 2002 the FASB issued SFAS No. 146, "Accounting for Costs Associated with Exit or Disposal Activities". SFAS No. 146 requires that a liability for costs associated with an exit or disposal activity, including restructuring activities, be recognized and measured initially at fair value only when the liability is incurred, or for certain one-time employee termination costs over a future service period. Previously, a liability for an exit cost was recognized when a company committed to an exit plan. As a result, SFAS No. 146 may affect both the timing and amounts of the recognition of future restructuring costs. SFAS No. 146 was effective for exit or disposal activities that were initiated after December 31, 2002.</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NON-SOFTWARE ELEMENTS IN AN ARRANGEMENT CONTAINING SOFTWARE</w:t>
      </w:r>
    </w:p>
    <w:p>
      <w:pPr>
        <w:spacing w:after="0" w:line="201"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In July 2003, the EITF reached a consensus on EITF Issue No. 03-05, "Applicability of AICPA Statement of Position ("SOP") 97-2, Software Revenue Recognition, to Non-Software Deliverables in an Arrangement Containing More-Than Incidental Software" ("Issue 03-05"). Issue 03-05 is regarding whether non-software deliverables (e.g., non-software related equipment or services) included in an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691" w:right="1440" w:bottom="1440" w:gutter="0" w:footer="0" w:header="0"/>
        </w:sectPr>
      </w:pPr>
    </w:p>
    <w:bookmarkStart w:id="51" w:name="page52"/>
    <w:bookmarkEnd w:id="51"/>
    <w:p>
      <w:pPr>
        <w:ind w:right="1879"/>
        <w:spacing w:after="0" w:line="289" w:lineRule="auto"/>
        <w:rPr>
          <w:sz w:val="20"/>
          <w:szCs w:val="20"/>
          <w:color w:val="auto"/>
        </w:rPr>
      </w:pPr>
      <w:r>
        <w:rPr>
          <w:rFonts w:ascii="Courier New" w:cs="Courier New" w:eastAsia="Courier New" w:hAnsi="Courier New"/>
          <w:sz w:val="16"/>
          <w:szCs w:val="16"/>
          <w:color w:val="auto"/>
        </w:rPr>
        <w:t>arrangement that contains software that is more than incidental to the products or services as a whole are included within the scope of Statement of Position</w:t>
      </w:r>
    </w:p>
    <w:p>
      <w:pPr>
        <w:spacing w:after="0" w:line="1" w:lineRule="exact"/>
        <w:rPr>
          <w:sz w:val="20"/>
          <w:szCs w:val="20"/>
          <w:color w:val="auto"/>
        </w:rPr>
      </w:pPr>
    </w:p>
    <w:p>
      <w:pPr>
        <w:ind w:right="1779"/>
        <w:spacing w:after="0" w:line="244" w:lineRule="auto"/>
        <w:rPr>
          <w:sz w:val="20"/>
          <w:szCs w:val="20"/>
          <w:color w:val="auto"/>
        </w:rPr>
      </w:pPr>
      <w:r>
        <w:rPr>
          <w:rFonts w:ascii="Courier New" w:cs="Courier New" w:eastAsia="Courier New" w:hAnsi="Courier New"/>
          <w:sz w:val="18"/>
          <w:szCs w:val="18"/>
          <w:color w:val="auto"/>
        </w:rPr>
        <w:t>97-2, "Software Revenue Recognition". Software-related elements include software products, upgrades/enhancements, post-contract customer support, and services as well as any non-software deliverables for which a software deliverable is essential to its functionality. Under Issue 03-05, in an arrangement that includes software, computer hardware that will contain the software, and additional unrelated equipment, if the software is essential to the functionality of the hardware, the hardware would be considered software-related and, therefore, included within the scope of SOP 97-2. Issue 03-05 is effective for arrangements entered into in the first reporting period (annual or interim) beginning after August 13, 2003. We are in the process of analyzing the effect of Issue 03-05 on our consolidated financial position and results of operations and believe it will not be significant.</w:t>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w:t>
      </w:r>
    </w:p>
    <w:p>
      <w:pPr>
        <w:spacing w:after="0" w:line="201"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Our discussion and analysis of our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 our estimates on historical experience and various other assumptions that we believe to be reasonable under the circumstances, the results of which form the basis for making judgments about the carrying values of assets and liabilities that are not readily apparent. Actual results could differ materially from the estimates under different assumptions or conditions.</w:t>
      </w:r>
    </w:p>
    <w:p>
      <w:pPr>
        <w:spacing w:after="0" w:line="291" w:lineRule="exact"/>
        <w:rPr>
          <w:sz w:val="20"/>
          <w:szCs w:val="20"/>
          <w:color w:val="auto"/>
        </w:rPr>
      </w:pPr>
    </w:p>
    <w:p>
      <w:pPr>
        <w:ind w:right="2099" w:firstLine="527"/>
        <w:spacing w:after="0" w:line="265" w:lineRule="auto"/>
        <w:rPr>
          <w:sz w:val="20"/>
          <w:szCs w:val="20"/>
          <w:color w:val="auto"/>
        </w:rPr>
      </w:pPr>
      <w:r>
        <w:rPr>
          <w:rFonts w:ascii="Courier New" w:cs="Courier New" w:eastAsia="Courier New" w:hAnsi="Courier New"/>
          <w:sz w:val="18"/>
          <w:szCs w:val="18"/>
          <w:color w:val="auto"/>
        </w:rPr>
        <w:t>We believe that the estimates, assumptions and judgments involved in the accounting policies described below have the greatest potential impact on our financial statements, so we consider these to be our critical accounting policies. These policies require that we make estimates in the preparation of our financial statements as of a given date.</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critical accounting policies are as follows:</w:t>
      </w:r>
    </w:p>
    <w:p>
      <w:pPr>
        <w:spacing w:after="0" w:line="201" w:lineRule="exact"/>
        <w:rPr>
          <w:sz w:val="20"/>
          <w:szCs w:val="20"/>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recognition and contract accounting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Doubtful accounts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accounting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Derivative and hedge accounting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Realizability of long-lived assets</w:t>
      </w:r>
    </w:p>
    <w:p>
      <w:pPr>
        <w:spacing w:after="0" w:line="201"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Below, we discuss these policies further, as well as the estimates and judgments involved. We also have other key accounting policies. We believe that, compared to the critical accounting policies listed above, the other policies either do not generally require us to make estimates and judgments that are as difficult or as subjective, or it is less likely that they would have a material impact on our reported consolidated results of operations for a given period.</w:t>
      </w:r>
    </w:p>
    <w:p>
      <w:pPr>
        <w:spacing w:after="0" w:line="6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REVENUE RECOGNITION AND CONTRACT ACCOUNTING</w:t>
      </w:r>
    </w:p>
    <w:p>
      <w:pPr>
        <w:spacing w:after="0" w:line="201"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Our revenue recognition policy is significant because our revenue is a key component of our results of operations. We follow very specific and detailed guidelines, several of which are discussed above, in measuring revenue; however, certain judgments affect the application of our revenue recognition policy.</w:t>
      </w:r>
    </w:p>
    <w:p>
      <w:pPr>
        <w:spacing w:after="0" w:line="52"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A significant portion of our revenue is recognized over the course of long-term projects, under the percentage of completion method of accounting. The percentage of completion method requires significant judgment, such as estimations of progress-to-completion, contract revenue, loss contracts and contract costs.</w:t>
      </w:r>
    </w:p>
    <w:p>
      <w:pPr>
        <w:spacing w:after="0" w:line="90" w:lineRule="exact"/>
        <w:rPr>
          <w:sz w:val="20"/>
          <w:szCs w:val="20"/>
          <w:color w:val="auto"/>
        </w:rPr>
      </w:pPr>
    </w:p>
    <w:p>
      <w:pPr>
        <w:ind w:right="2099" w:firstLine="527"/>
        <w:spacing w:after="0" w:line="344" w:lineRule="auto"/>
        <w:rPr>
          <w:sz w:val="20"/>
          <w:szCs w:val="20"/>
          <w:color w:val="auto"/>
        </w:rPr>
      </w:pPr>
      <w:r>
        <w:rPr>
          <w:rFonts w:ascii="Courier New" w:cs="Courier New" w:eastAsia="Courier New" w:hAnsi="Courier New"/>
          <w:sz w:val="16"/>
          <w:szCs w:val="16"/>
          <w:color w:val="auto"/>
        </w:rPr>
        <w:t>Our revenue recognition policy takes into consideration the creditworthiness and past transaction history of each customer in determining the probability of collection as a criterion of revenue recognition.</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691" w:right="1440" w:bottom="793" w:gutter="0" w:footer="0" w:header="0"/>
        </w:sectPr>
      </w:pPr>
    </w:p>
    <w:bookmarkStart w:id="52" w:name="page53"/>
    <w:bookmarkEnd w:id="52"/>
    <w:p>
      <w:pPr>
        <w:ind w:right="1779"/>
        <w:spacing w:after="0" w:line="274" w:lineRule="auto"/>
        <w:rPr>
          <w:sz w:val="20"/>
          <w:szCs w:val="20"/>
          <w:color w:val="auto"/>
        </w:rPr>
      </w:pPr>
      <w:r>
        <w:rPr>
          <w:rFonts w:ascii="Courier New" w:cs="Courier New" w:eastAsia="Courier New" w:hAnsi="Courier New"/>
          <w:sz w:val="18"/>
          <w:szCs w:val="18"/>
          <w:color w:val="auto"/>
        </w:rPr>
        <w:t>This determination requires the exercise of judgment, which affects our revenue recognition. If we determine that collection of a fee is not reasonably assured, we defer the revenue recognition until the time collection becomes reasonably assured, which is generally upon receipt of cash.</w:t>
      </w:r>
    </w:p>
    <w:p>
      <w:pPr>
        <w:spacing w:after="0" w:line="82"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For arrangements with multiple obligations, we allocate revenue to each component based upon its fair value, which is determined in reliance on the specific objective evidence for that element. Such determination is judgmental and for most contracts is based on normal pricing and discounting practices for those elements in similar arrangements.</w:t>
      </w:r>
    </w:p>
    <w:p>
      <w:pPr>
        <w:spacing w:after="0" w:line="90"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Revenue from third-party hardware and software sales is recorded at a gross or net amount according to certain indicators. The application of these indicators for gross and net reporting of revenue depends on the relative facts and circumstances of each sale and requires significant judgment.</w:t>
      </w:r>
    </w:p>
    <w:p>
      <w:pPr>
        <w:spacing w:after="0" w:line="8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DOUBTFUL ACCOUNTS</w:t>
      </w:r>
    </w:p>
    <w:p>
      <w:pPr>
        <w:spacing w:after="0" w:line="201"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The allowance for doubtful accounts is for estimated losses resulting from the inability of our customers to make required payments. We evaluate accounts receivable to determine if they will ultimately be collected. In performing this evaluation, significant judgments and estimates are involved, such as past experience, credit quality of the customer, age of the receivable balance and current economic conditions that may affect a customer's ability to pay. If collection is not reasonably assured at the time the transaction is consummated, we do not recognize revenue until collection becomes reasonably assured. If the financial condition of our customers were to deteriorate, resulting in an impairment of their ability to make payments, additional allowances may be required. The allowance for doubtful accounts is established through a charge to selling, general and administrative expenses.</w:t>
      </w:r>
    </w:p>
    <w:p>
      <w:pPr>
        <w:spacing w:after="0" w:line="1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TAX ACCOUNTING</w:t>
      </w:r>
    </w:p>
    <w:p>
      <w:pPr>
        <w:spacing w:after="0" w:line="20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 This process involves us estimating our actual current tax exposure together with assessing temporary differences resulting from differing treatment of items, such as deferred revenue, for tax and accounting differences. These differences result in deferred tax assets and liabilities, which are included within our consolidated balance sheet. We may record a valuation allowance to reduce our deferred tax assets to the amount of future tax benefit that is more likely than not to be realized.</w:t>
      </w:r>
    </w:p>
    <w:p>
      <w:pPr>
        <w:spacing w:after="0" w:line="106"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Although we believe that our estimates are reasonable and that we have considered future taxable income and ongoing prudent and feasible tax strategies in estimating our tax outcome and in assessing the need for the valuation allowance, there is no assurance that the final tax outcome and the valuation allowance will not be different than those which are reflected in our historical income tax provisions and accruals. Such differences could have a material effect on our income tax provision, net income and cash balances in the period in which such determination is made.</w:t>
      </w:r>
    </w:p>
    <w:p>
      <w:pPr>
        <w:spacing w:after="0" w:line="1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DERIVATIVE AND HEDGE ACCOUNTING</w:t>
      </w:r>
    </w:p>
    <w:p>
      <w:pPr>
        <w:spacing w:after="0" w:line="201"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Approximately 20% of our revenue and 40% of our operating expenses (excluding acquisition-related charges and restructuring charges) are not denominated in U.S. dollar or linked to the U.S. dollar. We enter into foreign exchange forward contracts to hedge a significant portion of our foreign currency exposure to minimize fluctuations in revenue and expenses. The majority of our hedging arrangements are classified as cash flow hedges. Accordingly, changes in the fair value of these forward exchange contracts are recorded in other comprehensive income. We estimate the fair value of such derivative contracts by reference to forward and spot rates quoted in active markets.</w:t>
      </w:r>
    </w:p>
    <w:p>
      <w:pPr>
        <w:spacing w:after="0" w:line="7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691" w:right="1440" w:bottom="1440" w:gutter="0" w:footer="0" w:header="0"/>
        </w:sectPr>
      </w:pPr>
    </w:p>
    <w:bookmarkStart w:id="53" w:name="page54"/>
    <w:bookmarkEnd w:id="53"/>
    <w:p>
      <w:pPr>
        <w:ind w:right="1879" w:firstLine="527"/>
        <w:spacing w:after="0" w:line="344" w:lineRule="auto"/>
        <w:rPr>
          <w:sz w:val="20"/>
          <w:szCs w:val="20"/>
          <w:color w:val="auto"/>
        </w:rPr>
      </w:pPr>
      <w:r>
        <w:rPr>
          <w:rFonts w:ascii="Courier New" w:cs="Courier New" w:eastAsia="Courier New" w:hAnsi="Courier New"/>
          <w:sz w:val="16"/>
          <w:szCs w:val="16"/>
          <w:color w:val="auto"/>
        </w:rPr>
        <w:t>Establishing and accounting for foreign exchange contracts involve judgments, such as determining the nature of the exposure, assessing its amount and timing, and evaluating the effectiveness of the hedging arrangement.</w:t>
      </w:r>
    </w:p>
    <w:p>
      <w:pPr>
        <w:spacing w:after="0" w:line="31" w:lineRule="exact"/>
        <w:rPr>
          <w:sz w:val="20"/>
          <w:szCs w:val="20"/>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Although we believe that our estimates are accurate and meet the requirement of hedge accounting, actual results differ from these estimates, and such difference could cause fluctuation of our recorded revenue and expenses.</w:t>
      </w:r>
    </w:p>
    <w:p>
      <w:pPr>
        <w:spacing w:after="0" w:line="3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REALIZABILITY OF LONG-LIVED ASSETS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are required to assess the impairment of long-lived assets, tangible and intangible, on an annual basis, and potentially more frequently if events or changes in circumstances indicate that the carrying value may not be recoverable. We assess the impairment based on a number of factors, including any significant changes in the manner of our use of the acquired assets or the strategy of our overall business, significant negative industry or economic trends and significant decline in our share price for a sustained period.</w:t>
      </w:r>
    </w:p>
    <w:p>
      <w:pPr>
        <w:spacing w:after="0" w:line="98"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Upon determination that the carrying value of a long-lived asset may not be recoverable based upon a comparison of fair value to the carrying amount of the asset, an impairment charge is recorded. We measure fair value based on a projected future cash flow using a discount rate determined by our management to be commensurate with the risk inherent in our current business model.</w:t>
      </w:r>
    </w:p>
    <w:p>
      <w:pPr>
        <w:spacing w:after="0" w:line="90" w:lineRule="exact"/>
        <w:rPr>
          <w:sz w:val="20"/>
          <w:szCs w:val="20"/>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Within the context of these critical accounting policies, we are not currently aware of any reasonably likely events or circumstances that would result in materially different amounts being reported.</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LITIGATION</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On December 2, 2003 we announced that the United States District Court for the Eastern District of Missouri had issued an order granting our motion to dismiss the securities class action lawsuits that had been pending against us and certain of our directors and officers since June 2002. The court's order also directed that judgment be entered in favor of the defendants. The consolidated complaint filed in the action alleged that we and the individual defendants had made false or misleading statements about our business and future prospects during a putative class period between July 18, 2000 and June 20, 2002. On December 29, 2003, the lead plaintiffs appealed to the United States Court of Appeals for the Eighth Circuit from the final judgment entered on December 1, 2003.</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 INVESTIGATION</w:t>
      </w:r>
    </w:p>
    <w:p>
      <w:pPr>
        <w:spacing w:after="0" w:line="201"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We have been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w:t>
      </w:r>
    </w:p>
    <w:p>
      <w:pPr>
        <w:spacing w:after="0" w:line="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DIRECTORS, SENIOR MANAGEMENT AND EMPLOYEES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SENIOR MANAGEMENT</w:t>
      </w:r>
    </w:p>
    <w:p>
      <w:pPr>
        <w:spacing w:after="0" w:line="201"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We rely on the executive officers of our principal operating subsidiaries to manage our business. In addition, Amdocs Management Limited, our management subsidiary, performs certain executive coordination functions for all of our operating subsidiaries.</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691" w:right="1440"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4"/>
        </w:trPr>
        <w:tc>
          <w:tcPr>
            <w:tcW w:w="520" w:type="dxa"/>
            <w:vAlign w:val="bottom"/>
          </w:tcPr>
          <w:p>
            <w:pPr>
              <w:spacing w:after="0"/>
              <w:rPr>
                <w:sz w:val="17"/>
                <w:szCs w:val="17"/>
                <w:color w:val="auto"/>
              </w:rPr>
            </w:pPr>
          </w:p>
        </w:tc>
        <w:tc>
          <w:tcPr>
            <w:tcW w:w="7700" w:type="dxa"/>
            <w:vAlign w:val="bottom"/>
          </w:tcPr>
          <w:p>
            <w:pPr>
              <w:ind w:left="20"/>
              <w:spacing w:after="0"/>
              <w:rPr>
                <w:sz w:val="20"/>
                <w:szCs w:val="20"/>
                <w:color w:val="auto"/>
              </w:rPr>
            </w:pPr>
            <w:r>
              <w:rPr>
                <w:rFonts w:ascii="Courier New" w:cs="Courier New" w:eastAsia="Courier New" w:hAnsi="Courier New"/>
                <w:sz w:val="18"/>
                <w:szCs w:val="18"/>
                <w:color w:val="auto"/>
                <w:w w:val="97"/>
              </w:rPr>
              <w:t>As of November 30, 2003, our directors, senior managers and key employees</w:t>
            </w:r>
          </w:p>
        </w:tc>
        <w:tc>
          <w:tcPr>
            <w:tcW w:w="0" w:type="dxa"/>
            <w:vAlign w:val="bottom"/>
          </w:tcPr>
          <w:p>
            <w:pPr>
              <w:spacing w:after="0"/>
              <w:rPr>
                <w:sz w:val="1"/>
                <w:szCs w:val="1"/>
                <w:color w:val="auto"/>
              </w:rPr>
            </w:pPr>
          </w:p>
        </w:tc>
      </w:tr>
      <w:tr>
        <w:trPr>
          <w:trHeight w:val="296"/>
        </w:trPr>
        <w:tc>
          <w:tcPr>
            <w:tcW w:w="8220" w:type="dxa"/>
            <w:vAlign w:val="bottom"/>
            <w:gridSpan w:val="2"/>
          </w:tcPr>
          <w:p>
            <w:pPr>
              <w:spacing w:after="0"/>
              <w:rPr>
                <w:sz w:val="20"/>
                <w:szCs w:val="20"/>
                <w:color w:val="auto"/>
              </w:rPr>
            </w:pPr>
            <w:r>
              <w:rPr>
                <w:rFonts w:ascii="Courier New" w:cs="Courier New" w:eastAsia="Courier New" w:hAnsi="Courier New"/>
                <w:sz w:val="18"/>
                <w:szCs w:val="18"/>
                <w:color w:val="auto"/>
              </w:rPr>
              <w:t>upon whose work we are dependent were as follows:</w:t>
            </w:r>
          </w:p>
        </w:tc>
        <w:tc>
          <w:tcPr>
            <w:tcW w:w="0" w:type="dxa"/>
            <w:vAlign w:val="bottom"/>
          </w:tcPr>
          <w:p>
            <w:pPr>
              <w:spacing w:after="0"/>
              <w:rPr>
                <w:sz w:val="1"/>
                <w:szCs w:val="1"/>
                <w:color w:val="auto"/>
              </w:rPr>
            </w:pPr>
          </w:p>
        </w:tc>
      </w:tr>
      <w:tr>
        <w:trPr>
          <w:trHeight w:val="311"/>
        </w:trPr>
        <w:tc>
          <w:tcPr>
            <w:tcW w:w="8220" w:type="dxa"/>
            <w:vAlign w:val="bottom"/>
            <w:gridSpan w:val="2"/>
          </w:tcPr>
          <w:p>
            <w:pPr>
              <w:jc w:val="center"/>
              <w:ind w:right="3812"/>
              <w:spacing w:after="0"/>
              <w:rPr>
                <w:sz w:val="20"/>
                <w:szCs w:val="20"/>
                <w:color w:val="auto"/>
              </w:rPr>
            </w:pPr>
            <w:r>
              <w:rPr>
                <w:rFonts w:ascii="Courier New" w:cs="Courier New" w:eastAsia="Courier New" w:hAnsi="Courier New"/>
                <w:sz w:val="18"/>
                <w:szCs w:val="18"/>
                <w:color w:val="auto"/>
                <w:w w:val="97"/>
              </w:rPr>
              <w:t>NAME AGE POSITION - ---- ---- --------</w:t>
            </w:r>
          </w:p>
        </w:tc>
        <w:tc>
          <w:tcPr>
            <w:tcW w:w="0" w:type="dxa"/>
            <w:vAlign w:val="bottom"/>
          </w:tcPr>
          <w:p>
            <w:pPr>
              <w:spacing w:after="0"/>
              <w:rPr>
                <w:sz w:val="1"/>
                <w:szCs w:val="1"/>
                <w:color w:val="auto"/>
              </w:rPr>
            </w:pPr>
          </w:p>
        </w:tc>
      </w:tr>
      <w:tr>
        <w:trPr>
          <w:trHeight w:val="203"/>
        </w:trPr>
        <w:tc>
          <w:tcPr>
            <w:tcW w:w="52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83"/>
              </w:rPr>
              <w:t>(3)......................</w:t>
            </w:r>
          </w:p>
        </w:tc>
        <w:tc>
          <w:tcPr>
            <w:tcW w:w="7700" w:type="dxa"/>
            <w:vAlign w:val="bottom"/>
          </w:tcPr>
          <w:p>
            <w:pPr>
              <w:jc w:val="center"/>
              <w:ind w:right="4332"/>
              <w:spacing w:after="0" w:line="203" w:lineRule="exact"/>
              <w:rPr>
                <w:sz w:val="20"/>
                <w:szCs w:val="20"/>
                <w:color w:val="auto"/>
              </w:rPr>
            </w:pPr>
            <w:r>
              <w:rPr>
                <w:rFonts w:ascii="Courier New" w:cs="Courier New" w:eastAsia="Courier New" w:hAnsi="Courier New"/>
                <w:sz w:val="18"/>
                <w:szCs w:val="18"/>
                <w:color w:val="auto"/>
                <w:w w:val="98"/>
              </w:rPr>
              <w:t>Bruce K. Anderson(1)</w:t>
            </w:r>
          </w:p>
        </w:tc>
        <w:tc>
          <w:tcPr>
            <w:tcW w:w="0" w:type="dxa"/>
            <w:vAlign w:val="bottom"/>
          </w:tcPr>
          <w:p>
            <w:pPr>
              <w:spacing w:after="0"/>
              <w:rPr>
                <w:sz w:val="1"/>
                <w:szCs w:val="1"/>
                <w:color w:val="auto"/>
              </w:rPr>
            </w:pPr>
          </w:p>
        </w:tc>
      </w:tr>
      <w:tr>
        <w:trPr>
          <w:trHeight w:val="203"/>
        </w:trPr>
        <w:tc>
          <w:tcPr>
            <w:tcW w:w="520" w:type="dxa"/>
            <w:vAlign w:val="bottom"/>
            <w:vMerge w:val="continue"/>
          </w:tcPr>
          <w:p>
            <w:pPr>
              <w:spacing w:after="0"/>
              <w:rPr>
                <w:sz w:val="17"/>
                <w:szCs w:val="17"/>
                <w:color w:val="auto"/>
              </w:rPr>
            </w:pPr>
          </w:p>
        </w:tc>
        <w:tc>
          <w:tcPr>
            <w:tcW w:w="7700" w:type="dxa"/>
            <w:vAlign w:val="bottom"/>
          </w:tcPr>
          <w:p>
            <w:pPr>
              <w:ind w:left="2280"/>
              <w:spacing w:after="0" w:line="203" w:lineRule="exact"/>
              <w:rPr>
                <w:sz w:val="20"/>
                <w:szCs w:val="20"/>
                <w:color w:val="auto"/>
              </w:rPr>
            </w:pPr>
            <w:r>
              <w:rPr>
                <w:rFonts w:ascii="Courier New" w:cs="Courier New" w:eastAsia="Courier New" w:hAnsi="Courier New"/>
                <w:sz w:val="18"/>
                <w:szCs w:val="18"/>
                <w:color w:val="auto"/>
              </w:rPr>
              <w:t>63 Chairman of</w:t>
            </w:r>
          </w:p>
        </w:tc>
        <w:tc>
          <w:tcPr>
            <w:tcW w:w="0" w:type="dxa"/>
            <w:vAlign w:val="bottom"/>
          </w:tcPr>
          <w:p>
            <w:pPr>
              <w:spacing w:after="0"/>
              <w:rPr>
                <w:sz w:val="1"/>
                <w:szCs w:val="1"/>
                <w:color w:val="auto"/>
              </w:rPr>
            </w:pPr>
          </w:p>
        </w:tc>
      </w:tr>
      <w:tr>
        <w:trPr>
          <w:trHeight w:val="203"/>
        </w:trPr>
        <w:tc>
          <w:tcPr>
            <w:tcW w:w="8220" w:type="dxa"/>
            <w:vAlign w:val="bottom"/>
            <w:gridSpan w:val="2"/>
          </w:tcPr>
          <w:p>
            <w:pPr>
              <w:jc w:val="center"/>
              <w:ind w:right="3812"/>
              <w:spacing w:after="0" w:line="203" w:lineRule="exact"/>
              <w:rPr>
                <w:sz w:val="20"/>
                <w:szCs w:val="20"/>
                <w:color w:val="auto"/>
              </w:rPr>
            </w:pPr>
            <w:r>
              <w:rPr>
                <w:rFonts w:ascii="Courier New" w:cs="Courier New" w:eastAsia="Courier New" w:hAnsi="Courier New"/>
                <w:sz w:val="18"/>
                <w:szCs w:val="18"/>
                <w:color w:val="auto"/>
                <w:w w:val="97"/>
              </w:rPr>
              <w:t>the Board and President, Amdocs Limited</w:t>
            </w:r>
          </w:p>
        </w:tc>
        <w:tc>
          <w:tcPr>
            <w:tcW w:w="0" w:type="dxa"/>
            <w:vAlign w:val="bottom"/>
          </w:tcPr>
          <w:p>
            <w:pPr>
              <w:spacing w:after="0"/>
              <w:rPr>
                <w:sz w:val="1"/>
                <w:szCs w:val="1"/>
                <w:color w:val="auto"/>
              </w:rPr>
            </w:pPr>
          </w:p>
        </w:tc>
      </w:tr>
      <w:tr>
        <w:trPr>
          <w:trHeight w:val="203"/>
        </w:trPr>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w:t>
            </w:r>
          </w:p>
        </w:tc>
        <w:tc>
          <w:tcPr>
            <w:tcW w:w="7700" w:type="dxa"/>
            <w:vAlign w:val="bottom"/>
          </w:tcPr>
          <w:p>
            <w:pPr>
              <w:jc w:val="center"/>
              <w:ind w:right="4312"/>
              <w:spacing w:after="0" w:line="203" w:lineRule="exact"/>
              <w:rPr>
                <w:sz w:val="20"/>
                <w:szCs w:val="20"/>
                <w:color w:val="auto"/>
              </w:rPr>
            </w:pPr>
            <w:r>
              <w:rPr>
                <w:rFonts w:ascii="Courier New" w:cs="Courier New" w:eastAsia="Courier New" w:hAnsi="Courier New"/>
                <w:sz w:val="18"/>
                <w:szCs w:val="18"/>
                <w:color w:val="auto"/>
                <w:w w:val="97"/>
              </w:rPr>
              <w:t>Avinoam Naor(1)</w:t>
            </w:r>
          </w:p>
        </w:tc>
        <w:tc>
          <w:tcPr>
            <w:tcW w:w="0" w:type="dxa"/>
            <w:vAlign w:val="bottom"/>
          </w:tcPr>
          <w:p>
            <w:pPr>
              <w:spacing w:after="0"/>
              <w:rPr>
                <w:sz w:val="1"/>
                <w:szCs w:val="1"/>
                <w:color w:val="auto"/>
              </w:rPr>
            </w:pPr>
          </w:p>
        </w:tc>
      </w:tr>
      <w:tr>
        <w:trPr>
          <w:trHeight w:val="203"/>
        </w:trPr>
        <w:tc>
          <w:tcPr>
            <w:tcW w:w="52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7700" w:type="dxa"/>
            <w:vAlign w:val="bottom"/>
          </w:tcPr>
          <w:p>
            <w:pPr>
              <w:ind w:left="2900"/>
              <w:spacing w:after="0" w:line="203" w:lineRule="exact"/>
              <w:rPr>
                <w:sz w:val="20"/>
                <w:szCs w:val="20"/>
                <w:color w:val="auto"/>
              </w:rPr>
            </w:pPr>
            <w:r>
              <w:rPr>
                <w:rFonts w:ascii="Courier New" w:cs="Courier New" w:eastAsia="Courier New" w:hAnsi="Courier New"/>
                <w:sz w:val="18"/>
                <w:szCs w:val="18"/>
                <w:color w:val="auto"/>
              </w:rPr>
              <w:t>55 Vice</w:t>
            </w:r>
          </w:p>
        </w:tc>
        <w:tc>
          <w:tcPr>
            <w:tcW w:w="0" w:type="dxa"/>
            <w:vAlign w:val="bottom"/>
          </w:tcPr>
          <w:p>
            <w:pPr>
              <w:spacing w:after="0"/>
              <w:rPr>
                <w:sz w:val="1"/>
                <w:szCs w:val="1"/>
                <w:color w:val="auto"/>
              </w:rPr>
            </w:pPr>
          </w:p>
        </w:tc>
      </w:tr>
      <w:tr>
        <w:trPr>
          <w:trHeight w:val="296"/>
        </w:trPr>
        <w:tc>
          <w:tcPr>
            <w:tcW w:w="520" w:type="dxa"/>
            <w:vAlign w:val="bottom"/>
          </w:tcPr>
          <w:p>
            <w:pPr>
              <w:spacing w:after="0"/>
              <w:rPr>
                <w:sz w:val="24"/>
                <w:szCs w:val="24"/>
                <w:color w:val="auto"/>
              </w:rPr>
            </w:pPr>
          </w:p>
        </w:tc>
        <w:tc>
          <w:tcPr>
            <w:tcW w:w="7700" w:type="dxa"/>
            <w:vAlign w:val="bottom"/>
          </w:tcPr>
          <w:p>
            <w:pPr>
              <w:jc w:val="center"/>
              <w:ind w:right="4332"/>
              <w:spacing w:after="0"/>
              <w:rPr>
                <w:sz w:val="20"/>
                <w:szCs w:val="20"/>
                <w:color w:val="auto"/>
              </w:rPr>
            </w:pPr>
            <w:r>
              <w:rPr>
                <w:rFonts w:ascii="Courier New" w:cs="Courier New" w:eastAsia="Courier New" w:hAnsi="Courier New"/>
                <w:sz w:val="18"/>
                <w:szCs w:val="18"/>
                <w:color w:val="auto"/>
                <w:w w:val="97"/>
              </w:rPr>
              <w:t>Chairman, Amdocs Limited Adrian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3840" w:type="dxa"/>
            <w:vAlign w:val="bottom"/>
          </w:tcPr>
          <w:p>
            <w:pPr>
              <w:ind w:left="100"/>
              <w:spacing w:after="0"/>
              <w:rPr>
                <w:sz w:val="20"/>
                <w:szCs w:val="20"/>
                <w:color w:val="auto"/>
              </w:rPr>
            </w:pPr>
            <w:r>
              <w:rPr>
                <w:rFonts w:ascii="Courier New" w:cs="Courier New" w:eastAsia="Courier New" w:hAnsi="Courier New"/>
                <w:sz w:val="18"/>
                <w:szCs w:val="18"/>
                <w:color w:val="auto"/>
                <w:w w:val="98"/>
              </w:rPr>
              <w:t>Brodsky............................</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70</w:t>
            </w:r>
          </w:p>
        </w:tc>
        <w:tc>
          <w:tcPr>
            <w:tcW w:w="0" w:type="dxa"/>
            <w:vAlign w:val="bottom"/>
          </w:tcPr>
          <w:p>
            <w:pPr>
              <w:spacing w:after="0"/>
              <w:rPr>
                <w:sz w:val="1"/>
                <w:szCs w:val="1"/>
                <w:color w:val="auto"/>
              </w:rPr>
            </w:pPr>
          </w:p>
        </w:tc>
      </w:tr>
      <w:tr>
        <w:trPr>
          <w:trHeight w:val="203"/>
        </w:trPr>
        <w:tc>
          <w:tcPr>
            <w:tcW w:w="42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Director, Amdocs Limited Charles E.</w:t>
            </w:r>
          </w:p>
        </w:tc>
        <w:tc>
          <w:tcPr>
            <w:tcW w:w="0" w:type="dxa"/>
            <w:vAlign w:val="bottom"/>
          </w:tcPr>
          <w:p>
            <w:pPr>
              <w:spacing w:after="0"/>
              <w:rPr>
                <w:sz w:val="1"/>
                <w:szCs w:val="1"/>
                <w:color w:val="auto"/>
              </w:rPr>
            </w:pPr>
          </w:p>
        </w:tc>
      </w:tr>
      <w:tr>
        <w:trPr>
          <w:trHeight w:val="203"/>
        </w:trPr>
        <w:tc>
          <w:tcPr>
            <w:tcW w:w="3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Foster(2).........................</w:t>
            </w:r>
          </w:p>
        </w:tc>
        <w:tc>
          <w:tcPr>
            <w:tcW w:w="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2"/>
              </w:rPr>
              <w:t>67</w:t>
            </w:r>
          </w:p>
        </w:tc>
        <w:tc>
          <w:tcPr>
            <w:tcW w:w="0" w:type="dxa"/>
            <w:vAlign w:val="bottom"/>
          </w:tcPr>
          <w:p>
            <w:pPr>
              <w:spacing w:after="0"/>
              <w:rPr>
                <w:sz w:val="1"/>
                <w:szCs w:val="1"/>
                <w:color w:val="auto"/>
              </w:rPr>
            </w:pPr>
          </w:p>
        </w:tc>
      </w:tr>
      <w:tr>
        <w:trPr>
          <w:trHeight w:val="203"/>
        </w:trPr>
        <w:tc>
          <w:tcPr>
            <w:tcW w:w="3840" w:type="dxa"/>
            <w:vAlign w:val="bottom"/>
          </w:tcPr>
          <w:p>
            <w:pPr>
              <w:jc w:val="center"/>
              <w:ind w:left="274"/>
              <w:spacing w:after="0" w:line="203" w:lineRule="exact"/>
              <w:rPr>
                <w:sz w:val="20"/>
                <w:szCs w:val="20"/>
                <w:color w:val="auto"/>
              </w:rPr>
            </w:pPr>
            <w:r>
              <w:rPr>
                <w:rFonts w:ascii="Courier New" w:cs="Courier New" w:eastAsia="Courier New" w:hAnsi="Courier New"/>
                <w:sz w:val="18"/>
                <w:szCs w:val="18"/>
                <w:color w:val="auto"/>
                <w:w w:val="97"/>
              </w:rPr>
              <w:t>Director, Amdocs Limited James S.</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56</w:t>
            </w:r>
          </w:p>
        </w:tc>
        <w:tc>
          <w:tcPr>
            <w:tcW w:w="0" w:type="dxa"/>
            <w:vAlign w:val="bottom"/>
          </w:tcPr>
          <w:p>
            <w:pPr>
              <w:spacing w:after="0"/>
              <w:rPr>
                <w:sz w:val="1"/>
                <w:szCs w:val="1"/>
                <w:color w:val="auto"/>
              </w:rPr>
            </w:pPr>
          </w:p>
        </w:tc>
      </w:tr>
      <w:tr>
        <w:trPr>
          <w:trHeight w:val="203"/>
        </w:trPr>
        <w:tc>
          <w:tcPr>
            <w:tcW w:w="3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Kahan(1)(3).........................</w:t>
            </w:r>
          </w:p>
        </w:tc>
        <w:tc>
          <w:tcPr>
            <w:tcW w:w="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jc w:val="center"/>
              <w:ind w:left="334"/>
              <w:spacing w:after="0" w:line="202" w:lineRule="exact"/>
              <w:rPr>
                <w:sz w:val="20"/>
                <w:szCs w:val="20"/>
                <w:color w:val="auto"/>
              </w:rPr>
            </w:pPr>
            <w:r>
              <w:rPr>
                <w:rFonts w:ascii="Courier New" w:cs="Courier New" w:eastAsia="Courier New" w:hAnsi="Courier New"/>
                <w:sz w:val="13"/>
                <w:szCs w:val="13"/>
                <w:color w:val="auto"/>
                <w:w w:val="74"/>
              </w:rPr>
              <w:t>Director,</w:t>
            </w:r>
            <w:r>
              <w:rPr>
                <w:rFonts w:ascii="Courier New" w:cs="Courier New" w:eastAsia="Courier New" w:hAnsi="Courier New"/>
                <w:sz w:val="23"/>
                <w:szCs w:val="23"/>
                <w:color w:val="auto"/>
                <w:w w:val="74"/>
                <w:vertAlign w:val="subscript"/>
              </w:rPr>
              <w:t>..........................</w:t>
            </w:r>
            <w:r>
              <w:rPr>
                <w:rFonts w:ascii="Courier New" w:cs="Courier New" w:eastAsia="Courier New" w:hAnsi="Courier New"/>
                <w:sz w:val="13"/>
                <w:szCs w:val="13"/>
                <w:color w:val="auto"/>
                <w:w w:val="74"/>
              </w:rPr>
              <w:t>AmdocsLimitedJohnT.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58</w:t>
            </w: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McLennan(2)</w:t>
            </w:r>
          </w:p>
        </w:tc>
        <w:tc>
          <w:tcPr>
            <w:tcW w:w="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Director, Amdocs Limited Robert A.</w:t>
            </w:r>
          </w:p>
        </w:tc>
        <w:tc>
          <w:tcPr>
            <w:tcW w:w="0" w:type="dxa"/>
            <w:vAlign w:val="bottom"/>
          </w:tcPr>
          <w:p>
            <w:pPr>
              <w:spacing w:after="0"/>
              <w:rPr>
                <w:sz w:val="1"/>
                <w:szCs w:val="1"/>
                <w:color w:val="auto"/>
              </w:rPr>
            </w:pPr>
          </w:p>
        </w:tc>
      </w:tr>
      <w:tr>
        <w:trPr>
          <w:trHeight w:val="203"/>
        </w:trPr>
        <w:tc>
          <w:tcPr>
            <w:tcW w:w="3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Minicucci(1)(3)....................</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w:t>
            </w:r>
          </w:p>
        </w:tc>
        <w:tc>
          <w:tcPr>
            <w:tcW w:w="0" w:type="dxa"/>
            <w:vAlign w:val="bottom"/>
          </w:tcPr>
          <w:p>
            <w:pPr>
              <w:spacing w:after="0"/>
              <w:rPr>
                <w:sz w:val="1"/>
                <w:szCs w:val="1"/>
                <w:color w:val="auto"/>
              </w:rPr>
            </w:pPr>
          </w:p>
        </w:tc>
      </w:tr>
      <w:tr>
        <w:trPr>
          <w:trHeight w:val="203"/>
        </w:trPr>
        <w:tc>
          <w:tcPr>
            <w:tcW w:w="42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Director and Vice President, Amdocs</w:t>
            </w:r>
          </w:p>
        </w:tc>
        <w:tc>
          <w:tcPr>
            <w:tcW w:w="0" w:type="dxa"/>
            <w:vAlign w:val="bottom"/>
          </w:tcPr>
          <w:p>
            <w:pPr>
              <w:spacing w:after="0"/>
              <w:rPr>
                <w:sz w:val="1"/>
                <w:szCs w:val="1"/>
                <w:color w:val="auto"/>
              </w:rPr>
            </w:pPr>
          </w:p>
        </w:tc>
      </w:tr>
      <w:tr>
        <w:trPr>
          <w:trHeight w:val="296"/>
        </w:trPr>
        <w:tc>
          <w:tcPr>
            <w:tcW w:w="3840" w:type="dxa"/>
            <w:vAlign w:val="bottom"/>
          </w:tcPr>
          <w:p>
            <w:pPr>
              <w:jc w:val="center"/>
              <w:ind w:left="274"/>
              <w:spacing w:after="0"/>
              <w:rPr>
                <w:sz w:val="20"/>
                <w:szCs w:val="20"/>
                <w:color w:val="auto"/>
              </w:rPr>
            </w:pPr>
            <w:r>
              <w:rPr>
                <w:rFonts w:ascii="Courier New" w:cs="Courier New" w:eastAsia="Courier New" w:hAnsi="Courier New"/>
                <w:sz w:val="18"/>
                <w:szCs w:val="18"/>
                <w:color w:val="auto"/>
                <w:w w:val="96"/>
              </w:rPr>
              <w:t>Limited Mario</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tbl>
      <w:tblPr>
        <w:tblLayout w:type="fixed"/>
        <w:tblInd w:w="380" w:type="dxa"/>
        <w:tblCellMar>
          <w:top w:w="0" w:type="dxa"/>
          <w:left w:w="0" w:type="dxa"/>
          <w:bottom w:w="0" w:type="dxa"/>
          <w:right w:w="0" w:type="dxa"/>
        </w:tblCellMar>
      </w:tblPr>
      <w:tr>
        <w:trPr>
          <w:trHeight w:val="204"/>
        </w:trPr>
        <w:tc>
          <w:tcPr>
            <w:tcW w:w="3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86"/>
              </w:rPr>
              <w:t>(3)</w:t>
            </w:r>
          </w:p>
        </w:tc>
        <w:tc>
          <w:tcPr>
            <w:tcW w:w="3280" w:type="dxa"/>
            <w:vAlign w:val="bottom"/>
          </w:tcPr>
          <w:p>
            <w:pPr>
              <w:jc w:val="right"/>
              <w:ind w:right="1192"/>
              <w:spacing w:after="0"/>
              <w:rPr>
                <w:sz w:val="20"/>
                <w:szCs w:val="20"/>
                <w:color w:val="auto"/>
              </w:rPr>
            </w:pPr>
            <w:r>
              <w:rPr>
                <w:rFonts w:ascii="Courier New" w:cs="Courier New" w:eastAsia="Courier New" w:hAnsi="Courier New"/>
                <w:sz w:val="18"/>
                <w:szCs w:val="18"/>
                <w:color w:val="auto"/>
              </w:rPr>
              <w:t>Baharav(1)</w:t>
            </w:r>
          </w:p>
        </w:tc>
        <w:tc>
          <w:tcPr>
            <w:tcW w:w="0" w:type="dxa"/>
            <w:vAlign w:val="bottom"/>
          </w:tcPr>
          <w:p>
            <w:pPr>
              <w:spacing w:after="0"/>
              <w:rPr>
                <w:sz w:val="1"/>
                <w:szCs w:val="1"/>
                <w:color w:val="auto"/>
              </w:rPr>
            </w:pPr>
          </w:p>
        </w:tc>
      </w:tr>
      <w:tr>
        <w:trPr>
          <w:trHeight w:val="296"/>
        </w:trPr>
        <w:tc>
          <w:tcPr>
            <w:tcW w:w="300" w:type="dxa"/>
            <w:vAlign w:val="bottom"/>
            <w:vMerge w:val="continue"/>
          </w:tcPr>
          <w:p>
            <w:pPr>
              <w:spacing w:after="0"/>
              <w:rPr>
                <w:sz w:val="24"/>
                <w:szCs w:val="24"/>
                <w:color w:val="auto"/>
              </w:rPr>
            </w:pPr>
          </w:p>
        </w:tc>
        <w:tc>
          <w:tcPr>
            <w:tcW w:w="3280" w:type="dxa"/>
            <w:vAlign w:val="bottom"/>
          </w:tcPr>
          <w:p>
            <w:pPr>
              <w:jc w:val="right"/>
              <w:spacing w:after="0"/>
              <w:rPr>
                <w:sz w:val="20"/>
                <w:szCs w:val="20"/>
                <w:color w:val="auto"/>
              </w:rPr>
            </w:pPr>
            <w:r>
              <w:rPr>
                <w:rFonts w:ascii="Courier New" w:cs="Courier New" w:eastAsia="Courier New" w:hAnsi="Courier New"/>
                <w:sz w:val="18"/>
                <w:szCs w:val="18"/>
                <w:color w:val="auto"/>
                <w:w w:val="97"/>
              </w:rPr>
              <w:t>............................ 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394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Vice President, Amdocs Management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Limited Nehemia</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61</w:t>
            </w:r>
          </w:p>
        </w:tc>
        <w:tc>
          <w:tcPr>
            <w:tcW w:w="0" w:type="dxa"/>
            <w:vAlign w:val="bottom"/>
          </w:tcPr>
          <w:p>
            <w:pPr>
              <w:spacing w:after="0"/>
              <w:rPr>
                <w:sz w:val="1"/>
                <w:szCs w:val="1"/>
                <w:color w:val="auto"/>
              </w:rPr>
            </w:pPr>
          </w:p>
        </w:tc>
      </w:tr>
      <w:tr>
        <w:trPr>
          <w:trHeight w:val="296"/>
        </w:trPr>
        <w:tc>
          <w:tcPr>
            <w:tcW w:w="3940" w:type="dxa"/>
            <w:vAlign w:val="bottom"/>
          </w:tcPr>
          <w:p>
            <w:pPr>
              <w:spacing w:after="0"/>
              <w:rPr>
                <w:sz w:val="20"/>
                <w:szCs w:val="20"/>
                <w:color w:val="auto"/>
              </w:rPr>
            </w:pPr>
            <w:r>
              <w:rPr>
                <w:rFonts w:ascii="Courier New" w:cs="Courier New" w:eastAsia="Courier New" w:hAnsi="Courier New"/>
                <w:sz w:val="18"/>
                <w:szCs w:val="18"/>
                <w:color w:val="auto"/>
                <w:w w:val="98"/>
              </w:rPr>
              <w:t>Lemelbaum............................</w:t>
            </w:r>
          </w:p>
        </w:tc>
        <w:tc>
          <w:tcPr>
            <w:tcW w:w="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3900" w:type="dxa"/>
            <w:vAlign w:val="bottom"/>
          </w:tcPr>
          <w:p>
            <w:pPr>
              <w:jc w:val="center"/>
              <w:ind w:left="212"/>
              <w:spacing w:after="0"/>
              <w:rPr>
                <w:sz w:val="20"/>
                <w:szCs w:val="20"/>
                <w:color w:val="auto"/>
              </w:rPr>
            </w:pPr>
            <w:r>
              <w:rPr>
                <w:rFonts w:ascii="Courier New" w:cs="Courier New" w:eastAsia="Courier New" w:hAnsi="Courier New"/>
                <w:sz w:val="18"/>
                <w:szCs w:val="18"/>
                <w:color w:val="auto"/>
                <w:w w:val="96"/>
              </w:rPr>
              <w:t>Limited David</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Avner..................................</w:t>
            </w:r>
          </w:p>
        </w:tc>
        <w:tc>
          <w:tcPr>
            <w:tcW w:w="0" w:type="dxa"/>
            <w:vAlign w:val="bottom"/>
          </w:tcPr>
          <w:p>
            <w:pPr>
              <w:spacing w:after="0"/>
              <w:rPr>
                <w:sz w:val="1"/>
                <w:szCs w:val="1"/>
                <w:color w:val="auto"/>
              </w:rPr>
            </w:pPr>
          </w:p>
        </w:tc>
      </w:tr>
      <w:tr>
        <w:trPr>
          <w:trHeight w:val="203"/>
        </w:trPr>
        <w:tc>
          <w:tcPr>
            <w:tcW w:w="390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52 Senior Vice President, Amdocs</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Management Limited Nissim</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Daunov................................</w:t>
            </w:r>
          </w:p>
        </w:tc>
        <w:tc>
          <w:tcPr>
            <w:tcW w:w="0" w:type="dxa"/>
            <w:vAlign w:val="bottom"/>
          </w:tcPr>
          <w:p>
            <w:pPr>
              <w:spacing w:after="0"/>
              <w:rPr>
                <w:sz w:val="1"/>
                <w:szCs w:val="1"/>
                <w:color w:val="auto"/>
              </w:rPr>
            </w:pPr>
          </w:p>
        </w:tc>
      </w:tr>
      <w:tr>
        <w:trPr>
          <w:trHeight w:val="203"/>
        </w:trPr>
        <w:tc>
          <w:tcPr>
            <w:tcW w:w="390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46 Senior Vice President, Amdocs</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Management Limited Thomas G.</w:t>
            </w:r>
          </w:p>
        </w:tc>
        <w:tc>
          <w:tcPr>
            <w:tcW w:w="3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83"/>
              </w:rPr>
              <w:t>43</w:t>
            </w:r>
          </w:p>
        </w:tc>
        <w:tc>
          <w:tcPr>
            <w:tcW w:w="0" w:type="dxa"/>
            <w:vAlign w:val="bottom"/>
          </w:tcPr>
          <w:p>
            <w:pPr>
              <w:spacing w:after="0"/>
              <w:rPr>
                <w:sz w:val="1"/>
                <w:szCs w:val="1"/>
                <w:color w:val="auto"/>
              </w:rPr>
            </w:pPr>
          </w:p>
        </w:tc>
      </w:tr>
      <w:tr>
        <w:trPr>
          <w:trHeight w:val="203"/>
        </w:trPr>
        <w:tc>
          <w:tcPr>
            <w:tcW w:w="3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O'Brien............................</w:t>
            </w: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Treasurer and Secretary, Amdocs Limited</w:t>
            </w:r>
          </w:p>
        </w:tc>
        <w:tc>
          <w:tcPr>
            <w:tcW w:w="0" w:type="dxa"/>
            <w:vAlign w:val="bottom"/>
          </w:tcPr>
          <w:p>
            <w:pPr>
              <w:spacing w:after="0"/>
              <w:rPr>
                <w:sz w:val="1"/>
                <w:szCs w:val="1"/>
                <w:color w:val="auto"/>
              </w:rPr>
            </w:pPr>
          </w:p>
        </w:tc>
      </w:tr>
      <w:tr>
        <w:trPr>
          <w:trHeight w:val="203"/>
        </w:trPr>
        <w:tc>
          <w:tcPr>
            <w:tcW w:w="390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Melinos</w:t>
            </w:r>
          </w:p>
        </w:tc>
        <w:tc>
          <w:tcPr>
            <w:tcW w:w="3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35</w:t>
            </w:r>
          </w:p>
        </w:tc>
        <w:tc>
          <w:tcPr>
            <w:tcW w:w="0" w:type="dxa"/>
            <w:vAlign w:val="bottom"/>
          </w:tcPr>
          <w:p>
            <w:pPr>
              <w:spacing w:after="0"/>
              <w:rPr>
                <w:sz w:val="1"/>
                <w:szCs w:val="1"/>
                <w:color w:val="auto"/>
              </w:rPr>
            </w:pPr>
          </w:p>
        </w:tc>
      </w:tr>
      <w:tr>
        <w:trPr>
          <w:trHeight w:val="235"/>
        </w:trPr>
        <w:tc>
          <w:tcPr>
            <w:tcW w:w="3900" w:type="dxa"/>
            <w:vAlign w:val="bottom"/>
          </w:tcPr>
          <w:p>
            <w:pPr>
              <w:jc w:val="center"/>
              <w:spacing w:after="0"/>
              <w:rPr>
                <w:sz w:val="20"/>
                <w:szCs w:val="20"/>
                <w:color w:val="auto"/>
              </w:rPr>
            </w:pPr>
            <w:r>
              <w:rPr>
                <w:rFonts w:ascii="Courier New" w:cs="Courier New" w:eastAsia="Courier New" w:hAnsi="Courier New"/>
                <w:sz w:val="18"/>
                <w:szCs w:val="18"/>
                <w:color w:val="auto"/>
                <w:w w:val="97"/>
              </w:rPr>
              <w:t>Pissourios...........................</w:t>
            </w:r>
          </w:p>
        </w:tc>
        <w:tc>
          <w:tcPr>
            <w:tcW w:w="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jc w:val="center"/>
        <w:ind w:right="5899"/>
        <w:spacing w:after="0" w:line="238" w:lineRule="auto"/>
        <w:rPr>
          <w:sz w:val="20"/>
          <w:szCs w:val="20"/>
          <w:color w:val="auto"/>
        </w:rPr>
      </w:pPr>
      <w:r>
        <w:rPr>
          <w:rFonts w:ascii="Courier New" w:cs="Courier New" w:eastAsia="Courier New" w:hAnsi="Courier New"/>
          <w:sz w:val="18"/>
          <w:szCs w:val="18"/>
          <w:color w:val="auto"/>
        </w:rPr>
        <w:t>Managing Director and General Manager,</w:t>
      </w:r>
    </w:p>
    <w:p>
      <w:pPr>
        <w:jc w:val="center"/>
        <w:ind w:right="5899"/>
        <w:spacing w:after="0"/>
        <w:rPr>
          <w:sz w:val="20"/>
          <w:szCs w:val="20"/>
          <w:color w:val="auto"/>
        </w:rPr>
      </w:pPr>
      <w:r>
        <w:rPr>
          <w:rFonts w:ascii="Courier New" w:cs="Courier New" w:eastAsia="Courier New" w:hAnsi="Courier New"/>
          <w:sz w:val="18"/>
          <w:szCs w:val="18"/>
          <w:color w:val="auto"/>
        </w:rPr>
        <w:t>Amdocs Development Limited Burt</w:t>
      </w:r>
    </w:p>
    <w:p>
      <w:pPr>
        <w:ind w:left="60"/>
        <w:spacing w:after="0" w:line="238" w:lineRule="auto"/>
        <w:rPr>
          <w:sz w:val="20"/>
          <w:szCs w:val="20"/>
          <w:color w:val="auto"/>
        </w:rPr>
      </w:pPr>
      <w:r>
        <w:rPr>
          <w:rFonts w:ascii="Courier New" w:cs="Courier New" w:eastAsia="Courier New" w:hAnsi="Courier New"/>
          <w:sz w:val="18"/>
          <w:szCs w:val="18"/>
          <w:color w:val="auto"/>
        </w:rPr>
        <w:t>Podbere.................................</w:t>
      </w:r>
    </w:p>
    <w:p>
      <w:pPr>
        <w:jc w:val="center"/>
        <w:ind w:right="5899"/>
        <w:spacing w:after="0"/>
        <w:rPr>
          <w:sz w:val="20"/>
          <w:szCs w:val="20"/>
          <w:color w:val="auto"/>
        </w:rPr>
      </w:pPr>
      <w:r>
        <w:rPr>
          <w:rFonts w:ascii="Courier New" w:cs="Courier New" w:eastAsia="Courier New" w:hAnsi="Courier New"/>
          <w:sz w:val="18"/>
          <w:szCs w:val="18"/>
          <w:color w:val="auto"/>
        </w:rPr>
        <w:t>37 General Manager, Amdocs Software</w:t>
      </w:r>
    </w:p>
    <w:p>
      <w:pPr>
        <w:jc w:val="center"/>
        <w:ind w:right="5899"/>
        <w:spacing w:after="0"/>
        <w:rPr>
          <w:sz w:val="20"/>
          <w:szCs w:val="20"/>
          <w:color w:val="auto"/>
        </w:rPr>
      </w:pPr>
      <w:r>
        <w:rPr>
          <w:rFonts w:ascii="Courier New" w:cs="Courier New" w:eastAsia="Courier New" w:hAnsi="Courier New"/>
          <w:sz w:val="18"/>
          <w:szCs w:val="18"/>
          <w:color w:val="auto"/>
        </w:rPr>
        <w:t>Systems Limited</w:t>
      </w:r>
    </w:p>
    <w:p>
      <w:pPr>
        <w:spacing w:after="0" w:line="372"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Executive Committee</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Audit Committee</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Compensation Committee</w:t>
      </w:r>
    </w:p>
    <w:p>
      <w:pPr>
        <w:spacing w:after="0" w:line="201" w:lineRule="exact"/>
        <w:rPr>
          <w:sz w:val="20"/>
          <w:szCs w:val="20"/>
          <w:color w:val="auto"/>
        </w:rPr>
      </w:pPr>
    </w:p>
    <w:p>
      <w:pPr>
        <w:ind w:right="1999" w:firstLine="527"/>
        <w:spacing w:after="0" w:line="283" w:lineRule="auto"/>
        <w:rPr>
          <w:sz w:val="20"/>
          <w:szCs w:val="20"/>
          <w:color w:val="auto"/>
        </w:rPr>
      </w:pPr>
      <w:r>
        <w:rPr>
          <w:rFonts w:ascii="Courier New" w:cs="Courier New" w:eastAsia="Courier New" w:hAnsi="Courier New"/>
          <w:sz w:val="16"/>
          <w:szCs w:val="16"/>
          <w:color w:val="auto"/>
        </w:rPr>
        <w:t>Bruce K. Anderson has been Chairman of the Board of Directors of Amdocs since September 1997 and, until September 2004, held the title of President of our holding company, Amdocs Limited. Since August 1978, he has been a general partner of Welsh, Carson, Anderson &amp; Stowe ("WCAS"), an investment firm that specializes in the acquisition of companies in the information services, communications and health care industries. Until September 2003, investment partnerships affiliated with WCAS had been among our largest shareholders. Mr. Anderson served for nine years with Automated Data Processing, Inc. ("ADP") until his resignation as Executive Vice President and a director of ADP, and President of ADP International, effective August 1978. Mr. Anderson serves on the board of Alliance Data Systems, Inc., a publicly held company, and</w:t>
      </w:r>
    </w:p>
    <w:p>
      <w:pPr>
        <w:sectPr>
          <w:pgSz w:w="11900" w:h="16838" w:orient="portrait"/>
          <w:cols w:equalWidth="0" w:num="1">
            <w:col w:w="10219"/>
          </w:cols>
          <w:pgMar w:left="240" w:top="689" w:right="1440" w:bottom="0" w:gutter="0" w:footer="0" w:header="0"/>
        </w:sectPr>
      </w:pPr>
    </w:p>
    <w:bookmarkStart w:id="55" w:name="page56"/>
    <w:bookmarkEnd w:id="55"/>
    <w:p>
      <w:pPr>
        <w:spacing w:after="0"/>
        <w:rPr>
          <w:sz w:val="20"/>
          <w:szCs w:val="20"/>
          <w:color w:val="auto"/>
        </w:rPr>
      </w:pPr>
      <w:r>
        <w:rPr>
          <w:rFonts w:ascii="Courier New" w:cs="Courier New" w:eastAsia="Courier New" w:hAnsi="Courier New"/>
          <w:sz w:val="18"/>
          <w:szCs w:val="18"/>
          <w:color w:val="auto"/>
        </w:rPr>
        <w:t>Headstrong, Inc.</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Avinoam Naor served as a director of Amdocs from January 1999 and held the title of Vice Chairman of the Board of Directors from July 2002. Mr. Naor was a member of the team that founded Amdocs in 1982, initially serving as a Senior Vice President. He was appointed President and Chief Executive Officer of Amdocs Management Limited in 1995 and he held that position until July 2002. In 1998 he led our initial public offering, and while he was Chief Executive Officer of Amdocs Management</w:t>
      </w:r>
    </w:p>
    <w:p>
      <w:pPr>
        <w:spacing w:after="0" w:line="9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110" w:right="1440" w:bottom="1440" w:gutter="0" w:footer="0" w:header="0"/>
        </w:sectPr>
      </w:pPr>
    </w:p>
    <w:bookmarkStart w:id="56" w:name="page57"/>
    <w:bookmarkEnd w:id="56"/>
    <w:p>
      <w:pPr>
        <w:ind w:right="1779"/>
        <w:spacing w:after="0" w:line="292" w:lineRule="auto"/>
        <w:rPr>
          <w:sz w:val="20"/>
          <w:szCs w:val="20"/>
          <w:color w:val="auto"/>
        </w:rPr>
      </w:pPr>
      <w:r>
        <w:rPr>
          <w:rFonts w:ascii="Courier New" w:cs="Courier New" w:eastAsia="Courier New" w:hAnsi="Courier New"/>
          <w:sz w:val="18"/>
          <w:szCs w:val="18"/>
          <w:color w:val="auto"/>
        </w:rPr>
        <w:t>Limited, he directed our major acquisitions and secondary offerings. He has been involved with software development for 29 years. Mr. Naor resigned from our Board of Directors in August 2004.</w:t>
      </w:r>
    </w:p>
    <w:p>
      <w:pPr>
        <w:spacing w:after="0" w:line="66"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Adrian Gardner has been a director of Amdocs since April 1998 and is Chairman of the Audit Committee. Mr. Gardner is the Chief Financial Officer and a director of Strakan Group, Ltd., a pharmaceuticals company based in the United Kingdom, which he joined in April 2002. Prior to joining Strakan, he was a Managing Director of Lazard LLC, based in London, where he worked with technology- and telecommunications-related companies. Prior to joining Lazard in 1989, Mr. Gardner qualified as a chartered accountant with Price Waterhouse (now PricewaterhouseCoopers). Mr. Gardner is a member of the Institute of Chartered Accountants in England &amp; Wales.</w:t>
      </w:r>
    </w:p>
    <w:p>
      <w:pPr>
        <w:spacing w:after="0" w:line="99"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Julian A. Brodsky has been a director of Amdocs since July 2003. Mr. Brodsky has served as a director and as Vice Chairman of Comcast Corporation for more than five years. Prior to November 2002, he served as a director and Vice Chairman of Comcast Holdings for more than five years. Mr. Brodsky is also Chairman of Comcast Interactive Capital, LP, a venture fund affiliated with Comcast. He is also a director of RBB Fund, Inc.</w:t>
      </w:r>
    </w:p>
    <w:p>
      <w:pPr>
        <w:spacing w:after="0" w:line="93"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Charles E. Foster has been a director of Amdocs since December 2001. He was Chairman of the Board of Prodigy Communications Corporation from June until November 2001. From April 1997 until June 2001, Mr. Foster served as Group President of SBC, where he was responsible, at various times, for engineering, network, centralized services, marketing and operations, information systems, procurement, treasury, international operations, wireless services, merger integration, real estate, yellow pages and cable TV operations. SBC International, Inc. ("SBCI"), a wholly owned subsidiary of SBC, is one of our largest shareholders. SBC, together with its affiliates, is a significant customer of ours. Mr. Foster is a member of the Texas Society of Professional Engineers and a director of Storage Technology Corporation, a publicly-traded company engaged in the manufacture of products for storing digital data.</w:t>
      </w:r>
    </w:p>
    <w:p>
      <w:pPr>
        <w:spacing w:after="0" w:line="78"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James S. Kahan has been a director of Amdocs since April 1998. He has worked at SBC since 1983, and currently serves as a Senior Executive Vice President, a position he has held since 1992. SBCI, a wholly owned subsidiary of SBC, is one of our largest shareholders. SBC, together with its subsidiaries, is a significant customer of ours. Prior to joining SBC, Mr. Kahan held various positions at several telecommunications companies, including Western Electric, Bell Laboratories, South Central Bell and AT&amp;T.</w:t>
      </w:r>
    </w:p>
    <w:p>
      <w:pPr>
        <w:spacing w:after="0" w:line="98"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John T. McLennan has been a director of Amdocs since November 1999. Since May 2000, he has served as Vice-Chair and Chief Executive Officer of Allstream (formerly AT&amp;T Canada). Mr. McLennan founded and was the President of Jenmark Consulting Inc. from 1997 until May 2000. From 1993 to 1997, Mr. McLennan served as the President and Chief Executive Officer of Bell Canada. Prior to that, he held various positions at several telecommunications companies, including BCE Mobile Communications and Cantel Inc. Mr. McLennan is also a director of Allstream, Hummingbird Ltd., a Canadian publicly held company engages in the production of enterprise management software, and of several other private software and communication companies.</w:t>
      </w:r>
    </w:p>
    <w:p>
      <w:pPr>
        <w:spacing w:after="0" w:line="104"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Robert A. Minicucci has been a director of Amdocs since September 1997 and, until September 2004, held the title of Vice President of our holding company, Amdocs Limited.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twelve years with Lehman Brothers (and its predecessors) until his resignation as a Managing Director in 1991. Mr. Minicucci is also a director of Alliance Data Systems, Inc., a publicly held company, and several private companies.</w:t>
      </w:r>
    </w:p>
    <w:p>
      <w:pPr>
        <w:spacing w:after="0" w:line="104"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Mario Segal has been a director of Amdocs since December 2001 and served as a Senior Vice President and the Chief Operating Officer of Amdocs Management Limited until July 2002. He joined Amdocs in 1984 as Senior Vice President and was a leading member of the team that developed the ADS (NG)/Family of Products directory automation systems and the Amdocs CC&amp;B Systems platform. Prior</w:t>
      </w:r>
    </w:p>
    <w:p>
      <w:pPr>
        <w:spacing w:after="0" w:line="6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691" w:right="1440" w:bottom="996" w:gutter="0" w:footer="0" w:header="0"/>
        </w:sectPr>
      </w:pPr>
    </w:p>
    <w:bookmarkStart w:id="57" w:name="page58"/>
    <w:bookmarkEnd w:id="57"/>
    <w:p>
      <w:pPr>
        <w:ind w:right="1999"/>
        <w:spacing w:after="0" w:line="274" w:lineRule="auto"/>
        <w:rPr>
          <w:sz w:val="20"/>
          <w:szCs w:val="20"/>
          <w:color w:val="auto"/>
        </w:rPr>
      </w:pPr>
      <w:r>
        <w:rPr>
          <w:rFonts w:ascii="Courier New" w:cs="Courier New" w:eastAsia="Courier New" w:hAnsi="Courier New"/>
          <w:sz w:val="18"/>
          <w:szCs w:val="18"/>
          <w:color w:val="auto"/>
        </w:rPr>
        <w:t>to joining Amdocs, Mr. Segal was an account manager for a major North American yellow pages publisher and prior thereto managed the computer department of a major Israeli insurance company, leading large-scale software development projects and strategic planning of automation systems.</w:t>
      </w:r>
    </w:p>
    <w:p>
      <w:pPr>
        <w:spacing w:after="0" w:line="82"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Dov Baharav has been a director of Amdocs and the President and Chief Executive Officer of Amdocs Management Limited since July 2002. Mr. Baharav has overall coordination responsibilities for the operations and activities of our operating subsidiaries. In 1991, Mr. Baharav joined Amdocs Inc., our principal U.S. subsidiary, serving as its Vice President and then President in St. Louis, Missouri until 1995. From 1995 until July 2002, Mr. Baharav was a Senior Vice President and the Chief Financial Officer of Amdocs Management Limited. Prior to joining Amdocs, Mr. Baharav served as Chief Operating Officer of Optrotech Ltd., a publicly held company that develops, manufactures and markets electro-optical devices.</w:t>
      </w:r>
    </w:p>
    <w:p>
      <w:pPr>
        <w:spacing w:after="0" w:line="104"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Eli Gelman has been a director of Amdocs since July 2002 and is the Executive Vice President of Amdocs Management Limited, where he has responsibility for sales, strategic alliances and corporate and business development. He has more than 26 years of experience in the software industry, including more than 15 years with Amdocs. Prior to his current position, he was a division president, where he headed our United States sales and marketing operations and helped spearhead our entry into the CC&amp;B Systems market. Before that, Mr. Gelman was an account manager for our major European and North American installations, and has led several major software development projects. Before joining Amdocs, Mr. Gelman was involved in the development of real-time software systems for communications networks.</w:t>
      </w:r>
    </w:p>
    <w:p>
      <w:pPr>
        <w:spacing w:after="0" w:line="104"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Nehemia Lemelbaum has been a director of Amdocs since December 2001 and is a Senior Vice President of Amdocs Management Limited. He joined Amdocs in 1985, with initial responsibility for U.S. operations. Mr. Lemelbaum led our development of graphic products for the yellow pages industry and later led our development of CC&amp;B Systems, as well as our penetration into the CC&amp;B Systems market. Prior to joining Amdocs, he served for nine years with Contahal Ltd., a leading Israeli software company, first as a senior consultant, and later as Managing Director. From 1967 to 1976, Mr. Lemelbaum was employed by the Ministry of Communications of Israel (the organization that predated Bezeq, the Israel Telecommunication Corp. Ltd.), with responsibility for computer technology in the area of business data processing.</w:t>
      </w:r>
    </w:p>
    <w:p>
      <w:pPr>
        <w:spacing w:after="0" w:line="294"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Ron Moskovitz is a Senior Vice President and the Chief Financial Officer of Amdocs Management Limited, and has overall coordination responsibility for the financial reporting of our operating subsidiaries. Mr. Moskovitz joined Amdocs in 1998 and served until July 2002 as Vice President of Finance. He has been responsible for the Company's financial organization, and was involved in Amdocs' initial public offering, merger and acquisition activities and various other financial operations. Prior to joining Amdocs, Mr. Moskovitz served in various senior financial positions with Tower Semiconductor, a publicly held semiconductor manufacturer. Mr. Moskovitz is a Certified Public Accountant (Isr).</w:t>
      </w:r>
    </w:p>
    <w:p>
      <w:pPr>
        <w:spacing w:after="0" w:line="104"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David Avner is a Senior Vice President of Amdocs Management Limited, where he has responsibility for corporate operations. Mr. Avner has had more than 20 years of experience in the software industry, including the four years he has been with Amdocs. Immediately prior to his current position, Mr. Avner was a group president, in which capacity he headed our European and Latin America operations. Before that, Mr. Avner was a vice president in charge of a number of major European and North American installations. Prior to joining Amdocs, Mr. Avner was the General Manager of Strauss Dairy (now part of the Strauss-Elite Group), a leading producer of dairy and other food products in Israel, and prior to that was its Chief Information Officer.</w:t>
      </w:r>
    </w:p>
    <w:p>
      <w:pPr>
        <w:spacing w:after="0" w:line="104"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Nissim Daunov was a Senior Vice President of Amdocs Management Limited until June 2004, and was responsible for new initiatives in financial services. For the past 23 years, Mr. Daunov has been involved in design, development and implementation of large-scale data processing systems, handling large data volumes over distributed networks. In the last year, Mr. Daunov was responsible for our product development and marketing organizations. Mr. Daunov joined Amdocs in 1986.</w:t>
      </w:r>
    </w:p>
    <w:p>
      <w:pPr>
        <w:spacing w:after="0" w:line="9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691" w:right="1440" w:bottom="1440" w:gutter="0" w:footer="0" w:header="0"/>
        </w:sectPr>
      </w:pPr>
    </w:p>
    <w:bookmarkStart w:id="58" w:name="page59"/>
    <w:bookmarkEnd w:id="58"/>
    <w:p>
      <w:pPr>
        <w:ind w:right="1779" w:firstLine="527"/>
        <w:spacing w:after="0" w:line="293" w:lineRule="auto"/>
        <w:rPr>
          <w:sz w:val="20"/>
          <w:szCs w:val="20"/>
          <w:color w:val="auto"/>
        </w:rPr>
      </w:pPr>
      <w:r>
        <w:rPr>
          <w:rFonts w:ascii="Courier New" w:cs="Courier New" w:eastAsia="Courier New" w:hAnsi="Courier New"/>
          <w:sz w:val="16"/>
          <w:szCs w:val="16"/>
          <w:color w:val="auto"/>
        </w:rPr>
        <w:t>Thomas G. O'Brien is Treasurer and Secretary of Amdocs Limited and since July 1995 has held other financial management positions within Amdocs. From July 1993 to July 1995, Mr. O'Brien was Controller of Big River Minerals Corporation, a diversified natural resources company. From 1989 to 1993, Mr. O'Brien was the Assistant Controller for Big River Minerals Corporation. From 1983 to 1989, Mr. O'Brien was with Arthur Young and Company (now Ernst &amp; Young LLP). Mr. O'Brien is a member of the American Institute of Certified Public Accountants.</w:t>
      </w:r>
    </w:p>
    <w:p>
      <w:pPr>
        <w:spacing w:after="0" w:line="72"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Melinos Pissourios is Managing Director and General Manager of Amdocs Development Limited. Mr. Pissourios, who joined Amdocs in April 1998, is also the Financial Controller of Amdocs Development Limited in Cyprus. Prior to joining Amdocs, Mr. Pissourios was the Group Financial Controller at AEC Holland Group. He also worked for KPMG Peat Marwick for four years. Mr. Pissourios is a member of the Institute of Chartered Accountants of England &amp; Wales and of the Cyprus Institute of Certified Public Accountants and he is a registered auditor in Cyprus.</w:t>
      </w:r>
    </w:p>
    <w:p>
      <w:pPr>
        <w:spacing w:after="0" w:line="104"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Burt Podbere has been the General Manager of Amdocs Software Systems Limited in Ireland since October 2002. He joined the Amdocs group in May 2001 as the financial director of Amdocs Canada Inc. Prior to joining Amdocs, Mr. Podbere was the Canadian Group Controller at US Filter Corporation, part of the Vivendi group of companies. He also worked for Ernst &amp; Young LLP for four years. Mr. Podbere is a member of the Canadian Institute of Chartered Accountants.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w:t>
      </w:r>
    </w:p>
    <w:p>
      <w:pPr>
        <w:spacing w:after="0" w:line="201"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Our directors who are not employees of the Company ("Non-Employee Directors") receive compensation for their services as directors in the form of cash and options to purchase ordinary shares. Our compensation policy, as modified as of October 1, 2003, provides that each Non-Employee Director receives an annual cash payment of $30,000. Each of our Non-Employee Directors also receives an initial option grant for the purchase of 10,000 ordinary shares. Thereafter, Non-Employee Directors receive an annual option grant for the purchase of 5,000 ordinary shares, except for Non-Employee Directors who are members of our Audit Committee, who receive an annual option grant for the purchase of 6,000 ordinary shares. All option grants to our Non-Employee Directors vest as to one-quarter of the shares immediately, with the remainder vesting annually in three equal installments. Each Non-Employee Director receives $1,500 per meeting of the Board of Directors and $1,000 per meeting of a committee of the Board of Directors, except for Non-Employee Directors who are members of our Audit Committee, who receive $2,000 per meeting of the Audit Committee. We reimburse all of our directors for their reasonable travel expenses incurred in connection with attending Board or committee meetings.</w:t>
      </w:r>
    </w:p>
    <w:p>
      <w:pPr>
        <w:spacing w:after="0" w:line="108"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A total of 20 persons who served either as directors of Amdocs or members of its administrative, supervisory or management bodies during all or part of fiscal 2003 received remuneration from Amdocs. The aggregate remuneration paid by us to such persons was approximately $9.7 million, which includes amounts set aside or accrued to provide pension, retirement or similar benefits, but does not include amounts expended by us for automobiles made available to such persons, expenses (including business travel, professional and business association dues) or other fringe benefits. Included in this amount is remuneration to three former executive officers and one former director for the applicable portions of fiscal 2003.</w:t>
      </w:r>
    </w:p>
    <w:p>
      <w:pPr>
        <w:spacing w:after="0" w:line="104"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During fiscal 2003, we granted options to purchase ordinary shares to certain of our Non-Employee Directors, but did not make any option grants to members of our administrative, supervisory or management bodies. We granted to five Non-Employee Directors options to purchase an aggregate of 51,000 ordinary shares at a weighted average price of $10.13 per share, with vesting over three year terms. To recognize significant contributions to Amdocs over the years, we also granted to three of our Non-Employee Directors options to purchase an aggregate of 159,000 ordinary shares at a weighted average exercise price of $8.83 per share, with vesting over three year terms.</w:t>
      </w:r>
    </w:p>
    <w:p>
      <w:pPr>
        <w:spacing w:after="0" w:line="99" w:lineRule="exact"/>
        <w:rPr>
          <w:sz w:val="20"/>
          <w:szCs w:val="20"/>
          <w:color w:val="auto"/>
        </w:rPr>
      </w:pPr>
    </w:p>
    <w:p>
      <w:pPr>
        <w:jc w:val="both"/>
        <w:ind w:right="2099" w:firstLine="527"/>
        <w:spacing w:after="0" w:line="292" w:lineRule="auto"/>
        <w:rPr>
          <w:sz w:val="20"/>
          <w:szCs w:val="20"/>
          <w:color w:val="auto"/>
        </w:rPr>
      </w:pPr>
      <w:r>
        <w:rPr>
          <w:rFonts w:ascii="Courier New" w:cs="Courier New" w:eastAsia="Courier New" w:hAnsi="Courier New"/>
          <w:sz w:val="18"/>
          <w:szCs w:val="18"/>
          <w:color w:val="auto"/>
        </w:rPr>
        <w:t>All options were granted pursuant to our 1998 Stock Option and Incentive Plan, as amended. See discussion below -- "Share Ownership -- Employee Stock Option and Incentive Plan".</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691"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BOARD PRACTICES</w:t>
      </w:r>
    </w:p>
    <w:p>
      <w:pPr>
        <w:spacing w:after="0" w:line="201" w:lineRule="exact"/>
        <w:rPr>
          <w:sz w:val="20"/>
          <w:szCs w:val="20"/>
          <w:color w:val="auto"/>
        </w:rPr>
      </w:pPr>
    </w:p>
    <w:p>
      <w:pPr>
        <w:ind w:right="2099" w:firstLine="527"/>
        <w:spacing w:after="0" w:line="287" w:lineRule="auto"/>
        <w:rPr>
          <w:sz w:val="20"/>
          <w:szCs w:val="20"/>
          <w:color w:val="auto"/>
        </w:rPr>
      </w:pPr>
      <w:r>
        <w:rPr>
          <w:rFonts w:ascii="Courier New" w:cs="Courier New" w:eastAsia="Courier New" w:hAnsi="Courier New"/>
          <w:sz w:val="16"/>
          <w:szCs w:val="16"/>
          <w:color w:val="auto"/>
        </w:rPr>
        <w:t>Our entire Board of Directors is comprised of up to 13 directors. Eleven directors were elected to our Board of Directors at our annual meeting of shareholders on January 23, 2003, one director was appointed to our Board of Directors effective July 2003 and one director resigned in August 2004. As permitted by our Articles of Association, the Board of Directors may fill the one remaining vacancy at any time. All directors hold office until the next annual meeting of our shareholders, which generally is in January of each calendar year, or until their respective successors are duly elected and qualified or their positions are earlier vacated by resignation or otherwise.</w:t>
      </w:r>
    </w:p>
    <w:p>
      <w:pPr>
        <w:spacing w:after="0" w:line="75"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Executive officers of Amdocs are elected by the Board of Directors on an annual basis and serve until the next annual meeting of the Board of Directors or until their respective successors have been duly elected or qualified or their positions are earlier vacated by resignation or otherwise. The executive officers of each of the Amdocs subsidiaries are elected by the board of directors of such subsidiary on an annual basis and serve until the next annual meeting of such board of directors or until their respective successors have been duly elected or qualified or their positions are earlier vacated by resignation or otherwise.</w:t>
      </w:r>
    </w:p>
    <w:p>
      <w:pPr>
        <w:spacing w:after="0" w:line="99"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Other than the employment agreements between us and our Chief Executive Officer and Executive Vice President which provide for immediate cash severance upon termination of employment, there are currently no service contracts in effect between us and any of our directors providing for immediate cash severance upon termination of their employment.</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BOARD COMMITTEES</w:t>
      </w:r>
    </w:p>
    <w:p>
      <w:pPr>
        <w:spacing w:after="0" w:line="20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Our Board of Directors has formed three committees set forth below. Members of each committee are appointed by the Board of Directors.</w:t>
      </w:r>
    </w:p>
    <w:p>
      <w:pPr>
        <w:spacing w:after="0" w:line="18"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 Executive Committee may act from time to time instead of the full Board of Directors and has such responsibilities as may be delegated to it by the Board of Directors. The current members of our Executive Committee are Messrs. Anderson (Chair), Baharav, Kahan and Minicucci.</w:t>
      </w:r>
    </w:p>
    <w:p>
      <w:pPr>
        <w:spacing w:after="0" w:line="82"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The Audit Committee of the Board of Directors reviews, acts on and reports to the Board of Directors with respect to various auditing and accounting matters, including the selection of our auditors, the scope of the annual audits, fees to be paid to the auditors, the performance of our independent auditors and our accounting practices. The current members of our Audit Committee are Messrs. Gardner (Chair), McLennan and Foster, all of whom are independent directors, as required by the rules of the NYSE.</w:t>
      </w:r>
    </w:p>
    <w:p>
      <w:pPr>
        <w:spacing w:after="0" w:line="98"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The Compensation Committee of the Board of Directors determines the salaries and incentive compensation of the officers of Amdocs and our subsidiaries and provides recommendations for the salaries and incentive compensation of other employees and certain consultants. The Compensation Committee also administers various compensation, stock and benefit plans of Amdocs. The current members of our Compensation Committee are Messrs. Anderson (Chair), Kahan and Minicucci. None of the members of the Committee was an employee of ours at any time during fiscal 2003.</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691"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8"/>
          <w:szCs w:val="18"/>
          <w:color w:val="auto"/>
        </w:rPr>
        <w:t>EMPLOYEES</w:t>
      </w:r>
    </w:p>
    <w:p>
      <w:pPr>
        <w:spacing w:after="0" w:line="201" w:lineRule="exact"/>
        <w:rPr>
          <w:sz w:val="20"/>
          <w:szCs w:val="20"/>
          <w:color w:val="auto"/>
        </w:rPr>
      </w:pPr>
    </w:p>
    <w:p>
      <w:pPr>
        <w:jc w:val="center"/>
        <w:ind w:right="1999"/>
        <w:spacing w:after="0" w:line="402" w:lineRule="auto"/>
        <w:rPr>
          <w:sz w:val="20"/>
          <w:szCs w:val="20"/>
          <w:color w:val="auto"/>
        </w:rPr>
      </w:pPr>
      <w:r>
        <w:rPr>
          <w:rFonts w:ascii="Courier New" w:cs="Courier New" w:eastAsia="Courier New" w:hAnsi="Courier New"/>
          <w:sz w:val="16"/>
          <w:szCs w:val="16"/>
          <w:color w:val="auto"/>
        </w:rPr>
        <w:t>The following table presents the approximate number of our full-time employees as of each date indicated, by function and by geographical location:</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AS OF SEPTEMBER 30, ---------------------- 2003 2002</w:t>
      </w:r>
    </w:p>
    <w:tbl>
      <w:tblPr>
        <w:tblLayout w:type="fixed"/>
        <w:tblInd w:w="0" w:type="dxa"/>
        <w:tblCellMar>
          <w:top w:w="0" w:type="dxa"/>
          <w:left w:w="0" w:type="dxa"/>
          <w:bottom w:w="0" w:type="dxa"/>
          <w:right w:w="0" w:type="dxa"/>
        </w:tblCellMar>
      </w:tblPr>
      <w:tr>
        <w:trPr>
          <w:trHeight w:val="201"/>
        </w:trPr>
        <w:tc>
          <w:tcPr>
            <w:tcW w:w="158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rPr>
              <w:t>2001 ------</w:t>
            </w:r>
          </w:p>
        </w:tc>
        <w:tc>
          <w:tcPr>
            <w:tcW w:w="4120" w:type="dxa"/>
            <w:vAlign w:val="bottom"/>
            <w:gridSpan w:val="2"/>
          </w:tcPr>
          <w:p>
            <w:pPr>
              <w:jc w:val="right"/>
              <w:ind w:right="172"/>
              <w:spacing w:after="0" w:line="201" w:lineRule="exact"/>
              <w:rPr>
                <w:sz w:val="20"/>
                <w:szCs w:val="20"/>
                <w:color w:val="auto"/>
              </w:rPr>
            </w:pPr>
            <w:r>
              <w:rPr>
                <w:rFonts w:ascii="Courier New" w:cs="Courier New" w:eastAsia="Courier New" w:hAnsi="Courier New"/>
                <w:sz w:val="18"/>
                <w:szCs w:val="18"/>
                <w:color w:val="auto"/>
                <w:w w:val="98"/>
              </w:rPr>
              <w:t>----- ----- Software and Information</w:t>
            </w:r>
          </w:p>
        </w:tc>
        <w:tc>
          <w:tcPr>
            <w:tcW w:w="0" w:type="dxa"/>
            <w:vAlign w:val="bottom"/>
          </w:tcPr>
          <w:p>
            <w:pPr>
              <w:spacing w:after="0"/>
              <w:rPr>
                <w:sz w:val="1"/>
                <w:szCs w:val="1"/>
                <w:color w:val="auto"/>
              </w:rPr>
            </w:pPr>
          </w:p>
        </w:tc>
      </w:tr>
      <w:tr>
        <w:trPr>
          <w:trHeight w:val="296"/>
        </w:trPr>
        <w:tc>
          <w:tcPr>
            <w:tcW w:w="2160" w:type="dxa"/>
            <w:vAlign w:val="bottom"/>
            <w:gridSpan w:val="2"/>
            <w:vMerge w:val="restart"/>
          </w:tcPr>
          <w:p>
            <w:pPr>
              <w:jc w:val="center"/>
              <w:spacing w:after="0"/>
              <w:rPr>
                <w:sz w:val="20"/>
                <w:szCs w:val="20"/>
                <w:color w:val="auto"/>
              </w:rPr>
            </w:pPr>
            <w:r>
              <w:rPr>
                <w:rFonts w:ascii="Courier New" w:cs="Courier New" w:eastAsia="Courier New" w:hAnsi="Courier New"/>
                <w:sz w:val="6"/>
                <w:szCs w:val="6"/>
                <w:color w:val="auto"/>
                <w:w w:val="70"/>
                <w:vertAlign w:val="superscript"/>
              </w:rPr>
              <w:t>Israel</w:t>
            </w:r>
            <w:r>
              <w:rPr>
                <w:rFonts w:ascii="Courier New" w:cs="Courier New" w:eastAsia="Courier New" w:hAnsi="Courier New"/>
                <w:sz w:val="6"/>
                <w:szCs w:val="6"/>
                <w:color w:val="auto"/>
                <w:w w:val="70"/>
                <w:vertAlign w:val="subscript"/>
              </w:rPr>
              <w:t>..........................................</w:t>
            </w:r>
            <w:r>
              <w:rPr>
                <w:rFonts w:ascii="Courier New" w:cs="Courier New" w:eastAsia="Courier New" w:hAnsi="Courier New"/>
                <w:sz w:val="6"/>
                <w:szCs w:val="6"/>
                <w:color w:val="auto"/>
                <w:w w:val="70"/>
                <w:vertAlign w:val="superscript"/>
              </w:rPr>
              <w:t>.................................................</w:t>
            </w:r>
            <w:r>
              <w:rPr>
                <w:rFonts w:ascii="Courier New" w:cs="Courier New" w:eastAsia="Courier New" w:hAnsi="Courier New"/>
                <w:sz w:val="3"/>
                <w:szCs w:val="3"/>
                <w:color w:val="auto"/>
                <w:w w:val="70"/>
              </w:rPr>
              <w:t>..........................................</w:t>
            </w:r>
          </w:p>
        </w:tc>
        <w:tc>
          <w:tcPr>
            <w:tcW w:w="3540" w:type="dxa"/>
            <w:vAlign w:val="bottom"/>
          </w:tcPr>
          <w:p>
            <w:pPr>
              <w:jc w:val="center"/>
              <w:ind w:right="1952"/>
              <w:spacing w:after="0"/>
              <w:rPr>
                <w:sz w:val="20"/>
                <w:szCs w:val="20"/>
                <w:color w:val="auto"/>
              </w:rPr>
            </w:pPr>
            <w:r>
              <w:rPr>
                <w:rFonts w:ascii="Courier New" w:cs="Courier New" w:eastAsia="Courier New" w:hAnsi="Courier New"/>
                <w:sz w:val="18"/>
                <w:szCs w:val="18"/>
                <w:color w:val="auto"/>
                <w:w w:val="98"/>
              </w:rPr>
              <w:t>Technology</w:t>
            </w:r>
          </w:p>
        </w:tc>
        <w:tc>
          <w:tcPr>
            <w:tcW w:w="0" w:type="dxa"/>
            <w:vAlign w:val="bottom"/>
          </w:tcPr>
          <w:p>
            <w:pPr>
              <w:spacing w:after="0"/>
              <w:rPr>
                <w:sz w:val="1"/>
                <w:szCs w:val="1"/>
                <w:color w:val="auto"/>
              </w:rPr>
            </w:pPr>
          </w:p>
        </w:tc>
      </w:tr>
      <w:tr>
        <w:trPr>
          <w:trHeight w:val="287"/>
        </w:trPr>
        <w:tc>
          <w:tcPr>
            <w:tcW w:w="1580" w:type="dxa"/>
            <w:vAlign w:val="bottom"/>
            <w:vMerge w:val="continue"/>
          </w:tcPr>
          <w:p>
            <w:pPr>
              <w:spacing w:after="0"/>
              <w:rPr>
                <w:sz w:val="24"/>
                <w:szCs w:val="24"/>
                <w:color w:val="auto"/>
              </w:rPr>
            </w:pPr>
          </w:p>
        </w:tc>
        <w:tc>
          <w:tcPr>
            <w:tcW w:w="4120" w:type="dxa"/>
            <w:vAlign w:val="bottom"/>
            <w:gridSpan w:val="2"/>
            <w:vMerge w:val="restart"/>
          </w:tcPr>
          <w:p>
            <w:pPr>
              <w:jc w:val="center"/>
              <w:ind w:right="1372"/>
              <w:spacing w:after="0"/>
              <w:rPr>
                <w:sz w:val="20"/>
                <w:szCs w:val="20"/>
                <w:color w:val="auto"/>
              </w:rPr>
            </w:pPr>
            <w:r>
              <w:rPr>
                <w:rFonts w:ascii="Courier New" w:cs="Courier New" w:eastAsia="Courier New" w:hAnsi="Courier New"/>
                <w:sz w:val="18"/>
                <w:szCs w:val="18"/>
                <w:color w:val="auto"/>
                <w:w w:val="97"/>
              </w:rPr>
              <w:t>4,100 4,100 4,200 North</w:t>
            </w:r>
          </w:p>
        </w:tc>
        <w:tc>
          <w:tcPr>
            <w:tcW w:w="0" w:type="dxa"/>
            <w:vAlign w:val="bottom"/>
          </w:tcPr>
          <w:p>
            <w:pPr>
              <w:spacing w:after="0"/>
              <w:rPr>
                <w:sz w:val="1"/>
                <w:szCs w:val="1"/>
                <w:color w:val="auto"/>
              </w:rPr>
            </w:pPr>
          </w:p>
        </w:tc>
      </w:tr>
      <w:tr>
        <w:trPr>
          <w:trHeight w:val="118"/>
        </w:trPr>
        <w:tc>
          <w:tcPr>
            <w:tcW w:w="1580" w:type="dxa"/>
            <w:vAlign w:val="bottom"/>
            <w:vMerge w:val="restart"/>
          </w:tcPr>
          <w:p>
            <w:pPr>
              <w:jc w:val="right"/>
              <w:ind w:right="445"/>
              <w:spacing w:after="0"/>
              <w:rPr>
                <w:sz w:val="20"/>
                <w:szCs w:val="20"/>
                <w:color w:val="auto"/>
              </w:rPr>
            </w:pPr>
            <w:r>
              <w:rPr>
                <w:rFonts w:ascii="Courier New" w:cs="Courier New" w:eastAsia="Courier New" w:hAnsi="Courier New"/>
                <w:sz w:val="18"/>
                <w:szCs w:val="18"/>
                <w:color w:val="auto"/>
              </w:rPr>
              <w:t>America</w:t>
            </w:r>
          </w:p>
        </w:tc>
        <w:tc>
          <w:tcPr>
            <w:tcW w:w="4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4120" w:type="dxa"/>
            <w:vAlign w:val="bottom"/>
            <w:gridSpan w:val="2"/>
            <w:vMerge w:val="restart"/>
          </w:tcPr>
          <w:p>
            <w:pPr>
              <w:jc w:val="center"/>
              <w:ind w:right="1392"/>
              <w:spacing w:after="0"/>
              <w:rPr>
                <w:sz w:val="20"/>
                <w:szCs w:val="20"/>
                <w:color w:val="auto"/>
              </w:rPr>
            </w:pPr>
            <w:r>
              <w:rPr>
                <w:rFonts w:ascii="Courier New" w:cs="Courier New" w:eastAsia="Courier New" w:hAnsi="Courier New"/>
                <w:sz w:val="18"/>
                <w:szCs w:val="18"/>
                <w:color w:val="auto"/>
                <w:w w:val="97"/>
              </w:rPr>
              <w:t>3,500 2,600 2,700 Rest of</w:t>
            </w:r>
          </w:p>
        </w:tc>
        <w:tc>
          <w:tcPr>
            <w:tcW w:w="0" w:type="dxa"/>
            <w:vAlign w:val="bottom"/>
          </w:tcPr>
          <w:p>
            <w:pPr>
              <w:spacing w:after="0"/>
              <w:rPr>
                <w:sz w:val="1"/>
                <w:szCs w:val="1"/>
                <w:color w:val="auto"/>
              </w:rPr>
            </w:pPr>
          </w:p>
        </w:tc>
      </w:tr>
      <w:tr>
        <w:trPr>
          <w:trHeight w:val="109"/>
        </w:trPr>
        <w:tc>
          <w:tcPr>
            <w:tcW w:w="1580" w:type="dxa"/>
            <w:vAlign w:val="bottom"/>
            <w:vMerge w:val="restart"/>
          </w:tcPr>
          <w:p>
            <w:pPr>
              <w:jc w:val="right"/>
              <w:ind w:right="865"/>
              <w:spacing w:after="0"/>
              <w:rPr>
                <w:sz w:val="20"/>
                <w:szCs w:val="20"/>
                <w:color w:val="auto"/>
              </w:rPr>
            </w:pPr>
            <w:r>
              <w:rPr>
                <w:rFonts w:ascii="Courier New" w:cs="Courier New" w:eastAsia="Courier New" w:hAnsi="Courier New"/>
                <w:sz w:val="18"/>
                <w:szCs w:val="18"/>
                <w:color w:val="auto"/>
              </w:rPr>
              <w:t>World</w:t>
            </w:r>
          </w:p>
        </w:tc>
        <w:tc>
          <w:tcPr>
            <w:tcW w:w="4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1,600</w:t>
            </w:r>
          </w:p>
        </w:tc>
        <w:tc>
          <w:tcPr>
            <w:tcW w:w="0" w:type="dxa"/>
            <w:vAlign w:val="bottom"/>
          </w:tcPr>
          <w:p>
            <w:pPr>
              <w:spacing w:after="0"/>
              <w:rPr>
                <w:sz w:val="1"/>
                <w:szCs w:val="1"/>
                <w:color w:val="auto"/>
              </w:rPr>
            </w:pPr>
          </w:p>
        </w:tc>
      </w:tr>
      <w:tr>
        <w:trPr>
          <w:trHeight w:val="203"/>
        </w:trPr>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1,700 1,700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w:t>
            </w:r>
          </w:p>
        </w:tc>
        <w:tc>
          <w:tcPr>
            <w:tcW w:w="3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----- 9,200 8,400 8,600</w:t>
            </w:r>
          </w:p>
        </w:tc>
        <w:tc>
          <w:tcPr>
            <w:tcW w:w="0" w:type="dxa"/>
            <w:vAlign w:val="bottom"/>
          </w:tcPr>
          <w:p>
            <w:pPr>
              <w:spacing w:after="0"/>
              <w:rPr>
                <w:sz w:val="1"/>
                <w:szCs w:val="1"/>
                <w:color w:val="auto"/>
              </w:rPr>
            </w:pPr>
          </w:p>
        </w:tc>
      </w:tr>
      <w:tr>
        <w:trPr>
          <w:trHeight w:val="203"/>
        </w:trPr>
        <w:tc>
          <w:tcPr>
            <w:tcW w:w="2160" w:type="dxa"/>
            <w:vAlign w:val="bottom"/>
            <w:gridSpan w:val="2"/>
            <w:vMerge w:val="restart"/>
          </w:tcPr>
          <w:p>
            <w:pPr>
              <w:jc w:val="center"/>
              <w:spacing w:after="0"/>
              <w:rPr>
                <w:sz w:val="20"/>
                <w:szCs w:val="20"/>
                <w:color w:val="auto"/>
              </w:rPr>
            </w:pPr>
            <w:r>
              <w:rPr>
                <w:rFonts w:ascii="Courier New" w:cs="Courier New" w:eastAsia="Courier New" w:hAnsi="Courier New"/>
                <w:sz w:val="18"/>
                <w:szCs w:val="18"/>
                <w:color w:val="auto"/>
                <w:w w:val="97"/>
              </w:rPr>
              <w:t>Administration</w:t>
            </w:r>
          </w:p>
        </w:tc>
        <w:tc>
          <w:tcPr>
            <w:tcW w:w="3540" w:type="dxa"/>
            <w:vAlign w:val="bottom"/>
          </w:tcPr>
          <w:p>
            <w:pPr>
              <w:jc w:val="center"/>
              <w:ind w:right="1972"/>
              <w:spacing w:after="0" w:line="203" w:lineRule="exact"/>
              <w:rPr>
                <w:sz w:val="20"/>
                <w:szCs w:val="20"/>
                <w:color w:val="auto"/>
              </w:rPr>
            </w:pPr>
            <w:r>
              <w:rPr>
                <w:rFonts w:ascii="Courier New" w:cs="Courier New" w:eastAsia="Courier New" w:hAnsi="Courier New"/>
                <w:sz w:val="18"/>
                <w:szCs w:val="18"/>
                <w:color w:val="auto"/>
                <w:w w:val="97"/>
              </w:rPr>
              <w:t>Management and</w:t>
            </w:r>
          </w:p>
        </w:tc>
        <w:tc>
          <w:tcPr>
            <w:tcW w:w="0" w:type="dxa"/>
            <w:vAlign w:val="bottom"/>
          </w:tcPr>
          <w:p>
            <w:pPr>
              <w:spacing w:after="0"/>
              <w:rPr>
                <w:sz w:val="1"/>
                <w:szCs w:val="1"/>
                <w:color w:val="auto"/>
              </w:rPr>
            </w:pPr>
          </w:p>
        </w:tc>
      </w:tr>
      <w:tr>
        <w:trPr>
          <w:trHeight w:val="203"/>
        </w:trPr>
        <w:tc>
          <w:tcPr>
            <w:tcW w:w="2160" w:type="dxa"/>
            <w:vAlign w:val="bottom"/>
            <w:gridSpan w:val="2"/>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3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w:t>
            </w:r>
          </w:p>
        </w:tc>
        <w:tc>
          <w:tcPr>
            <w:tcW w:w="0" w:type="dxa"/>
            <w:vAlign w:val="bottom"/>
          </w:tcPr>
          <w:p>
            <w:pPr>
              <w:spacing w:after="0"/>
              <w:rPr>
                <w:sz w:val="1"/>
                <w:szCs w:val="1"/>
                <w:color w:val="auto"/>
              </w:rPr>
            </w:pPr>
          </w:p>
        </w:tc>
      </w:tr>
      <w:tr>
        <w:trPr>
          <w:trHeight w:val="203"/>
        </w:trPr>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1,000 1,100</w:t>
            </w:r>
          </w:p>
        </w:tc>
        <w:tc>
          <w:tcPr>
            <w:tcW w:w="35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 ----- ----- Total</w:t>
            </w:r>
          </w:p>
        </w:tc>
        <w:tc>
          <w:tcPr>
            <w:tcW w:w="0" w:type="dxa"/>
            <w:vAlign w:val="bottom"/>
          </w:tcPr>
          <w:p>
            <w:pPr>
              <w:spacing w:after="0"/>
              <w:rPr>
                <w:sz w:val="1"/>
                <w:szCs w:val="1"/>
                <w:color w:val="auto"/>
              </w:rPr>
            </w:pPr>
          </w:p>
        </w:tc>
      </w:tr>
      <w:tr>
        <w:trPr>
          <w:trHeight w:val="235"/>
        </w:trPr>
        <w:tc>
          <w:tcPr>
            <w:tcW w:w="2160" w:type="dxa"/>
            <w:vAlign w:val="bottom"/>
            <w:gridSpan w:val="2"/>
          </w:tcPr>
          <w:p>
            <w:pPr>
              <w:jc w:val="center"/>
              <w:spacing w:after="0"/>
              <w:rPr>
                <w:sz w:val="20"/>
                <w:szCs w:val="20"/>
                <w:color w:val="auto"/>
              </w:rPr>
            </w:pPr>
            <w:r>
              <w:rPr>
                <w:rFonts w:ascii="Courier New" w:cs="Courier New" w:eastAsia="Courier New" w:hAnsi="Courier New"/>
                <w:sz w:val="9"/>
                <w:szCs w:val="9"/>
                <w:color w:val="auto"/>
                <w:w w:val="72"/>
              </w:rPr>
              <w:t>employees.............................................</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960"/>
        <w:spacing w:after="0"/>
        <w:rPr>
          <w:sz w:val="20"/>
          <w:szCs w:val="20"/>
          <w:color w:val="auto"/>
        </w:rPr>
      </w:pPr>
      <w:r>
        <w:rPr>
          <w:rFonts w:ascii="Courier New" w:cs="Courier New" w:eastAsia="Courier New" w:hAnsi="Courier New"/>
          <w:sz w:val="18"/>
          <w:szCs w:val="18"/>
          <w:color w:val="auto"/>
        </w:rPr>
        <w:t>10,200 9,400 9,700 ====== ===== =====</w:t>
      </w:r>
    </w:p>
    <w:p>
      <w:pPr>
        <w:spacing w:after="0" w:line="372"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During fiscal 2002 and the first quarter of fiscal 2003, we took steps to reduce our costs and achieve increased operational efficiency, including by making reductions in our workforce. In the fourth quarter of 2002, as part of a cost reduction program, we reduced our workforce by approximately 1,000 software and information technology specialists and administrative professionals. In November 2002, we announced additional measures to reduce costs, including further reductions in our workforce of approximately 400 software and information technology specialists and administrative professionals. During fiscal 2003, as a result of our acquisition of Certen and our Managed Services agreement with SBC, we increased our workforce by approximately 1,200 employees. As of November 30, 2003, we employed on a full-time basis approximately 9,000 software and information technology specialists, engaged in research, development, maintenance and support activities, and approximately 1,000 managers and administrative professionals. Approximately 4,000 of these software and information technology specialists are located in Israel and approximately 3,500 are located in North America.</w:t>
      </w:r>
    </w:p>
    <w:p>
      <w:pPr>
        <w:spacing w:after="0" w:line="113"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As a company with global operations, we are required to comply with various labor and immigration laws throughout the world, including laws and regulations in Australia, Brazil, Canada, Europe, Israel, Japan and the United States. Our employees in Europe are protected, in some countries, by mandatory collective bargaining agreements. To date, compliance with such laws has not been a material burden for us. As the number of our employees increases over time in particular countries, our compliance with such regulations could become more burdensome.</w:t>
      </w:r>
    </w:p>
    <w:p>
      <w:pPr>
        <w:spacing w:after="0" w:line="104"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Our principal operating subsidiaries are not party to any collective bargaining agreements. However, our Israeli subsidiary is subject to certain labor-related statutes and to certain provisions of collective bargaining agreements between the Histadrut (General Federation of Labor in Israel) and the Coordinating Bureau of Economic Organizations (including the Industrialists' Association), which are applicable to our Israeli employees by virtue of expansion orders of the Israeli Ministry of Labor and Welfare. A significant provision applicable to all employees in Israel under collective bargaining agreements and expansion orders is an adjustment of wages in relation to increases in the consumer price index, or CPI. The amount and frequency of these adjustments are modified from time to time. We consider our relationship with our employees to be good and have never experienced a labor dispute, strike or work stoppage.</w:t>
      </w:r>
    </w:p>
    <w:p>
      <w:pPr>
        <w:spacing w:after="0" w:line="108"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In addition, all employees in Brazil, including members of management, are represented by unions. Collective bargaining between employers and unions is mandatory, negotiated annually, and covers work conditions, including cost of living increases, minimum wages that exceed government thresholds and overtime pay.</w:t>
      </w:r>
    </w:p>
    <w:p>
      <w:pPr>
        <w:spacing w:after="0" w:line="90"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Some employees in Canada have union representation. There is no history of strikes or work stoppages, and our relationships with these employees are good. At the present time, we are appealing a ruling by the Canadian Industrial Relations Board that addresses the structure of the relevant bargaining</w:t>
      </w:r>
    </w:p>
    <w:p>
      <w:pPr>
        <w:spacing w:after="0" w:line="5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691" w:right="1440" w:bottom="793" w:gutter="0" w:footer="0" w:header="0"/>
        </w:sectPr>
      </w:pPr>
    </w:p>
    <w:bookmarkStart w:id="61" w:name="page62"/>
    <w:bookmarkEnd w:id="61"/>
    <w:p>
      <w:pPr>
        <w:ind w:right="1779"/>
        <w:spacing w:after="0" w:line="292" w:lineRule="auto"/>
        <w:rPr>
          <w:sz w:val="20"/>
          <w:szCs w:val="20"/>
          <w:color w:val="auto"/>
        </w:rPr>
      </w:pPr>
      <w:r>
        <w:rPr>
          <w:rFonts w:ascii="Courier New" w:cs="Courier New" w:eastAsia="Courier New" w:hAnsi="Courier New"/>
          <w:sz w:val="18"/>
          <w:szCs w:val="18"/>
          <w:color w:val="auto"/>
        </w:rPr>
        <w:t>unit and imposes Canadian Federal (as opposed to provincial) jurisdiction. We believe the outcome of the appeal will not have a material adverse effect on our operations or financial results.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OWNERSHIP</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SECURITY OWNERSHIP OF DIRECTORS AND SENIOR MANAGEMENT AND CERTAIN KEY EMPLOYEES</w:t>
      </w:r>
    </w:p>
    <w:p>
      <w:pPr>
        <w:spacing w:after="0" w:line="224"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As of August 31, 2004, the aggregate number of our ordinary shares beneficially owned by our directors, senior managers and certain key employees was 23,815,546 shares. This number includes ordinary shares held by SBC, since Mr. Kahan, Senior Executive Vice President of SBC, serves on our Board of Directors, and accordingly, he may be deemed to be the beneficial owner of the shares held by SBC. Mr. Kahan disclaims beneficial ownership of such shares. Historically, this number also included shares held by WCAS, since Messrs. Anderson and Minicucci, affiliates of WCAS, serve on our Board of Directors. As of September 24, 2003, various investment partnerships affiliated with WCAS ceased to be shareholders of the Company. See "Major Shareholders and Related Party Transactions". As of August 31, 2004, other than Mr. Kahan, none of our directors, senior managers or key employees beneficially own 1% or more of our outstanding ordinary shares. As described above, Mr. Kahan may be deemed to beneficially own 15,200,509 ordinary shares, or approximately 7.3% of our ordinary shares outstanding as of August 31, 2004.</w:t>
      </w:r>
    </w:p>
    <w:p>
      <w:pPr>
        <w:spacing w:after="0" w:line="291" w:lineRule="exact"/>
        <w:rPr>
          <w:sz w:val="20"/>
          <w:szCs w:val="20"/>
          <w:color w:val="auto"/>
        </w:rPr>
      </w:pPr>
    </w:p>
    <w:p>
      <w:pPr>
        <w:jc w:val="both"/>
        <w:ind w:right="2319" w:firstLine="527"/>
        <w:spacing w:after="0" w:line="292" w:lineRule="auto"/>
        <w:rPr>
          <w:sz w:val="20"/>
          <w:szCs w:val="20"/>
          <w:color w:val="auto"/>
        </w:rPr>
      </w:pPr>
      <w:r>
        <w:rPr>
          <w:rFonts w:ascii="Courier New" w:cs="Courier New" w:eastAsia="Courier New" w:hAnsi="Courier New"/>
          <w:sz w:val="18"/>
          <w:szCs w:val="18"/>
          <w:color w:val="auto"/>
        </w:rPr>
        <w:t>Beneficial ownership by a person, as of a particular date, assumes the exercise of all options and warrants held by such person that are currently exercisable or are exercisable within 60 days of such date.</w:t>
      </w:r>
    </w:p>
    <w:p>
      <w:pPr>
        <w:spacing w:after="0" w:line="6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EMPLOYEE STOCK OPTION AND INCENTIVE PLAN</w:t>
      </w:r>
    </w:p>
    <w:p>
      <w:pPr>
        <w:spacing w:after="0" w:line="201"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Our 1998 Stock Option and Incentive Plan, as amended (the "Option Plan"), provides for the grant by Amdocs of restricted shares or stock options to our directors, employees (including officers) and consultants. The purpose of the Option Plan is to enable us to attract and retain qualified personnel and to motivate such persons by providing them with an equity participation in the Company. As of November 28, 2003, of the 32,300,000 ordinary shares available for issuance under the Option Plan, 3,341,837 ordinary shares had been issued as a result of option exercises and 3,842,955 ordinary shares remained available for future grants. As of November 28, 2003, there were outstanding options to purchase an aggregate of 25,115,208 ordinary shares at exercise prices ranging from $1.92 to $78.31 per share and no restricted shares had been awarded.</w:t>
      </w:r>
    </w:p>
    <w:p>
      <w:pPr>
        <w:spacing w:after="0" w:line="80"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Option Plan provides for the granting of "incentive stock options" and "non-qualified stock options" to purchase ordinary shares and/or the granting of rights to purchase ordinary shares on a "restricted" basis. The terms and conditions of individual grants may vary subject to the following: (i) the exercise price of incentive stock options may not be less than market value on the date of grant; (ii) the term of incentive stock options may not exceed ten years from the date of grant; and (iii) no options or awards may be granted after January 2008.</w:t>
      </w:r>
    </w:p>
    <w:p>
      <w:pPr>
        <w:spacing w:after="0" w:line="104" w:lineRule="exact"/>
        <w:rPr>
          <w:sz w:val="20"/>
          <w:szCs w:val="20"/>
          <w:color w:val="auto"/>
        </w:rPr>
      </w:pPr>
    </w:p>
    <w:p>
      <w:pPr>
        <w:ind w:right="1879" w:firstLine="527"/>
        <w:spacing w:after="0" w:line="283" w:lineRule="auto"/>
        <w:rPr>
          <w:sz w:val="20"/>
          <w:szCs w:val="20"/>
          <w:color w:val="auto"/>
        </w:rPr>
      </w:pPr>
      <w:r>
        <w:rPr>
          <w:rFonts w:ascii="Courier New" w:cs="Courier New" w:eastAsia="Courier New" w:hAnsi="Courier New"/>
          <w:sz w:val="16"/>
          <w:szCs w:val="16"/>
          <w:color w:val="auto"/>
        </w:rPr>
        <w:t>The Option Plan is administered by the Compensation Committee, which determines all the terms of the awards (subject to the above), including which employees, directors or consultants are granted awards. The Board of Directors may amend or terminate the Option Plan, provided that shareholder approval is required to increase the number of ordinary shares available under the Option Plan, to materially increase the benefits accruing to participants, to change the class of employees eligible for participation, to decrease the basis upon which the minimum exercise price of options is determined or to extend the period in which awards may be granted or to grant an option that is exercisable for more than ten years. Ordinary shares acquired upon exercise of an award are subject to certain restrictions on sale, transfer or hypothecation.</w:t>
      </w:r>
    </w:p>
    <w:p>
      <w:pPr>
        <w:spacing w:after="0" w:line="80"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As a result of the ITDS and Solect transactions, as of November 28, 2003, we are obligated to issue (and have reserved for issuance) an additional 150,883 and 88,180 ordinary shares, respectively, upon exercise of options that had previously been granted under the ITDS and Solect option plans (the "Predecessor Plans") and were exchanged for options to purchase our ordinary shares. These options have</w:t>
      </w:r>
    </w:p>
    <w:p>
      <w:pPr>
        <w:spacing w:after="0" w:line="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691" w:right="1440" w:bottom="1440" w:gutter="0" w:footer="0" w:header="0"/>
        </w:sectPr>
      </w:pPr>
    </w:p>
    <w:bookmarkStart w:id="62" w:name="page63"/>
    <w:bookmarkEnd w:id="62"/>
    <w:p>
      <w:pPr>
        <w:ind w:right="2099"/>
        <w:spacing w:after="0" w:line="347" w:lineRule="auto"/>
        <w:rPr>
          <w:sz w:val="20"/>
          <w:szCs w:val="20"/>
          <w:color w:val="auto"/>
        </w:rPr>
      </w:pPr>
      <w:r>
        <w:rPr>
          <w:rFonts w:ascii="Courier New" w:cs="Courier New" w:eastAsia="Courier New" w:hAnsi="Courier New"/>
          <w:sz w:val="18"/>
          <w:szCs w:val="18"/>
          <w:color w:val="auto"/>
        </w:rPr>
        <w:t>exercise prices ranging from $1.87 to $71.97 per share. No additional options have been or will be granted under the Predecessor Plans.</w:t>
      </w:r>
    </w:p>
    <w:p>
      <w:pPr>
        <w:spacing w:after="0" w:line="18"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In December 2003 our Board of Directors approved, and recommended that the Company's shareholders approve, an amendment to the Option Plan. The amendment to the Option Plan would increase by 6 million shares the number of Ordinary Shares available for issuance and eliminate the Company's ability to conduct option repricing programs in which options are surrendered to the Company in exchange for new options and/or restricted stock. The shareholders approved the amendment to the Option Plan at the Company's Annual General Meeting of Shareholders on January 22, 2004.</w:t>
      </w:r>
    </w:p>
    <w:p>
      <w:pPr>
        <w:spacing w:after="0" w:line="1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MAJOR SHAREHOLDERS AND RELATED PARTY TRANSACTIONS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MAJOR SHAREHOLDERS</w:t>
      </w:r>
    </w:p>
    <w:p>
      <w:pPr>
        <w:spacing w:after="0" w:line="201" w:lineRule="exact"/>
        <w:rPr>
          <w:sz w:val="20"/>
          <w:szCs w:val="20"/>
          <w:color w:val="auto"/>
        </w:rPr>
      </w:pPr>
    </w:p>
    <w:p>
      <w:pPr>
        <w:jc w:val="both"/>
        <w:ind w:right="2099" w:firstLine="527"/>
        <w:spacing w:after="0" w:line="278" w:lineRule="auto"/>
        <w:rPr>
          <w:sz w:val="20"/>
          <w:szCs w:val="20"/>
          <w:color w:val="auto"/>
        </w:rPr>
      </w:pPr>
      <w:r>
        <w:rPr>
          <w:rFonts w:ascii="Courier New" w:cs="Courier New" w:eastAsia="Courier New" w:hAnsi="Courier New"/>
          <w:sz w:val="16"/>
          <w:szCs w:val="16"/>
          <w:color w:val="auto"/>
        </w:rPr>
        <w:t>The following table sets forth specified information with respect to the beneficial ownership of the ordinary shares as of August 31, 2004 of (i) any person known by us to be the beneficial owner of more than 5% of our ordinary shares and (ii) all of our directors and executives officers as a group.</w:t>
      </w:r>
    </w:p>
    <w:p>
      <w:pPr>
        <w:spacing w:after="0" w:line="3"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207,183,394 ordinary shares outstanding as of August 31, 2004.</w:t>
      </w:r>
    </w:p>
    <w:p>
      <w:pPr>
        <w:spacing w:after="0" w:line="101"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SHARES BENEFICIALLY PERCENTAGE NAME AND ADDRESS</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OWNED OWNERSHIP - ---------------- ------------ -</w:t>
      </w:r>
    </w:p>
    <w:p>
      <w:pPr>
        <w:ind w:left="1380"/>
        <w:spacing w:after="0" w:line="238" w:lineRule="auto"/>
        <w:rPr>
          <w:sz w:val="20"/>
          <w:szCs w:val="20"/>
          <w:color w:val="auto"/>
        </w:rPr>
      </w:pPr>
      <w:r>
        <w:rPr>
          <w:rFonts w:ascii="Courier New" w:cs="Courier New" w:eastAsia="Courier New" w:hAnsi="Courier New"/>
          <w:sz w:val="18"/>
          <w:szCs w:val="18"/>
          <w:color w:val="auto"/>
        </w:rPr>
        <w:t>--------- MFS Investment</w:t>
      </w:r>
    </w:p>
    <w:p>
      <w:pPr>
        <w:ind w:left="280"/>
        <w:spacing w:after="0"/>
        <w:rPr>
          <w:sz w:val="20"/>
          <w:szCs w:val="20"/>
          <w:color w:val="auto"/>
        </w:rPr>
      </w:pPr>
      <w:r>
        <w:rPr>
          <w:rFonts w:ascii="Courier New" w:cs="Courier New" w:eastAsia="Courier New" w:hAnsi="Courier New"/>
          <w:sz w:val="18"/>
          <w:szCs w:val="18"/>
          <w:color w:val="auto"/>
        </w:rPr>
        <w:t>Management(1)................................</w:t>
      </w:r>
    </w:p>
    <w:p>
      <w:pPr>
        <w:ind w:left="160"/>
        <w:spacing w:after="0" w:line="238" w:lineRule="auto"/>
        <w:rPr>
          <w:sz w:val="20"/>
          <w:szCs w:val="20"/>
          <w:color w:val="auto"/>
        </w:rPr>
      </w:pPr>
      <w:r>
        <w:rPr>
          <w:rFonts w:ascii="Courier New" w:cs="Courier New" w:eastAsia="Courier New" w:hAnsi="Courier New"/>
          <w:sz w:val="18"/>
          <w:szCs w:val="18"/>
          <w:color w:val="auto"/>
        </w:rPr>
        <w:t>19,400,000 9.4% 500 Boylston Street, 15th Floor</w:t>
      </w:r>
    </w:p>
    <w:p>
      <w:pPr>
        <w:ind w:left="220"/>
        <w:spacing w:after="0"/>
        <w:rPr>
          <w:sz w:val="20"/>
          <w:szCs w:val="20"/>
          <w:color w:val="auto"/>
        </w:rPr>
      </w:pPr>
      <w:r>
        <w:rPr>
          <w:rFonts w:ascii="Courier New" w:cs="Courier New" w:eastAsia="Courier New" w:hAnsi="Courier New"/>
          <w:sz w:val="18"/>
          <w:szCs w:val="18"/>
          <w:color w:val="auto"/>
        </w:rPr>
        <w:t>Boston, Massachusetts 02116 SBC Communications</w:t>
      </w:r>
    </w:p>
    <w:tbl>
      <w:tblPr>
        <w:tblLayout w:type="fixed"/>
        <w:tblInd w:w="0" w:type="dxa"/>
        <w:tblCellMar>
          <w:top w:w="0" w:type="dxa"/>
          <w:left w:w="0" w:type="dxa"/>
          <w:bottom w:w="0" w:type="dxa"/>
          <w:right w:w="0" w:type="dxa"/>
        </w:tblCellMar>
      </w:tblPr>
      <w:tr>
        <w:trPr>
          <w:trHeight w:val="171"/>
        </w:trPr>
        <w:tc>
          <w:tcPr>
            <w:tcW w:w="1640" w:type="dxa"/>
            <w:vAlign w:val="bottom"/>
          </w:tcPr>
          <w:p>
            <w:pPr>
              <w:jc w:val="right"/>
              <w:spacing w:after="0"/>
              <w:rPr>
                <w:sz w:val="20"/>
                <w:szCs w:val="20"/>
                <w:color w:val="auto"/>
              </w:rPr>
            </w:pPr>
            <w:r>
              <w:rPr>
                <w:rFonts w:ascii="Courier New" w:cs="Courier New" w:eastAsia="Courier New" w:hAnsi="Courier New"/>
                <w:sz w:val="9"/>
                <w:szCs w:val="9"/>
                <w:color w:val="auto"/>
                <w:w w:val="73"/>
              </w:rPr>
              <w:t>Inc.(2)..................................</w:t>
            </w:r>
          </w:p>
        </w:tc>
        <w:tc>
          <w:tcPr>
            <w:tcW w:w="206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6"/>
              </w:rPr>
              <w:t>7.3% 175 E. Houston</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Street San</w:t>
            </w:r>
          </w:p>
        </w:tc>
        <w:tc>
          <w:tcPr>
            <w:tcW w:w="0" w:type="dxa"/>
            <w:vAlign w:val="bottom"/>
          </w:tcPr>
          <w:p>
            <w:pPr>
              <w:spacing w:after="0"/>
              <w:rPr>
                <w:sz w:val="1"/>
                <w:szCs w:val="1"/>
                <w:color w:val="auto"/>
              </w:rPr>
            </w:pPr>
          </w:p>
        </w:tc>
      </w:tr>
      <w:tr>
        <w:trPr>
          <w:trHeight w:val="203"/>
        </w:trPr>
        <w:tc>
          <w:tcPr>
            <w:tcW w:w="1640" w:type="dxa"/>
            <w:vAlign w:val="bottom"/>
          </w:tcPr>
          <w:p>
            <w:pPr>
              <w:jc w:val="right"/>
              <w:ind w:right="26"/>
              <w:spacing w:after="0" w:line="203" w:lineRule="exact"/>
              <w:rPr>
                <w:sz w:val="20"/>
                <w:szCs w:val="20"/>
                <w:color w:val="auto"/>
              </w:rPr>
            </w:pPr>
            <w:r>
              <w:rPr>
                <w:rFonts w:ascii="Courier New" w:cs="Courier New" w:eastAsia="Courier New" w:hAnsi="Courier New"/>
                <w:sz w:val="18"/>
                <w:szCs w:val="18"/>
                <w:color w:val="auto"/>
              </w:rPr>
              <w:t>15,147,698</w:t>
            </w:r>
          </w:p>
        </w:tc>
        <w:tc>
          <w:tcPr>
            <w:tcW w:w="2060" w:type="dxa"/>
            <w:vAlign w:val="bottom"/>
            <w:gridSpan w:val="2"/>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jc w:val="right"/>
              <w:ind w:right="26"/>
              <w:spacing w:after="0" w:line="203" w:lineRule="exact"/>
              <w:rPr>
                <w:sz w:val="20"/>
                <w:szCs w:val="20"/>
                <w:color w:val="auto"/>
              </w:rPr>
            </w:pPr>
            <w:r>
              <w:rPr>
                <w:rFonts w:ascii="Courier New" w:cs="Courier New" w:eastAsia="Courier New" w:hAnsi="Courier New"/>
                <w:sz w:val="18"/>
                <w:szCs w:val="18"/>
                <w:color w:val="auto"/>
              </w:rPr>
              <w:t>Antonio, Texas</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78205-2233 Fidelity</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Management and</w:t>
            </w:r>
          </w:p>
        </w:tc>
        <w:tc>
          <w:tcPr>
            <w:tcW w:w="0" w:type="dxa"/>
            <w:vAlign w:val="bottom"/>
          </w:tcPr>
          <w:p>
            <w:pPr>
              <w:spacing w:after="0"/>
              <w:rPr>
                <w:sz w:val="1"/>
                <w:szCs w:val="1"/>
                <w:color w:val="auto"/>
              </w:rPr>
            </w:pP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Research(3).........................</w:t>
            </w:r>
          </w:p>
        </w:tc>
        <w:tc>
          <w:tcPr>
            <w:tcW w:w="800" w:type="dxa"/>
            <w:vAlign w:val="bottom"/>
          </w:tcPr>
          <w:p>
            <w:pPr>
              <w:spacing w:after="0"/>
              <w:rPr>
                <w:sz w:val="17"/>
                <w:szCs w:val="17"/>
                <w:color w:val="auto"/>
              </w:rPr>
            </w:pPr>
          </w:p>
        </w:tc>
        <w:tc>
          <w:tcPr>
            <w:tcW w:w="1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12,600,000</w:t>
            </w:r>
          </w:p>
        </w:tc>
        <w:tc>
          <w:tcPr>
            <w:tcW w:w="0" w:type="dxa"/>
            <w:vAlign w:val="bottom"/>
          </w:tcPr>
          <w:p>
            <w:pPr>
              <w:spacing w:after="0"/>
              <w:rPr>
                <w:sz w:val="1"/>
                <w:szCs w:val="1"/>
                <w:color w:val="auto"/>
              </w:rPr>
            </w:pPr>
          </w:p>
        </w:tc>
      </w:tr>
      <w:tr>
        <w:trPr>
          <w:trHeight w:val="203"/>
        </w:trPr>
        <w:tc>
          <w:tcPr>
            <w:tcW w:w="3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6.1% 82 Devonshire Street Boston,</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Massachusetts</w:t>
            </w:r>
          </w:p>
        </w:tc>
        <w:tc>
          <w:tcPr>
            <w:tcW w:w="0" w:type="dxa"/>
            <w:vAlign w:val="bottom"/>
          </w:tcPr>
          <w:p>
            <w:pPr>
              <w:spacing w:after="0"/>
              <w:rPr>
                <w:sz w:val="1"/>
                <w:szCs w:val="1"/>
                <w:color w:val="auto"/>
              </w:rPr>
            </w:pPr>
          </w:p>
        </w:tc>
      </w:tr>
      <w:tr>
        <w:trPr>
          <w:trHeight w:val="203"/>
        </w:trPr>
        <w:tc>
          <w:tcPr>
            <w:tcW w:w="3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02109 All directors and executive</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officers as a</w:t>
            </w:r>
          </w:p>
        </w:tc>
        <w:tc>
          <w:tcPr>
            <w:tcW w:w="0" w:type="dxa"/>
            <w:vAlign w:val="bottom"/>
          </w:tcPr>
          <w:p>
            <w:pPr>
              <w:spacing w:after="0"/>
              <w:rPr>
                <w:sz w:val="1"/>
                <w:szCs w:val="1"/>
                <w:color w:val="auto"/>
              </w:rPr>
            </w:pPr>
          </w:p>
        </w:tc>
      </w:tr>
      <w:tr>
        <w:trPr>
          <w:trHeight w:val="296"/>
        </w:trPr>
        <w:tc>
          <w:tcPr>
            <w:tcW w:w="164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7"/>
              </w:rPr>
              <w:t>(4)...............................................</w:t>
            </w:r>
          </w:p>
        </w:tc>
        <w:tc>
          <w:tcPr>
            <w:tcW w:w="20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8"/>
              </w:rPr>
              <w:t>group (18 persons)</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40" w:type="dxa"/>
            <w:vAlign w:val="bottom"/>
            <w:vMerge w:val="continue"/>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23,815,546</w:t>
            </w:r>
          </w:p>
        </w:tc>
        <w:tc>
          <w:tcPr>
            <w:tcW w:w="8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11.3%</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jc w:val="both"/>
        <w:ind w:left="420" w:right="2519" w:hanging="412"/>
        <w:spacing w:after="0" w:line="273"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a third-party report obtained by the Company regarding share ownership by institutional investors, MFS Investment Management owned 19,400,000 ordinary shares at August 6, 2004.</w:t>
      </w:r>
    </w:p>
    <w:p>
      <w:pPr>
        <w:spacing w:after="0" w:line="82" w:lineRule="exact"/>
        <w:rPr>
          <w:rFonts w:ascii="Courier New" w:cs="Courier New" w:eastAsia="Courier New" w:hAnsi="Courier New"/>
          <w:sz w:val="18"/>
          <w:szCs w:val="18"/>
          <w:color w:val="auto"/>
        </w:rPr>
      </w:pPr>
    </w:p>
    <w:p>
      <w:pPr>
        <w:ind w:left="420" w:right="2099" w:hanging="412"/>
        <w:spacing w:after="0" w:line="265"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upon information provided to us by SBC, SBCI, a wholly owned subsidiary of SBC, holds 7,551,875 of our ordinary shares, and SBC Option Delivery LLC, a majority-owned subsidiary of SBCI holds 7,595,823 of our ordinary shares. James S. Kahan, Senior Executive Vice President of SBC, serves on our Board of Directors.</w:t>
      </w:r>
    </w:p>
    <w:p>
      <w:pPr>
        <w:spacing w:after="0" w:line="89" w:lineRule="exact"/>
        <w:rPr>
          <w:rFonts w:ascii="Courier New" w:cs="Courier New" w:eastAsia="Courier New" w:hAnsi="Courier New"/>
          <w:sz w:val="18"/>
          <w:szCs w:val="18"/>
          <w:color w:val="auto"/>
        </w:rPr>
      </w:pPr>
    </w:p>
    <w:p>
      <w:pPr>
        <w:ind w:left="420" w:right="1779" w:hanging="412"/>
        <w:spacing w:after="0" w:line="292"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a third-party report obtained by the Company regarding share ownership by institutional investors, Fidelity Management and Research owned 12,600,000 ordinary shares at August 31, 2004.</w:t>
      </w:r>
    </w:p>
    <w:p>
      <w:pPr>
        <w:spacing w:after="0" w:line="66" w:lineRule="exact"/>
        <w:rPr>
          <w:rFonts w:ascii="Courier New" w:cs="Courier New" w:eastAsia="Courier New" w:hAnsi="Courier New"/>
          <w:sz w:val="18"/>
          <w:szCs w:val="18"/>
          <w:color w:val="auto"/>
        </w:rPr>
      </w:pPr>
    </w:p>
    <w:p>
      <w:pPr>
        <w:ind w:left="420" w:right="1879" w:hanging="412"/>
        <w:spacing w:after="0" w:line="256"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ordinary shares held by SBC. See footnote 1 above. Mr. Kahan, Senior Executive Vice President of SBC, serves on the Company's Board of Directors and, accordingly, may be deemed to be the beneficial owner of the ordinary shares held by SBC. Mr. Kahan disclaims beneficial ownership of such shares. Also includes options granted to such directors and executive officers of the Company, which are exercisable within 60 days of August 31, 2004.</w:t>
      </w:r>
    </w:p>
    <w:p>
      <w:pPr>
        <w:spacing w:after="0" w:line="98" w:lineRule="exact"/>
        <w:rPr>
          <w:sz w:val="20"/>
          <w:szCs w:val="20"/>
          <w:color w:val="auto"/>
        </w:rPr>
      </w:pPr>
    </w:p>
    <w:p>
      <w:pPr>
        <w:ind w:right="1999" w:firstLine="527"/>
        <w:spacing w:after="0" w:line="318" w:lineRule="auto"/>
        <w:rPr>
          <w:sz w:val="20"/>
          <w:szCs w:val="20"/>
          <w:color w:val="auto"/>
        </w:rPr>
      </w:pPr>
      <w:r>
        <w:rPr>
          <w:rFonts w:ascii="Courier New" w:cs="Courier New" w:eastAsia="Courier New" w:hAnsi="Courier New"/>
          <w:sz w:val="16"/>
          <w:szCs w:val="16"/>
          <w:color w:val="auto"/>
        </w:rPr>
        <w:t>Over the last three years, our major shareholders have included our directors and executive officers as a group, SBC, WCAS and other institutional investors. SBC's share ownership has decreased to 7.3% from 14.4% in November 2001. Investment partnerships affiliated with WCAS, which had been major</w:t>
      </w:r>
    </w:p>
    <w:p>
      <w:pPr>
        <w:spacing w:after="0" w:line="5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691" w:right="1440" w:bottom="793" w:gutter="0" w:footer="0" w:header="0"/>
        </w:sectPr>
      </w:pPr>
    </w:p>
    <w:bookmarkStart w:id="63" w:name="page64"/>
    <w:bookmarkEnd w:id="63"/>
    <w:p>
      <w:pPr>
        <w:ind w:right="1779"/>
        <w:spacing w:after="0" w:line="280" w:lineRule="auto"/>
        <w:rPr>
          <w:sz w:val="20"/>
          <w:szCs w:val="20"/>
          <w:color w:val="auto"/>
        </w:rPr>
      </w:pPr>
      <w:r>
        <w:rPr>
          <w:rFonts w:ascii="Courier New" w:cs="Courier New" w:eastAsia="Courier New" w:hAnsi="Courier New"/>
          <w:sz w:val="16"/>
          <w:szCs w:val="16"/>
          <w:color w:val="auto"/>
        </w:rPr>
        <w:t>shareholders in each of the last three fiscal years, ceased to be shareholders of the Company in September 2003 as a result of distributions made to the partners of such investment partnerships. Although the ownership of our directors and executive officers as a group appears to have decreased substantially in fiscal 2003, excluding the shares held WCAS, the share ownership has not changed significantly during the last three years. Because Messrs. Anderson and Minicucci, affiliates of various WCAS entities, serve on our Board of Directors, the shares owned by WCAS had been included in the aggregate holdings of our executive officers and directors as a group in prior years. Southeastern Asset Management, which had been a major shareholder in fiscal 2002, ceased to be a major shareholder in June 2003. AXA Financial, which had been a major shareholder in fiscal 2001, ceased to be a major shareholder in December 2002. MFS Investment Management became a major shareholder in September 2003. FMR Corp. became a major shareholder in February 2004.</w:t>
      </w:r>
    </w:p>
    <w:p>
      <w:pPr>
        <w:spacing w:after="0" w:line="290"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As of August 31, 2004, our ordinary shares were held by 242 recordholders. Based on a review of the information provided to us by our transfer agent, 165 recordholders, holding approximately 97% of our outstanding ordinary shares, were residents of the United States.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RELATED PARTY TRANSACTIONS</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In addition to being a major shareholder, SBC, and some of its operating subsidiaries, are also significant customers of ours. During fiscal 2003, 2002 and 2001, SBC and those subsidiaries accounted for approximately 11%, 11% and 13%, respectively, of our revenue. Based on long-term agreements currently in place with certain SBC subsidiaries and the Managed Services agreement announced in January 2003 with SBC's directory operations, we expect that revenue attributable to SBC entities will remain a significant portion of our revenue in 2004. Mr. Kahan, a member of our Board of Directors, is also Senior Executive Vice President of SBC.</w:t>
      </w:r>
    </w:p>
    <w:p>
      <w:pPr>
        <w:spacing w:after="0" w:line="99" w:lineRule="exact"/>
        <w:rPr>
          <w:sz w:val="20"/>
          <w:szCs w:val="20"/>
          <w:color w:val="auto"/>
        </w:rPr>
      </w:pPr>
    </w:p>
    <w:p>
      <w:pPr>
        <w:ind w:right="2939" w:firstLine="527"/>
        <w:spacing w:after="0" w:line="347" w:lineRule="auto"/>
        <w:rPr>
          <w:sz w:val="20"/>
          <w:szCs w:val="20"/>
          <w:color w:val="auto"/>
        </w:rPr>
      </w:pPr>
      <w:r>
        <w:rPr>
          <w:rFonts w:ascii="Courier New" w:cs="Courier New" w:eastAsia="Courier New" w:hAnsi="Courier New"/>
          <w:sz w:val="18"/>
          <w:szCs w:val="18"/>
          <w:color w:val="auto"/>
        </w:rPr>
        <w:t>SBC is also a beneficial owner of companies that provide certain miscellaneous support services to us in United States.</w:t>
      </w: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w:t>
      </w:r>
    </w:p>
    <w:p>
      <w:pPr>
        <w:spacing w:after="0" w:line="201" w:lineRule="exact"/>
        <w:rPr>
          <w:sz w:val="20"/>
          <w:szCs w:val="20"/>
          <w:color w:val="auto"/>
        </w:rPr>
      </w:pPr>
    </w:p>
    <w:p>
      <w:pPr>
        <w:ind w:right="1779" w:firstLine="527"/>
        <w:spacing w:after="0" w:line="402" w:lineRule="auto"/>
        <w:rPr>
          <w:sz w:val="20"/>
          <w:szCs w:val="20"/>
          <w:color w:val="auto"/>
        </w:rPr>
      </w:pPr>
      <w:r>
        <w:rPr>
          <w:rFonts w:ascii="Courier New" w:cs="Courier New" w:eastAsia="Courier New" w:hAnsi="Courier New"/>
          <w:sz w:val="16"/>
          <w:szCs w:val="16"/>
          <w:color w:val="auto"/>
        </w:rPr>
        <w:t>See "Financial Statements" for our audited Consolidated Financial Statements and Financial Statement Schedule filed as part of this Annual Report.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On December 2, 2003 we announced that the United States District Court for the Eastern District of Missouri had issued an order granting our motion to dismiss the securities class action lawsuits that had been pending against us and certain of our directors and officers since June 2002. The court's order also directed that judgment be entered in favor of the defendants. The consolidated complaint filed in the action alleged that we and the individual defendants had made false or misleading statements about our business and future prospects during a putative class period between July 18, 2000 and June 20, 2002. On December 29, 2003, the lead plaintiffs appealed to the United States Court of Appeals for the Eighth Circuit from the final judgment entered on December 1, 2003.</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POLICY</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We did not pay any cash dividends on our ordinary shares in fiscal 2003, 2002 or 2001. After the payment of dividends in 1998 that followed a corporate reorganization, we decided in general to retain earnings to finance the development of our business. The payment of any future dividends will be paid by us based on conditions then existing, including our earnings, financial condition and capital requirements, as well as other conditions we deem relevant. The terms of any debt that we may incur could effectively limit our ability to pay dividends.</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691" w:right="1440" w:bottom="1440" w:gutter="0" w:footer="0" w:header="0"/>
        </w:sectPr>
      </w:pPr>
    </w:p>
    <w:bookmarkStart w:id="64" w:name="page65"/>
    <w:bookmarkEnd w:id="64"/>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QUANTITATIVE AND QUALITATIVE DISCLOSURE ABOUT MARKET RISK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CURRENCY FLUCTUATIONS</w:t>
      </w:r>
    </w:p>
    <w:p>
      <w:pPr>
        <w:spacing w:after="0" w:line="201" w:lineRule="exact"/>
        <w:rPr>
          <w:sz w:val="20"/>
          <w:szCs w:val="20"/>
          <w:color w:val="auto"/>
        </w:rPr>
      </w:pPr>
    </w:p>
    <w:p>
      <w:pPr>
        <w:ind w:right="1779" w:firstLine="527"/>
        <w:spacing w:after="0" w:line="243" w:lineRule="auto"/>
        <w:rPr>
          <w:sz w:val="20"/>
          <w:szCs w:val="20"/>
          <w:color w:val="auto"/>
        </w:rPr>
      </w:pPr>
      <w:r>
        <w:rPr>
          <w:rFonts w:ascii="Courier New" w:cs="Courier New" w:eastAsia="Courier New" w:hAnsi="Courier New"/>
          <w:sz w:val="18"/>
          <w:szCs w:val="18"/>
          <w:color w:val="auto"/>
        </w:rPr>
        <w:t>We manage our foreign subsidiaries as integral direct components of our operations. The U.S. dollar is our functional currency. According to the salient economic factors indicated in SFAS No. 52, "Foreign Currency Translation," our cash flow, sale price, sales market, expense, financing and intercompany transactions and arrangement indicators are denominated in the U.S. dollar. The operations of our foreign subsidiaries provide the same type of services with the same type of expenditures throughout Amdocs' group. In fiscal 2003, approximately 80% of our revenue was in U.S. dollars or linked to the U.S. dollar, and approximately 60% of our operating expenses (excluding acquisition-related charges and restructuring charges) were paid in dollars or linked to dollars. As a result of long-term contracts in currencies other than the U.S. dollar and more customers seeking contracts that are denominated in currencies other than the U.S. dollar, we expect that the percentage of our revenue and operating expenses denominated in U.S. dollars will decrease slightly over time. Historically, fluctuations in currency exchange rates have had a minimal impact on our consolidated operations. As more of our customers seek contracts that are denominated in currencies other than the U.S. dollar, our exposure to fluctuations in currency exchange rates could increase. In managing our foreign exchange risk, we enter from time to time into various foreign exchange contracts. As of September 30, 2003, we had substantially hedged our significant exposures in currencies other than the U.S. dollar. We periodically assess the applicability of the U.S. dollar as our functional currency by reviewing the salient indicators.</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RISK</w:t>
      </w:r>
    </w:p>
    <w:p>
      <w:pPr>
        <w:spacing w:after="0" w:line="201"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We enter into foreign exchange forward contracts to hedge most of our foreign currency exposure. We use such contracts to hedge exposure to changes in foreign currency exchange rates associated with revenue denominated in a foreign currency, primarily British pounds, Canadian dollars and the ECU, and anticipated costs to be incurred in a foreign currency, primarily Australian dollars, Canadian dollars and Israeli shekels. We also use forward contracts to hedge the impact of the variability in exchange rates on certain accounts receivables, denominated in British pounds and the ECU. We seek to minimize the risk that the anticipated cash flow from sales of our products and services and cash flow required for our expenses denominated in a currency other than our functional currency will be affected by changes in exchange rates. See Note 22 to our consolidated financial statements included in this Annual Report. The following table summarizes our foreign currency forward exchange agreements as of September 30, 2003. All the forward contracts are expected to mature during fiscal 2004. The table below (all dollar amounts in millions) presents the notional amounts and fair value of the total derivative instruments as of September 30, 2003. Notional values are calculated based on forward rates as of September 30, 2003, U.S. dollar translated.</w:t>
      </w:r>
    </w:p>
    <w:p>
      <w:pPr>
        <w:spacing w:after="0" w:line="11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2003 -------------------------------</w:t>
      </w:r>
    </w:p>
    <w:p>
      <w:pPr>
        <w:spacing w:after="0" w:line="29"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NOTIONAL AMOUNT TRANSLATED TO FAIR VALUE OF U.S.</w:t>
      </w:r>
    </w:p>
    <w:p>
      <w:pPr>
        <w:jc w:val="center"/>
        <w:ind w:right="4199"/>
        <w:spacing w:after="0" w:line="238" w:lineRule="auto"/>
        <w:rPr>
          <w:sz w:val="20"/>
          <w:szCs w:val="20"/>
          <w:color w:val="auto"/>
        </w:rPr>
      </w:pPr>
      <w:r>
        <w:rPr>
          <w:rFonts w:ascii="Courier New" w:cs="Courier New" w:eastAsia="Courier New" w:hAnsi="Courier New"/>
          <w:sz w:val="18"/>
          <w:szCs w:val="18"/>
          <w:color w:val="auto"/>
        </w:rPr>
        <w:t>DOLLAR(*) DERIVATIVES --------------- -------------</w:t>
      </w:r>
    </w:p>
    <w:p>
      <w:pPr>
        <w:spacing w:after="0"/>
        <w:rPr>
          <w:sz w:val="20"/>
          <w:szCs w:val="20"/>
          <w:color w:val="auto"/>
        </w:rPr>
      </w:pPr>
      <w:r>
        <w:rPr>
          <w:rFonts w:ascii="Courier New" w:cs="Courier New" w:eastAsia="Courier New" w:hAnsi="Courier New"/>
          <w:sz w:val="18"/>
          <w:szCs w:val="18"/>
          <w:color w:val="auto"/>
        </w:rPr>
        <w:t>Revenue..................................................</w:t>
      </w:r>
    </w:p>
    <w:p>
      <w:pPr>
        <w:ind w:left="2320"/>
        <w:spacing w:after="0" w:line="238" w:lineRule="auto"/>
        <w:rPr>
          <w:sz w:val="20"/>
          <w:szCs w:val="20"/>
          <w:color w:val="auto"/>
        </w:rPr>
      </w:pPr>
      <w:r>
        <w:rPr>
          <w:rFonts w:ascii="Courier New" w:cs="Courier New" w:eastAsia="Courier New" w:hAnsi="Courier New"/>
          <w:sz w:val="18"/>
          <w:szCs w:val="18"/>
          <w:color w:val="auto"/>
        </w:rPr>
        <w:t>$ 33.1 $(1.5)</w:t>
      </w:r>
    </w:p>
    <w:tbl>
      <w:tblPr>
        <w:tblLayout w:type="fixed"/>
        <w:tblInd w:w="0" w:type="dxa"/>
        <w:tblCellMar>
          <w:top w:w="0" w:type="dxa"/>
          <w:left w:w="0" w:type="dxa"/>
          <w:bottom w:w="0" w:type="dxa"/>
          <w:right w:w="0" w:type="dxa"/>
        </w:tblCellMar>
      </w:tblPr>
      <w:tr>
        <w:trPr>
          <w:trHeight w:val="296"/>
        </w:trPr>
        <w:tc>
          <w:tcPr>
            <w:tcW w:w="1740" w:type="dxa"/>
            <w:vAlign w:val="bottom"/>
          </w:tcPr>
          <w:p>
            <w:pPr>
              <w:spacing w:after="0"/>
              <w:rPr>
                <w:sz w:val="20"/>
                <w:szCs w:val="20"/>
                <w:color w:val="auto"/>
              </w:rPr>
            </w:pPr>
            <w:r>
              <w:rPr>
                <w:rFonts w:ascii="Courier New" w:cs="Courier New" w:eastAsia="Courier New" w:hAnsi="Courier New"/>
                <w:sz w:val="7"/>
                <w:szCs w:val="7"/>
                <w:color w:val="auto"/>
                <w:w w:val="71"/>
              </w:rPr>
              <w:t>Costs....................................................</w:t>
            </w:r>
          </w:p>
        </w:tc>
        <w:tc>
          <w:tcPr>
            <w:tcW w:w="4220" w:type="dxa"/>
            <w:vAlign w:val="bottom"/>
            <w:vMerge w:val="restart"/>
          </w:tcPr>
          <w:p>
            <w:pPr>
              <w:jc w:val="right"/>
              <w:ind w:right="1592"/>
              <w:spacing w:after="0"/>
              <w:rPr>
                <w:sz w:val="20"/>
                <w:szCs w:val="20"/>
                <w:color w:val="auto"/>
              </w:rPr>
            </w:pPr>
            <w:r>
              <w:rPr>
                <w:rFonts w:ascii="Courier New" w:cs="Courier New" w:eastAsia="Courier New" w:hAnsi="Courier New"/>
                <w:sz w:val="18"/>
                <w:szCs w:val="18"/>
                <w:color w:val="auto"/>
                <w:w w:val="97"/>
              </w:rPr>
              <w:t>(93.4) 7.2 Balance sheet</w:t>
            </w:r>
          </w:p>
        </w:tc>
        <w:tc>
          <w:tcPr>
            <w:tcW w:w="0" w:type="dxa"/>
            <w:vAlign w:val="bottom"/>
          </w:tcPr>
          <w:p>
            <w:pPr>
              <w:spacing w:after="0"/>
              <w:rPr>
                <w:sz w:val="1"/>
                <w:szCs w:val="1"/>
                <w:color w:val="auto"/>
              </w:rPr>
            </w:pPr>
          </w:p>
        </w:tc>
      </w:tr>
      <w:tr>
        <w:trPr>
          <w:trHeight w:val="77"/>
        </w:trPr>
        <w:tc>
          <w:tcPr>
            <w:tcW w:w="17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items</w:t>
            </w:r>
          </w:p>
        </w:tc>
        <w:tc>
          <w:tcPr>
            <w:tcW w:w="4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174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4220" w:type="dxa"/>
            <w:vAlign w:val="bottom"/>
          </w:tcPr>
          <w:p>
            <w:pPr>
              <w:jc w:val="right"/>
              <w:spacing w:after="0"/>
              <w:rPr>
                <w:sz w:val="20"/>
                <w:szCs w:val="20"/>
                <w:color w:val="auto"/>
              </w:rPr>
            </w:pPr>
            <w:r>
              <w:rPr>
                <w:rFonts w:ascii="Courier New" w:cs="Courier New" w:eastAsia="Courier New" w:hAnsi="Courier New"/>
                <w:sz w:val="18"/>
                <w:szCs w:val="18"/>
                <w:color w:val="auto"/>
              </w:rPr>
              <w:t>7.6 (0.4) --</w:t>
            </w:r>
          </w:p>
        </w:tc>
        <w:tc>
          <w:tcPr>
            <w:tcW w:w="0" w:type="dxa"/>
            <w:vAlign w:val="bottom"/>
          </w:tcPr>
          <w:p>
            <w:pPr>
              <w:spacing w:after="0"/>
              <w:rPr>
                <w:sz w:val="1"/>
                <w:szCs w:val="1"/>
                <w:color w:val="auto"/>
              </w:rPr>
            </w:pPr>
          </w:p>
        </w:tc>
      </w:tr>
    </w:tbl>
    <w:p>
      <w:pPr>
        <w:ind w:left="1580" w:hanging="523"/>
        <w:spacing w:after="0"/>
        <w:tabs>
          <w:tab w:leader="none" w:pos="158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$(52.7) $ 5.3 ====== =====</w:t>
      </w:r>
    </w:p>
    <w:p>
      <w:pPr>
        <w:spacing w:after="0" w:line="37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420" w:right="2419" w:hanging="412"/>
        <w:spacing w:after="0" w:line="273" w:lineRule="auto"/>
        <w:tabs>
          <w:tab w:leader="none" w:pos="4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Positive notional amounts represent forward contracts to sell foreign currency. Negative notional amounts represent forward contracts to buy foreign currency.</w:t>
      </w:r>
    </w:p>
    <w:p>
      <w:pPr>
        <w:spacing w:after="0" w:line="82" w:lineRule="exact"/>
        <w:rPr>
          <w:sz w:val="20"/>
          <w:szCs w:val="20"/>
          <w:color w:val="auto"/>
        </w:rPr>
      </w:pPr>
    </w:p>
    <w:p>
      <w:pPr>
        <w:ind w:right="2319" w:firstLine="527"/>
        <w:spacing w:after="0" w:line="265" w:lineRule="auto"/>
        <w:rPr>
          <w:sz w:val="20"/>
          <w:szCs w:val="20"/>
          <w:color w:val="auto"/>
        </w:rPr>
      </w:pPr>
      <w:r>
        <w:rPr>
          <w:rFonts w:ascii="Courier New" w:cs="Courier New" w:eastAsia="Courier New" w:hAnsi="Courier New"/>
          <w:sz w:val="18"/>
          <w:szCs w:val="18"/>
          <w:color w:val="auto"/>
        </w:rPr>
        <w:t>Subsequent to the balance sheet date, we entered into foreign exchange forward contracts for approximately $100 million notional amount. These derivatives were entered to hedge exposure to changes in foreign currency exchange rates associated with revenue denominated in a foreign currency, including long-term exposures.</w:t>
      </w:r>
    </w:p>
    <w:p>
      <w:pPr>
        <w:spacing w:after="0" w:line="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691" w:right="1440" w:bottom="996" w:gutter="0" w:footer="0" w:header="0"/>
        </w:sectPr>
      </w:pPr>
    </w:p>
    <w:bookmarkStart w:id="65" w:name="page66"/>
    <w:bookmarkEnd w:id="65"/>
    <w:p>
      <w:pPr>
        <w:spacing w:after="0"/>
        <w:rPr>
          <w:sz w:val="20"/>
          <w:szCs w:val="20"/>
          <w:color w:val="auto"/>
        </w:rPr>
      </w:pPr>
      <w:r>
        <w:rPr>
          <w:rFonts w:ascii="Courier New" w:cs="Courier New" w:eastAsia="Courier New" w:hAnsi="Courier New"/>
          <w:sz w:val="18"/>
          <w:szCs w:val="18"/>
          <w:color w:val="auto"/>
        </w:rPr>
        <w:t>INTEREST RATE RISK</w:t>
      </w:r>
    </w:p>
    <w:p>
      <w:pPr>
        <w:spacing w:after="0" w:line="201"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Our interest expenses and income are sensitive to changes in interest rates, as all of our cash reserves and some of our borrowings, other than the 2% Notes, are subject to interest rate changes. Excess liquidity is invested in short-term interest-bearing investments. Such short-term interest-bearing investments consist primarily of commercial paper, Treasury notes, Federal agency securities, corporate bonds, corporate backed obligations, mortgages and money market funds and currently bear minimal interest rate risk. As of September 30, 2003, we had nothing outstanding on either of our revolving lines of credit or our short-term credit facilities. As of September 30, 2003, we had outstanding long-term lease obligations of $48.2 million and a financing arrangement of $2.8 million, which in the aggregate bear minimal interest rate risk.</w:t>
      </w:r>
    </w:p>
    <w:p>
      <w:pPr>
        <w:spacing w:after="0" w:line="1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18.</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 AND SCHEDULE</w:t>
      </w:r>
    </w:p>
    <w:p>
      <w:pPr>
        <w:spacing w:after="0" w:line="201"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8"/>
          <w:szCs w:val="18"/>
          <w:color w:val="auto"/>
        </w:rPr>
        <w:t>The following Financial Statements and Financial Statement Schedule of Amdocs Limited, with respect to financial results for the fiscal years ended September 30, 2003, 2002 and 2001, are included at the end of this Annual Report:</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AUDITED FINANCIAL STATEMENTS OF AMDOCS LIMITED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Report of Independent Registered Public Accountants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Consolidated Balance Sheets as of September 30, 2003 and 2002</w:t>
      </w:r>
    </w:p>
    <w:p>
      <w:pPr>
        <w:spacing w:after="0" w:line="201"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Consolidated Statements of Operations for the years ended September 30, 2003, 2002 and 2001</w:t>
      </w:r>
    </w:p>
    <w:p>
      <w:pPr>
        <w:spacing w:after="0" w:line="18"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Consolidated Statements of Changes in Shareholders' Equity for the years ended September 30, 2003, 2002 and 2001</w:t>
      </w:r>
    </w:p>
    <w:p>
      <w:pPr>
        <w:spacing w:after="0" w:line="18"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Consolidated Statements of Cash Flows for the years ended September 30, 2003, 2002 and 2001</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FINANCIAL STATEMENT SCHEDULE OF AMDOCS LIMITED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Valuation and Qualifying Accounts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The following Financial Statements of Certen Inc., with respect to the acquisition by Amdocs Limited of Certen Inc. on July 2, 2003, are included at the end of this Annual Report:</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AUDITED FINANCIAL STATEMENTS OF CERTEN INC.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Independent Registered Chartered Accountants' Report</w:t>
      </w:r>
    </w:p>
    <w:p>
      <w:pPr>
        <w:spacing w:after="0" w:line="20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Statement of Operations and Retained Earnings for the twelve months ended December 31, 2002</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Balance Sheet as at December 31, 2002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Statement of Cash Flows for the year ended December 31, 2002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UNAUDITED FINANCIAL STATEMENTS OF CERTEN INC.</w:t>
      </w:r>
    </w:p>
    <w:p>
      <w:pPr>
        <w:spacing w:after="0" w:line="201"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Unaudited Statement of Operations and Retained Earnings for the six months ended June 30, 2003</w:t>
      </w: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691" w:right="1440" w:bottom="1440" w:gutter="0" w:footer="0" w:header="0"/>
        </w:sectPr>
      </w:pPr>
    </w:p>
    <w:bookmarkStart w:id="66" w:name="page67"/>
    <w:bookmarkEnd w:id="66"/>
    <w:p>
      <w:pPr>
        <w:ind w:left="540"/>
        <w:spacing w:after="0"/>
        <w:rPr>
          <w:sz w:val="20"/>
          <w:szCs w:val="20"/>
          <w:color w:val="auto"/>
        </w:rPr>
      </w:pPr>
      <w:r>
        <w:rPr>
          <w:rFonts w:ascii="Courier New" w:cs="Courier New" w:eastAsia="Courier New" w:hAnsi="Courier New"/>
          <w:sz w:val="18"/>
          <w:szCs w:val="18"/>
          <w:color w:val="auto"/>
        </w:rPr>
        <w:t>Unaudited Balance Sheet as at June 30, 2003</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Unaudited Statement of Cash Flows for the year ended June 30, 2003</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19.</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The exhibits listed on the Exhibit Index hereof are filed herewith in response to this Item.</w:t>
      </w: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691" w:right="1440" w:bottom="1440" w:gutter="0" w:footer="0" w:header="0"/>
        </w:sectPr>
      </w:pPr>
    </w:p>
    <w:bookmarkStart w:id="67" w:name="page68"/>
    <w:bookmarkEnd w:id="67"/>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The registrant hereby certifies that it meets all of the requirements for filing on Form 20-F and that it has duly caused and authorized the undersigned to sign this annual report on its behalf.</w:t>
      </w:r>
    </w:p>
    <w:p>
      <w:pPr>
        <w:spacing w:after="0" w:line="6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/s/</w:t>
        <w:tab/>
        <w:t>THOMAS G. O'BRIEN</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Thomas G. O'Brien</w:t>
      </w:r>
    </w:p>
    <w:p>
      <w:pPr>
        <w:ind w:left="444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440"/>
        <w:spacing w:after="0"/>
        <w:rPr>
          <w:sz w:val="20"/>
          <w:szCs w:val="20"/>
          <w:color w:val="auto"/>
        </w:rPr>
      </w:pPr>
      <w:r>
        <w:rPr>
          <w:rFonts w:ascii="Courier New" w:cs="Courier New" w:eastAsia="Courier New" w:hAnsi="Courier New"/>
          <w:sz w:val="18"/>
          <w:szCs w:val="18"/>
          <w:color w:val="auto"/>
        </w:rPr>
        <w:t>Authorized U.S. Representative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September 21, 2004</w:t>
      </w:r>
    </w:p>
    <w:p>
      <w:pPr>
        <w:sectPr>
          <w:pgSz w:w="11900" w:h="16838" w:orient="portrait"/>
          <w:cols w:equalWidth="0" w:num="1">
            <w:col w:w="10219"/>
          </w:cols>
          <w:pgMar w:left="240" w:top="691" w:right="1440" w:bottom="1440" w:gutter="0" w:footer="0" w:header="0"/>
        </w:sectPr>
      </w:pPr>
    </w:p>
    <w:bookmarkStart w:id="68" w:name="page69"/>
    <w:bookmarkEnd w:id="68"/>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EXHIBIT NO.</w:t>
      </w:r>
    </w:p>
    <w:p>
      <w:pPr>
        <w:spacing w:after="0" w:line="29"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DESCRIPTION - --</w:t>
      </w:r>
    </w:p>
    <w:p>
      <w:pPr>
        <w:ind w:left="680" w:hanging="623"/>
        <w:spacing w:after="0" w:line="238" w:lineRule="auto"/>
        <w:tabs>
          <w:tab w:leader="none" w:pos="6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419" w:firstLine="101"/>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- 1. Memorandum and Articles of Association of Amdocs Limited (incorporated by reference to Exhibits 3.1 and 3.2 to Amdocs' Registration Statement on Form F-1 dated June 19, 1998; Registration No. 333-8826) 2.a.1 Indenture dated May 30, 2001 between Amdocs and United States Trust Company of New York (incorporated by reference to Exhibit 4.1 to Amdocs' Form 6-K dated May 31, 2001) 2.a.2 Registration Rights Agreement dated May 30, 2001 between Amdocs and Goldman, Sachs &amp; Co. (incorporated by reference to Exhibit 4.2 to Amdocs' Form 6-K dated May 31, 2001) 4.a.1 Agreement and Plan of Merger dated as of September 3, 1999 among Amdocs Limited, Ivan Acquisition Corp. and International Telecommunication Data Systems, Inc. (incorporated by reference to Exhibit 2.1 to Amdocs' Current Report on Form 6-K dated September 10, 1999) 4.a.2 Combination Agreement dated as of February 28, 2000 among Amdocs Limited, Solect Technology Group Inc., Amdocs (Denmark) ApS. and Amdocs Holdings ULC (incorporated by reference to</w:t>
      </w:r>
    </w:p>
    <w:p>
      <w:pPr>
        <w:sectPr>
          <w:pgSz w:w="11900" w:h="16838" w:orient="portrait"/>
          <w:cols w:equalWidth="0" w:num="1">
            <w:col w:w="10219"/>
          </w:cols>
          <w:pgMar w:left="240" w:top="691" w:right="1440" w:bottom="1440" w:gutter="0" w:footer="0" w:header="0"/>
        </w:sectPr>
      </w:pPr>
    </w:p>
    <w:bookmarkStart w:id="69" w:name="page70"/>
    <w:bookmarkEnd w:id="69"/>
    <w:p>
      <w:pPr>
        <w:ind w:left="100"/>
        <w:spacing w:after="0"/>
        <w:rPr>
          <w:sz w:val="20"/>
          <w:szCs w:val="20"/>
          <w:color w:val="auto"/>
        </w:rPr>
      </w:pPr>
      <w:r>
        <w:rPr>
          <w:rFonts w:ascii="Courier New" w:cs="Courier New" w:eastAsia="Courier New" w:hAnsi="Courier New"/>
          <w:sz w:val="18"/>
          <w:szCs w:val="18"/>
          <w:color w:val="auto"/>
        </w:rPr>
        <w:t>Exhibit 2.1 to</w:t>
      </w:r>
    </w:p>
    <w:p>
      <w:pPr>
        <w:spacing w:after="0" w:line="29" w:lineRule="exact"/>
        <w:rPr>
          <w:sz w:val="20"/>
          <w:szCs w:val="20"/>
          <w:color w:val="auto"/>
        </w:rPr>
      </w:pPr>
    </w:p>
    <w:p>
      <w:pPr>
        <w:ind w:left="40"/>
        <w:spacing w:after="0"/>
        <w:rPr>
          <w:sz w:val="20"/>
          <w:szCs w:val="20"/>
          <w:color w:val="auto"/>
        </w:rPr>
      </w:pPr>
      <w:r>
        <w:rPr>
          <w:rFonts w:ascii="Courier New" w:cs="Courier New" w:eastAsia="Courier New" w:hAnsi="Courier New"/>
          <w:sz w:val="18"/>
          <w:szCs w:val="18"/>
          <w:color w:val="auto"/>
        </w:rPr>
        <w:t>Amdocs' Current</w:t>
      </w:r>
    </w:p>
    <w:p>
      <w:pPr>
        <w:ind w:left="100"/>
        <w:spacing w:after="0" w:line="238" w:lineRule="auto"/>
        <w:rPr>
          <w:sz w:val="20"/>
          <w:szCs w:val="20"/>
          <w:color w:val="auto"/>
        </w:rPr>
      </w:pPr>
      <w:r>
        <w:rPr>
          <w:rFonts w:ascii="Courier New" w:cs="Courier New" w:eastAsia="Courier New" w:hAnsi="Courier New"/>
          <w:sz w:val="18"/>
          <w:szCs w:val="18"/>
          <w:color w:val="auto"/>
        </w:rPr>
        <w:t>Report on Form</w:t>
      </w:r>
    </w:p>
    <w:p>
      <w:pPr>
        <w:jc w:val="center"/>
        <w:ind w:right="8479"/>
        <w:spacing w:after="0"/>
        <w:rPr>
          <w:sz w:val="20"/>
          <w:szCs w:val="20"/>
          <w:color w:val="auto"/>
        </w:rPr>
      </w:pPr>
      <w:r>
        <w:rPr>
          <w:rFonts w:ascii="Courier New" w:cs="Courier New" w:eastAsia="Courier New" w:hAnsi="Courier New"/>
          <w:sz w:val="18"/>
          <w:szCs w:val="18"/>
          <w:color w:val="auto"/>
        </w:rPr>
        <w:t>6-K dated March</w:t>
      </w:r>
    </w:p>
    <w:p>
      <w:pPr>
        <w:jc w:val="center"/>
        <w:ind w:right="8479"/>
        <w:spacing w:after="0" w:line="238" w:lineRule="auto"/>
        <w:rPr>
          <w:sz w:val="20"/>
          <w:szCs w:val="20"/>
          <w:color w:val="auto"/>
        </w:rPr>
      </w:pPr>
      <w:r>
        <w:rPr>
          <w:rFonts w:ascii="Courier New" w:cs="Courier New" w:eastAsia="Courier New" w:hAnsi="Courier New"/>
          <w:sz w:val="18"/>
          <w:szCs w:val="18"/>
          <w:color w:val="auto"/>
        </w:rPr>
        <w:t>3, 2000) 4.a.3</w:t>
      </w:r>
    </w:p>
    <w:p>
      <w:pPr>
        <w:jc w:val="center"/>
        <w:ind w:right="8479"/>
        <w:spacing w:after="0"/>
        <w:rPr>
          <w:sz w:val="20"/>
          <w:szCs w:val="20"/>
          <w:color w:val="auto"/>
        </w:rPr>
      </w:pPr>
      <w:r>
        <w:rPr>
          <w:rFonts w:ascii="Courier New" w:cs="Courier New" w:eastAsia="Courier New" w:hAnsi="Courier New"/>
          <w:sz w:val="18"/>
          <w:szCs w:val="18"/>
          <w:color w:val="auto"/>
        </w:rPr>
        <w:t>Acquisition</w:t>
      </w:r>
    </w:p>
    <w:p>
      <w:pPr>
        <w:jc w:val="center"/>
        <w:ind w:right="8479"/>
        <w:spacing w:after="0" w:line="238" w:lineRule="auto"/>
        <w:rPr>
          <w:sz w:val="20"/>
          <w:szCs w:val="20"/>
          <w:color w:val="auto"/>
        </w:rPr>
      </w:pPr>
      <w:r>
        <w:rPr>
          <w:rFonts w:ascii="Courier New" w:cs="Courier New" w:eastAsia="Courier New" w:hAnsi="Courier New"/>
          <w:sz w:val="18"/>
          <w:szCs w:val="18"/>
          <w:color w:val="auto"/>
        </w:rPr>
        <w:t>Agreement dated</w:t>
      </w:r>
    </w:p>
    <w:p>
      <w:pPr>
        <w:jc w:val="center"/>
        <w:ind w:right="8479"/>
        <w:spacing w:after="0"/>
        <w:rPr>
          <w:sz w:val="20"/>
          <w:szCs w:val="20"/>
          <w:color w:val="auto"/>
        </w:rPr>
      </w:pPr>
      <w:r>
        <w:rPr>
          <w:rFonts w:ascii="Courier New" w:cs="Courier New" w:eastAsia="Courier New" w:hAnsi="Courier New"/>
          <w:sz w:val="16"/>
          <w:szCs w:val="16"/>
          <w:color w:val="auto"/>
        </w:rPr>
        <w:t>as of October 1,</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2001, between</w:t>
      </w:r>
    </w:p>
    <w:p>
      <w:pPr>
        <w:jc w:val="center"/>
        <w:ind w:right="8479"/>
        <w:spacing w:after="0" w:line="238" w:lineRule="auto"/>
        <w:rPr>
          <w:sz w:val="20"/>
          <w:szCs w:val="20"/>
          <w:color w:val="auto"/>
        </w:rPr>
      </w:pPr>
      <w:r>
        <w:rPr>
          <w:rFonts w:ascii="Courier New" w:cs="Courier New" w:eastAsia="Courier New" w:hAnsi="Courier New"/>
          <w:sz w:val="18"/>
          <w:szCs w:val="18"/>
          <w:color w:val="auto"/>
        </w:rPr>
        <w:t>Amdocs Limited</w:t>
      </w:r>
    </w:p>
    <w:p>
      <w:pPr>
        <w:jc w:val="center"/>
        <w:ind w:right="8479"/>
        <w:spacing w:after="0"/>
        <w:rPr>
          <w:sz w:val="20"/>
          <w:szCs w:val="20"/>
          <w:color w:val="auto"/>
        </w:rPr>
      </w:pPr>
      <w:r>
        <w:rPr>
          <w:rFonts w:ascii="Courier New" w:cs="Courier New" w:eastAsia="Courier New" w:hAnsi="Courier New"/>
          <w:sz w:val="18"/>
          <w:szCs w:val="18"/>
          <w:color w:val="auto"/>
        </w:rPr>
        <w:t>and Nortel</w:t>
      </w:r>
    </w:p>
    <w:p>
      <w:pPr>
        <w:jc w:val="center"/>
        <w:ind w:right="8479"/>
        <w:spacing w:after="0" w:line="238" w:lineRule="auto"/>
        <w:rPr>
          <w:sz w:val="20"/>
          <w:szCs w:val="20"/>
          <w:color w:val="auto"/>
        </w:rPr>
      </w:pPr>
      <w:r>
        <w:rPr>
          <w:rFonts w:ascii="Courier New" w:cs="Courier New" w:eastAsia="Courier New" w:hAnsi="Courier New"/>
          <w:sz w:val="18"/>
          <w:szCs w:val="18"/>
          <w:color w:val="auto"/>
        </w:rPr>
        <w:t>Networks</w:t>
      </w:r>
    </w:p>
    <w:p>
      <w:pPr>
        <w:jc w:val="center"/>
        <w:ind w:right="8479"/>
        <w:spacing w:after="0"/>
        <w:rPr>
          <w:sz w:val="20"/>
          <w:szCs w:val="20"/>
          <w:color w:val="auto"/>
        </w:rPr>
      </w:pPr>
      <w:r>
        <w:rPr>
          <w:rFonts w:ascii="Courier New" w:cs="Courier New" w:eastAsia="Courier New" w:hAnsi="Courier New"/>
          <w:sz w:val="18"/>
          <w:szCs w:val="18"/>
          <w:color w:val="auto"/>
        </w:rPr>
        <w:t>Corporation.</w:t>
      </w:r>
    </w:p>
    <w:p>
      <w:pPr>
        <w:jc w:val="center"/>
        <w:ind w:right="8479"/>
        <w:spacing w:after="0"/>
        <w:rPr>
          <w:sz w:val="20"/>
          <w:szCs w:val="20"/>
          <w:color w:val="auto"/>
        </w:rPr>
      </w:pPr>
      <w:r>
        <w:rPr>
          <w:rFonts w:ascii="Courier New" w:cs="Courier New" w:eastAsia="Courier New" w:hAnsi="Courier New"/>
          <w:sz w:val="16"/>
          <w:szCs w:val="16"/>
          <w:color w:val="auto"/>
        </w:rPr>
        <w:t>(incorporated by</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reference to</w:t>
      </w:r>
    </w:p>
    <w:p>
      <w:pPr>
        <w:jc w:val="center"/>
        <w:ind w:right="8479"/>
        <w:spacing w:after="0" w:line="238" w:lineRule="auto"/>
        <w:rPr>
          <w:sz w:val="20"/>
          <w:szCs w:val="20"/>
          <w:color w:val="auto"/>
        </w:rPr>
      </w:pPr>
      <w:r>
        <w:rPr>
          <w:rFonts w:ascii="Courier New" w:cs="Courier New" w:eastAsia="Courier New" w:hAnsi="Courier New"/>
          <w:sz w:val="18"/>
          <w:szCs w:val="18"/>
          <w:color w:val="auto"/>
        </w:rPr>
        <w:t>Exhibit 2.1 to</w:t>
      </w:r>
    </w:p>
    <w:p>
      <w:pPr>
        <w:jc w:val="center"/>
        <w:ind w:right="8479"/>
        <w:spacing w:after="0"/>
        <w:rPr>
          <w:sz w:val="20"/>
          <w:szCs w:val="20"/>
          <w:color w:val="auto"/>
        </w:rPr>
      </w:pPr>
      <w:r>
        <w:rPr>
          <w:rFonts w:ascii="Courier New" w:cs="Courier New" w:eastAsia="Courier New" w:hAnsi="Courier New"/>
          <w:sz w:val="18"/>
          <w:szCs w:val="18"/>
          <w:color w:val="auto"/>
        </w:rPr>
        <w:t>Amdocs' Current</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Report on Form</w:t>
      </w:r>
    </w:p>
    <w:p>
      <w:pPr>
        <w:jc w:val="center"/>
        <w:ind w:right="8479"/>
        <w:spacing w:after="0"/>
        <w:rPr>
          <w:sz w:val="20"/>
          <w:szCs w:val="20"/>
          <w:color w:val="auto"/>
        </w:rPr>
      </w:pPr>
      <w:r>
        <w:rPr>
          <w:rFonts w:ascii="Courier New" w:cs="Courier New" w:eastAsia="Courier New" w:hAnsi="Courier New"/>
          <w:sz w:val="18"/>
          <w:szCs w:val="18"/>
          <w:color w:val="auto"/>
        </w:rPr>
        <w:t>6-K dated</w:t>
      </w:r>
    </w:p>
    <w:p>
      <w:pPr>
        <w:jc w:val="center"/>
        <w:ind w:right="8479"/>
        <w:spacing w:after="0" w:line="238" w:lineRule="auto"/>
        <w:rPr>
          <w:sz w:val="20"/>
          <w:szCs w:val="20"/>
          <w:color w:val="auto"/>
        </w:rPr>
      </w:pPr>
      <w:r>
        <w:rPr>
          <w:rFonts w:ascii="Courier New" w:cs="Courier New" w:eastAsia="Courier New" w:hAnsi="Courier New"/>
          <w:sz w:val="18"/>
          <w:szCs w:val="18"/>
          <w:color w:val="auto"/>
        </w:rPr>
        <w:t>October 10,</w:t>
      </w:r>
    </w:p>
    <w:p>
      <w:pPr>
        <w:jc w:val="center"/>
        <w:ind w:right="8479"/>
        <w:spacing w:after="0"/>
        <w:rPr>
          <w:sz w:val="20"/>
          <w:szCs w:val="20"/>
          <w:color w:val="auto"/>
        </w:rPr>
      </w:pPr>
      <w:r>
        <w:rPr>
          <w:rFonts w:ascii="Courier New" w:cs="Courier New" w:eastAsia="Courier New" w:hAnsi="Courier New"/>
          <w:sz w:val="18"/>
          <w:szCs w:val="18"/>
          <w:color w:val="auto"/>
        </w:rPr>
        <w:t>2001) 4.b.1</w:t>
      </w:r>
    </w:p>
    <w:p>
      <w:pPr>
        <w:jc w:val="center"/>
        <w:ind w:right="8479"/>
        <w:spacing w:after="0" w:line="238" w:lineRule="auto"/>
        <w:rPr>
          <w:sz w:val="20"/>
          <w:szCs w:val="20"/>
          <w:color w:val="auto"/>
        </w:rPr>
      </w:pPr>
      <w:r>
        <w:rPr>
          <w:rFonts w:ascii="Courier New" w:cs="Courier New" w:eastAsia="Courier New" w:hAnsi="Courier New"/>
          <w:sz w:val="18"/>
          <w:szCs w:val="18"/>
          <w:color w:val="auto"/>
        </w:rPr>
        <w:t>Information</w:t>
      </w:r>
    </w:p>
    <w:p>
      <w:pPr>
        <w:jc w:val="center"/>
        <w:ind w:right="8479"/>
        <w:spacing w:after="0"/>
        <w:rPr>
          <w:sz w:val="20"/>
          <w:szCs w:val="20"/>
          <w:color w:val="auto"/>
        </w:rPr>
      </w:pPr>
      <w:r>
        <w:rPr>
          <w:rFonts w:ascii="Courier New" w:cs="Courier New" w:eastAsia="Courier New" w:hAnsi="Courier New"/>
          <w:sz w:val="18"/>
          <w:szCs w:val="18"/>
          <w:color w:val="auto"/>
        </w:rPr>
        <w:t>Technology</w:t>
      </w:r>
    </w:p>
    <w:p>
      <w:pPr>
        <w:jc w:val="center"/>
        <w:ind w:right="8479"/>
        <w:spacing w:after="0" w:line="238" w:lineRule="auto"/>
        <w:rPr>
          <w:sz w:val="20"/>
          <w:szCs w:val="20"/>
          <w:color w:val="auto"/>
        </w:rPr>
      </w:pPr>
      <w:r>
        <w:rPr>
          <w:rFonts w:ascii="Courier New" w:cs="Courier New" w:eastAsia="Courier New" w:hAnsi="Courier New"/>
          <w:sz w:val="18"/>
          <w:szCs w:val="18"/>
          <w:color w:val="auto"/>
        </w:rPr>
        <w:t>Services</w:t>
      </w:r>
    </w:p>
    <w:p>
      <w:pPr>
        <w:jc w:val="center"/>
        <w:ind w:right="8479"/>
        <w:spacing w:after="0"/>
        <w:rPr>
          <w:sz w:val="20"/>
          <w:szCs w:val="20"/>
          <w:color w:val="auto"/>
        </w:rPr>
      </w:pPr>
      <w:r>
        <w:rPr>
          <w:rFonts w:ascii="Courier New" w:cs="Courier New" w:eastAsia="Courier New" w:hAnsi="Courier New"/>
          <w:sz w:val="18"/>
          <w:szCs w:val="18"/>
          <w:color w:val="auto"/>
        </w:rPr>
        <w:t>Agreement</w:t>
      </w:r>
    </w:p>
    <w:p>
      <w:pPr>
        <w:jc w:val="center"/>
        <w:ind w:right="8479"/>
        <w:spacing w:after="0" w:line="238" w:lineRule="auto"/>
        <w:rPr>
          <w:sz w:val="20"/>
          <w:szCs w:val="20"/>
          <w:color w:val="auto"/>
        </w:rPr>
      </w:pPr>
      <w:r>
        <w:rPr>
          <w:rFonts w:ascii="Courier New" w:cs="Courier New" w:eastAsia="Courier New" w:hAnsi="Courier New"/>
          <w:sz w:val="18"/>
          <w:szCs w:val="18"/>
          <w:color w:val="auto"/>
        </w:rPr>
        <w:t>between Amdocs,</w:t>
      </w:r>
    </w:p>
    <w:p>
      <w:pPr>
        <w:jc w:val="center"/>
        <w:ind w:right="8479"/>
        <w:spacing w:after="0"/>
        <w:rPr>
          <w:sz w:val="20"/>
          <w:szCs w:val="20"/>
          <w:color w:val="auto"/>
        </w:rPr>
      </w:pPr>
      <w:r>
        <w:rPr>
          <w:rFonts w:ascii="Courier New" w:cs="Courier New" w:eastAsia="Courier New" w:hAnsi="Courier New"/>
          <w:sz w:val="18"/>
          <w:szCs w:val="18"/>
          <w:color w:val="auto"/>
        </w:rPr>
        <w:t>Inc. and SBC</w:t>
      </w:r>
    </w:p>
    <w:p>
      <w:pPr>
        <w:jc w:val="center"/>
        <w:ind w:right="8479"/>
        <w:spacing w:after="0" w:line="238" w:lineRule="auto"/>
        <w:rPr>
          <w:sz w:val="20"/>
          <w:szCs w:val="20"/>
          <w:color w:val="auto"/>
        </w:rPr>
      </w:pPr>
      <w:r>
        <w:rPr>
          <w:rFonts w:ascii="Courier New" w:cs="Courier New" w:eastAsia="Courier New" w:hAnsi="Courier New"/>
          <w:sz w:val="18"/>
          <w:szCs w:val="18"/>
          <w:color w:val="auto"/>
        </w:rPr>
        <w:t>Services, Inc.</w:t>
      </w:r>
    </w:p>
    <w:p>
      <w:pPr>
        <w:jc w:val="center"/>
        <w:ind w:right="8479"/>
        <w:spacing w:after="0"/>
        <w:rPr>
          <w:sz w:val="20"/>
          <w:szCs w:val="20"/>
          <w:color w:val="auto"/>
        </w:rPr>
      </w:pPr>
      <w:r>
        <w:rPr>
          <w:rFonts w:ascii="Courier New" w:cs="Courier New" w:eastAsia="Courier New" w:hAnsi="Courier New"/>
          <w:sz w:val="16"/>
          <w:szCs w:val="16"/>
          <w:color w:val="auto"/>
        </w:rPr>
        <w:t>dated January 9,</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2003</w:t>
      </w:r>
    </w:p>
    <w:p>
      <w:pPr>
        <w:jc w:val="center"/>
        <w:ind w:right="8479"/>
        <w:spacing w:after="0" w:line="238" w:lineRule="auto"/>
        <w:rPr>
          <w:sz w:val="20"/>
          <w:szCs w:val="20"/>
          <w:color w:val="auto"/>
        </w:rPr>
      </w:pPr>
      <w:r>
        <w:rPr>
          <w:rFonts w:ascii="Courier New" w:cs="Courier New" w:eastAsia="Courier New" w:hAnsi="Courier New"/>
          <w:sz w:val="18"/>
          <w:szCs w:val="18"/>
          <w:color w:val="auto"/>
        </w:rPr>
        <w:t>(confidential</w:t>
      </w:r>
    </w:p>
    <w:p>
      <w:pPr>
        <w:jc w:val="center"/>
        <w:ind w:right="8479"/>
        <w:spacing w:after="0"/>
        <w:rPr>
          <w:sz w:val="20"/>
          <w:szCs w:val="20"/>
          <w:color w:val="auto"/>
        </w:rPr>
      </w:pPr>
      <w:r>
        <w:rPr>
          <w:rFonts w:ascii="Courier New" w:cs="Courier New" w:eastAsia="Courier New" w:hAnsi="Courier New"/>
          <w:sz w:val="18"/>
          <w:szCs w:val="18"/>
          <w:color w:val="auto"/>
        </w:rPr>
        <w:t>material has</w:t>
      </w:r>
    </w:p>
    <w:p>
      <w:pPr>
        <w:jc w:val="center"/>
        <w:ind w:right="8479"/>
        <w:spacing w:after="0" w:line="238" w:lineRule="auto"/>
        <w:rPr>
          <w:sz w:val="20"/>
          <w:szCs w:val="20"/>
          <w:color w:val="auto"/>
        </w:rPr>
      </w:pPr>
      <w:r>
        <w:rPr>
          <w:rFonts w:ascii="Courier New" w:cs="Courier New" w:eastAsia="Courier New" w:hAnsi="Courier New"/>
          <w:sz w:val="18"/>
          <w:szCs w:val="18"/>
          <w:color w:val="auto"/>
        </w:rPr>
        <w:t>been redacted</w:t>
      </w:r>
    </w:p>
    <w:p>
      <w:pPr>
        <w:jc w:val="center"/>
        <w:ind w:right="8479"/>
        <w:spacing w:after="0"/>
        <w:rPr>
          <w:sz w:val="20"/>
          <w:szCs w:val="20"/>
          <w:color w:val="auto"/>
        </w:rPr>
      </w:pPr>
      <w:r>
        <w:rPr>
          <w:rFonts w:ascii="Courier New" w:cs="Courier New" w:eastAsia="Courier New" w:hAnsi="Courier New"/>
          <w:sz w:val="18"/>
          <w:szCs w:val="18"/>
          <w:color w:val="auto"/>
        </w:rPr>
        <w:t>and complete</w:t>
      </w:r>
    </w:p>
    <w:p>
      <w:pPr>
        <w:jc w:val="center"/>
        <w:ind w:right="8479"/>
        <w:spacing w:after="0" w:line="238" w:lineRule="auto"/>
        <w:rPr>
          <w:sz w:val="20"/>
          <w:szCs w:val="20"/>
          <w:color w:val="auto"/>
        </w:rPr>
      </w:pPr>
      <w:r>
        <w:rPr>
          <w:rFonts w:ascii="Courier New" w:cs="Courier New" w:eastAsia="Courier New" w:hAnsi="Courier New"/>
          <w:sz w:val="18"/>
          <w:szCs w:val="18"/>
          <w:color w:val="auto"/>
        </w:rPr>
        <w:t>exhibits have</w:t>
      </w:r>
    </w:p>
    <w:p>
      <w:pPr>
        <w:jc w:val="center"/>
        <w:ind w:right="8479"/>
        <w:spacing w:after="0"/>
        <w:rPr>
          <w:sz w:val="20"/>
          <w:szCs w:val="20"/>
          <w:color w:val="auto"/>
        </w:rPr>
      </w:pPr>
      <w:r>
        <w:rPr>
          <w:rFonts w:ascii="Courier New" w:cs="Courier New" w:eastAsia="Courier New" w:hAnsi="Courier New"/>
          <w:sz w:val="18"/>
          <w:szCs w:val="18"/>
          <w:color w:val="auto"/>
        </w:rPr>
        <w:t>been separately</w:t>
      </w:r>
    </w:p>
    <w:p>
      <w:pPr>
        <w:jc w:val="center"/>
        <w:ind w:right="8479"/>
        <w:spacing w:after="0" w:line="238" w:lineRule="auto"/>
        <w:rPr>
          <w:sz w:val="20"/>
          <w:szCs w:val="20"/>
          <w:color w:val="auto"/>
        </w:rPr>
      </w:pPr>
      <w:r>
        <w:rPr>
          <w:rFonts w:ascii="Courier New" w:cs="Courier New" w:eastAsia="Courier New" w:hAnsi="Courier New"/>
          <w:sz w:val="18"/>
          <w:szCs w:val="18"/>
          <w:color w:val="auto"/>
        </w:rPr>
        <w:t>filed with the</w:t>
      </w:r>
    </w:p>
    <w:p>
      <w:pPr>
        <w:jc w:val="center"/>
        <w:ind w:right="8479"/>
        <w:spacing w:after="0"/>
        <w:rPr>
          <w:sz w:val="20"/>
          <w:szCs w:val="20"/>
          <w:color w:val="auto"/>
        </w:rPr>
      </w:pPr>
      <w:r>
        <w:rPr>
          <w:rFonts w:ascii="Courier New" w:cs="Courier New" w:eastAsia="Courier New" w:hAnsi="Courier New"/>
          <w:sz w:val="18"/>
          <w:szCs w:val="18"/>
          <w:color w:val="auto"/>
        </w:rPr>
        <w:t>Securities and</w:t>
      </w:r>
    </w:p>
    <w:p>
      <w:pPr>
        <w:jc w:val="center"/>
        <w:ind w:right="8479"/>
        <w:spacing w:after="0" w:line="238" w:lineRule="auto"/>
        <w:rPr>
          <w:sz w:val="20"/>
          <w:szCs w:val="20"/>
          <w:color w:val="auto"/>
        </w:rPr>
      </w:pPr>
      <w:r>
        <w:rPr>
          <w:rFonts w:ascii="Courier New" w:cs="Courier New" w:eastAsia="Courier New" w:hAnsi="Courier New"/>
          <w:sz w:val="18"/>
          <w:szCs w:val="18"/>
          <w:color w:val="auto"/>
        </w:rPr>
        <w:t>Exchange</w:t>
      </w:r>
    </w:p>
    <w:p>
      <w:pPr>
        <w:jc w:val="center"/>
        <w:ind w:right="8479"/>
        <w:spacing w:after="0"/>
        <w:rPr>
          <w:sz w:val="20"/>
          <w:szCs w:val="20"/>
          <w:color w:val="auto"/>
        </w:rPr>
      </w:pPr>
      <w:r>
        <w:rPr>
          <w:rFonts w:ascii="Courier New" w:cs="Courier New" w:eastAsia="Courier New" w:hAnsi="Courier New"/>
          <w:sz w:val="18"/>
          <w:szCs w:val="18"/>
          <w:color w:val="auto"/>
        </w:rPr>
        <w:t>Commission)</w:t>
      </w:r>
    </w:p>
    <w:p>
      <w:pPr>
        <w:jc w:val="center"/>
        <w:ind w:right="8479"/>
        <w:spacing w:after="0"/>
        <w:rPr>
          <w:sz w:val="20"/>
          <w:szCs w:val="20"/>
          <w:color w:val="auto"/>
        </w:rPr>
      </w:pPr>
      <w:r>
        <w:rPr>
          <w:rFonts w:ascii="Courier New" w:cs="Courier New" w:eastAsia="Courier New" w:hAnsi="Courier New"/>
          <w:sz w:val="16"/>
          <w:szCs w:val="16"/>
          <w:color w:val="auto"/>
        </w:rPr>
        <w:t>(incorporated by</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reference to</w:t>
      </w:r>
    </w:p>
    <w:p>
      <w:pPr>
        <w:jc w:val="center"/>
        <w:ind w:right="8479"/>
        <w:spacing w:after="0"/>
        <w:rPr>
          <w:sz w:val="20"/>
          <w:szCs w:val="20"/>
          <w:color w:val="auto"/>
        </w:rPr>
      </w:pPr>
      <w:r>
        <w:rPr>
          <w:rFonts w:ascii="Courier New" w:cs="Courier New" w:eastAsia="Courier New" w:hAnsi="Courier New"/>
          <w:sz w:val="16"/>
          <w:szCs w:val="16"/>
          <w:color w:val="auto"/>
        </w:rPr>
        <w:t>Exhibit 4.b.1 to</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Amdocs' Annual</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Report on Form</w:t>
      </w:r>
    </w:p>
    <w:p>
      <w:pPr>
        <w:jc w:val="center"/>
        <w:ind w:right="8479"/>
        <w:spacing w:after="0"/>
        <w:rPr>
          <w:sz w:val="20"/>
          <w:szCs w:val="20"/>
          <w:color w:val="auto"/>
        </w:rPr>
      </w:pPr>
      <w:r>
        <w:rPr>
          <w:rFonts w:ascii="Courier New" w:cs="Courier New" w:eastAsia="Courier New" w:hAnsi="Courier New"/>
          <w:sz w:val="18"/>
          <w:szCs w:val="18"/>
          <w:color w:val="auto"/>
        </w:rPr>
        <w:t>20-F for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fiscal year</w:t>
      </w:r>
    </w:p>
    <w:p>
      <w:pPr>
        <w:jc w:val="center"/>
        <w:ind w:right="8479"/>
        <w:spacing w:after="0"/>
        <w:rPr>
          <w:sz w:val="20"/>
          <w:szCs w:val="20"/>
          <w:color w:val="auto"/>
        </w:rPr>
      </w:pPr>
      <w:r>
        <w:rPr>
          <w:rFonts w:ascii="Courier New" w:cs="Courier New" w:eastAsia="Courier New" w:hAnsi="Courier New"/>
          <w:sz w:val="18"/>
          <w:szCs w:val="18"/>
          <w:color w:val="auto"/>
        </w:rPr>
        <w:t>ended September</w:t>
      </w:r>
    </w:p>
    <w:p>
      <w:pPr>
        <w:jc w:val="center"/>
        <w:ind w:right="8479"/>
        <w:spacing w:after="0" w:line="238" w:lineRule="auto"/>
        <w:rPr>
          <w:sz w:val="20"/>
          <w:szCs w:val="20"/>
          <w:color w:val="auto"/>
        </w:rPr>
      </w:pPr>
      <w:r>
        <w:rPr>
          <w:rFonts w:ascii="Courier New" w:cs="Courier New" w:eastAsia="Courier New" w:hAnsi="Courier New"/>
          <w:sz w:val="18"/>
          <w:szCs w:val="18"/>
          <w:color w:val="auto"/>
        </w:rPr>
        <w:t>30, 2003) 4.b.2</w:t>
      </w:r>
    </w:p>
    <w:p>
      <w:pPr>
        <w:jc w:val="center"/>
        <w:ind w:right="8479"/>
        <w:spacing w:after="0"/>
        <w:rPr>
          <w:sz w:val="20"/>
          <w:szCs w:val="20"/>
          <w:color w:val="auto"/>
        </w:rPr>
      </w:pPr>
      <w:r>
        <w:rPr>
          <w:rFonts w:ascii="Courier New" w:cs="Courier New" w:eastAsia="Courier New" w:hAnsi="Courier New"/>
          <w:sz w:val="16"/>
          <w:szCs w:val="16"/>
          <w:color w:val="auto"/>
        </w:rPr>
        <w:t>Master Agreement</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for Software and</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Services between</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Amdocs, Inc. and</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SBC Operations,</w:t>
      </w:r>
    </w:p>
    <w:p>
      <w:pPr>
        <w:jc w:val="center"/>
        <w:ind w:right="8479"/>
        <w:spacing w:after="0" w:line="238" w:lineRule="auto"/>
        <w:rPr>
          <w:sz w:val="20"/>
          <w:szCs w:val="20"/>
          <w:color w:val="auto"/>
        </w:rPr>
      </w:pPr>
      <w:r>
        <w:rPr>
          <w:rFonts w:ascii="Courier New" w:cs="Courier New" w:eastAsia="Courier New" w:hAnsi="Courier New"/>
          <w:sz w:val="18"/>
          <w:szCs w:val="18"/>
          <w:color w:val="auto"/>
        </w:rPr>
        <w:t>Inc., effective</w:t>
      </w:r>
    </w:p>
    <w:p>
      <w:pPr>
        <w:jc w:val="center"/>
        <w:ind w:right="8479"/>
        <w:spacing w:after="0"/>
        <w:rPr>
          <w:sz w:val="20"/>
          <w:szCs w:val="20"/>
          <w:color w:val="auto"/>
        </w:rPr>
      </w:pPr>
      <w:r>
        <w:rPr>
          <w:rFonts w:ascii="Courier New" w:cs="Courier New" w:eastAsia="Courier New" w:hAnsi="Courier New"/>
          <w:sz w:val="18"/>
          <w:szCs w:val="18"/>
          <w:color w:val="auto"/>
        </w:rPr>
        <w:t>July 7, 1998</w:t>
      </w:r>
    </w:p>
    <w:p>
      <w:pPr>
        <w:jc w:val="center"/>
        <w:ind w:right="8479"/>
        <w:spacing w:after="0" w:line="238" w:lineRule="auto"/>
        <w:rPr>
          <w:sz w:val="20"/>
          <w:szCs w:val="20"/>
          <w:color w:val="auto"/>
        </w:rPr>
      </w:pPr>
      <w:r>
        <w:rPr>
          <w:rFonts w:ascii="Courier New" w:cs="Courier New" w:eastAsia="Courier New" w:hAnsi="Courier New"/>
          <w:sz w:val="18"/>
          <w:szCs w:val="18"/>
          <w:color w:val="auto"/>
        </w:rPr>
        <w:t>(confidential</w:t>
      </w:r>
    </w:p>
    <w:p>
      <w:pPr>
        <w:jc w:val="center"/>
        <w:ind w:right="8479"/>
        <w:spacing w:after="0"/>
        <w:rPr>
          <w:sz w:val="20"/>
          <w:szCs w:val="20"/>
          <w:color w:val="auto"/>
        </w:rPr>
      </w:pPr>
      <w:r>
        <w:rPr>
          <w:rFonts w:ascii="Courier New" w:cs="Courier New" w:eastAsia="Courier New" w:hAnsi="Courier New"/>
          <w:sz w:val="18"/>
          <w:szCs w:val="18"/>
          <w:color w:val="auto"/>
        </w:rPr>
        <w:t>material has</w:t>
      </w:r>
    </w:p>
    <w:p>
      <w:pPr>
        <w:jc w:val="center"/>
        <w:ind w:right="8479"/>
        <w:spacing w:after="0" w:line="238" w:lineRule="auto"/>
        <w:rPr>
          <w:sz w:val="20"/>
          <w:szCs w:val="20"/>
          <w:color w:val="auto"/>
        </w:rPr>
      </w:pPr>
      <w:r>
        <w:rPr>
          <w:rFonts w:ascii="Courier New" w:cs="Courier New" w:eastAsia="Courier New" w:hAnsi="Courier New"/>
          <w:sz w:val="18"/>
          <w:szCs w:val="18"/>
          <w:color w:val="auto"/>
        </w:rPr>
        <w:t>been redacted</w:t>
      </w:r>
    </w:p>
    <w:p>
      <w:pPr>
        <w:jc w:val="center"/>
        <w:ind w:right="8479"/>
        <w:spacing w:after="0"/>
        <w:rPr>
          <w:sz w:val="20"/>
          <w:szCs w:val="20"/>
          <w:color w:val="auto"/>
        </w:rPr>
      </w:pPr>
      <w:r>
        <w:rPr>
          <w:rFonts w:ascii="Courier New" w:cs="Courier New" w:eastAsia="Courier New" w:hAnsi="Courier New"/>
          <w:sz w:val="18"/>
          <w:szCs w:val="18"/>
          <w:color w:val="auto"/>
        </w:rPr>
        <w:t>and complete</w:t>
      </w:r>
    </w:p>
    <w:p>
      <w:pPr>
        <w:jc w:val="center"/>
        <w:ind w:right="8479"/>
        <w:spacing w:after="0" w:line="238" w:lineRule="auto"/>
        <w:rPr>
          <w:sz w:val="20"/>
          <w:szCs w:val="20"/>
          <w:color w:val="auto"/>
        </w:rPr>
      </w:pPr>
      <w:r>
        <w:rPr>
          <w:rFonts w:ascii="Courier New" w:cs="Courier New" w:eastAsia="Courier New" w:hAnsi="Courier New"/>
          <w:sz w:val="18"/>
          <w:szCs w:val="18"/>
          <w:color w:val="auto"/>
        </w:rPr>
        <w:t>exhibits have</w:t>
      </w:r>
    </w:p>
    <w:p>
      <w:pPr>
        <w:jc w:val="center"/>
        <w:ind w:right="8479"/>
        <w:spacing w:after="0"/>
        <w:rPr>
          <w:sz w:val="20"/>
          <w:szCs w:val="20"/>
          <w:color w:val="auto"/>
        </w:rPr>
      </w:pPr>
      <w:r>
        <w:rPr>
          <w:rFonts w:ascii="Courier New" w:cs="Courier New" w:eastAsia="Courier New" w:hAnsi="Courier New"/>
          <w:sz w:val="18"/>
          <w:szCs w:val="18"/>
          <w:color w:val="auto"/>
        </w:rPr>
        <w:t>been separately</w:t>
      </w:r>
    </w:p>
    <w:p>
      <w:pPr>
        <w:jc w:val="center"/>
        <w:ind w:right="8479"/>
        <w:spacing w:after="0" w:line="238" w:lineRule="auto"/>
        <w:rPr>
          <w:sz w:val="20"/>
          <w:szCs w:val="20"/>
          <w:color w:val="auto"/>
        </w:rPr>
      </w:pPr>
      <w:r>
        <w:rPr>
          <w:rFonts w:ascii="Courier New" w:cs="Courier New" w:eastAsia="Courier New" w:hAnsi="Courier New"/>
          <w:sz w:val="18"/>
          <w:szCs w:val="18"/>
          <w:color w:val="auto"/>
        </w:rPr>
        <w:t>filed with the</w:t>
      </w:r>
    </w:p>
    <w:p>
      <w:pPr>
        <w:jc w:val="center"/>
        <w:ind w:right="8479"/>
        <w:spacing w:after="0"/>
        <w:rPr>
          <w:sz w:val="20"/>
          <w:szCs w:val="20"/>
          <w:color w:val="auto"/>
        </w:rPr>
      </w:pPr>
      <w:r>
        <w:rPr>
          <w:rFonts w:ascii="Courier New" w:cs="Courier New" w:eastAsia="Courier New" w:hAnsi="Courier New"/>
          <w:sz w:val="18"/>
          <w:szCs w:val="18"/>
          <w:color w:val="auto"/>
        </w:rPr>
        <w:t>Securities and</w:t>
      </w:r>
    </w:p>
    <w:p>
      <w:pPr>
        <w:jc w:val="center"/>
        <w:ind w:right="8479"/>
        <w:spacing w:after="0" w:line="238" w:lineRule="auto"/>
        <w:rPr>
          <w:sz w:val="20"/>
          <w:szCs w:val="20"/>
          <w:color w:val="auto"/>
        </w:rPr>
      </w:pPr>
      <w:r>
        <w:rPr>
          <w:rFonts w:ascii="Courier New" w:cs="Courier New" w:eastAsia="Courier New" w:hAnsi="Courier New"/>
          <w:sz w:val="18"/>
          <w:szCs w:val="18"/>
          <w:color w:val="auto"/>
        </w:rPr>
        <w:t>Exchange</w:t>
      </w:r>
    </w:p>
    <w:p>
      <w:pPr>
        <w:jc w:val="center"/>
        <w:ind w:right="8479"/>
        <w:spacing w:after="0"/>
        <w:rPr>
          <w:sz w:val="20"/>
          <w:szCs w:val="20"/>
          <w:color w:val="auto"/>
        </w:rPr>
      </w:pPr>
      <w:r>
        <w:rPr>
          <w:rFonts w:ascii="Courier New" w:cs="Courier New" w:eastAsia="Courier New" w:hAnsi="Courier New"/>
          <w:sz w:val="18"/>
          <w:szCs w:val="18"/>
          <w:color w:val="auto"/>
        </w:rPr>
        <w:t>Commission)</w:t>
      </w:r>
    </w:p>
    <w:p>
      <w:pPr>
        <w:jc w:val="center"/>
        <w:ind w:right="8479"/>
        <w:spacing w:after="0"/>
        <w:rPr>
          <w:sz w:val="20"/>
          <w:szCs w:val="20"/>
          <w:color w:val="auto"/>
        </w:rPr>
      </w:pPr>
      <w:r>
        <w:rPr>
          <w:rFonts w:ascii="Courier New" w:cs="Courier New" w:eastAsia="Courier New" w:hAnsi="Courier New"/>
          <w:sz w:val="16"/>
          <w:szCs w:val="16"/>
          <w:color w:val="auto"/>
        </w:rPr>
        <w:t>(incorporated by</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reference to</w:t>
      </w:r>
    </w:p>
    <w:p>
      <w:pPr>
        <w:jc w:val="center"/>
        <w:ind w:right="8479"/>
        <w:spacing w:after="0"/>
        <w:rPr>
          <w:sz w:val="20"/>
          <w:szCs w:val="20"/>
          <w:color w:val="auto"/>
        </w:rPr>
      </w:pPr>
      <w:r>
        <w:rPr>
          <w:rFonts w:ascii="Courier New" w:cs="Courier New" w:eastAsia="Courier New" w:hAnsi="Courier New"/>
          <w:sz w:val="16"/>
          <w:szCs w:val="16"/>
          <w:color w:val="auto"/>
        </w:rPr>
        <w:t>Exhibit 10.13 to</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Amdocs'</w:t>
      </w:r>
    </w:p>
    <w:p>
      <w:pPr>
        <w:jc w:val="center"/>
        <w:ind w:right="8479"/>
        <w:spacing w:after="0" w:line="238" w:lineRule="auto"/>
        <w:rPr>
          <w:sz w:val="20"/>
          <w:szCs w:val="20"/>
          <w:color w:val="auto"/>
        </w:rPr>
      </w:pPr>
      <w:r>
        <w:rPr>
          <w:rFonts w:ascii="Courier New" w:cs="Courier New" w:eastAsia="Courier New" w:hAnsi="Courier New"/>
          <w:sz w:val="18"/>
          <w:szCs w:val="18"/>
          <w:color w:val="auto"/>
        </w:rPr>
        <w:t>Amendment No. 1</w:t>
      </w:r>
    </w:p>
    <w:p>
      <w:pPr>
        <w:jc w:val="center"/>
        <w:ind w:right="8479"/>
        <w:spacing w:after="0"/>
        <w:rPr>
          <w:sz w:val="20"/>
          <w:szCs w:val="20"/>
          <w:color w:val="auto"/>
        </w:rPr>
      </w:pPr>
      <w:r>
        <w:rPr>
          <w:rFonts w:ascii="Courier New" w:cs="Courier New" w:eastAsia="Courier New" w:hAnsi="Courier New"/>
          <w:sz w:val="18"/>
          <w:szCs w:val="18"/>
          <w:color w:val="auto"/>
        </w:rPr>
        <w:t>to Registration</w:t>
      </w:r>
    </w:p>
    <w:p>
      <w:pPr>
        <w:jc w:val="center"/>
        <w:ind w:right="8479"/>
        <w:spacing w:after="0" w:line="238" w:lineRule="auto"/>
        <w:rPr>
          <w:sz w:val="20"/>
          <w:szCs w:val="20"/>
          <w:color w:val="auto"/>
        </w:rPr>
      </w:pPr>
      <w:r>
        <w:rPr>
          <w:rFonts w:ascii="Courier New" w:cs="Courier New" w:eastAsia="Courier New" w:hAnsi="Courier New"/>
          <w:sz w:val="18"/>
          <w:szCs w:val="18"/>
          <w:color w:val="auto"/>
        </w:rPr>
        <w:t>Statement on</w:t>
      </w:r>
    </w:p>
    <w:p>
      <w:pPr>
        <w:jc w:val="center"/>
        <w:ind w:right="8479"/>
        <w:spacing w:after="0"/>
        <w:rPr>
          <w:sz w:val="20"/>
          <w:szCs w:val="20"/>
          <w:color w:val="auto"/>
        </w:rPr>
      </w:pPr>
      <w:r>
        <w:rPr>
          <w:rFonts w:ascii="Courier New" w:cs="Courier New" w:eastAsia="Courier New" w:hAnsi="Courier New"/>
          <w:sz w:val="18"/>
          <w:szCs w:val="18"/>
          <w:color w:val="auto"/>
        </w:rPr>
        <w:t>Form F-1, dated</w:t>
      </w:r>
    </w:p>
    <w:p>
      <w:pPr>
        <w:jc w:val="center"/>
        <w:ind w:right="8479"/>
        <w:spacing w:after="0" w:line="238" w:lineRule="auto"/>
        <w:rPr>
          <w:sz w:val="20"/>
          <w:szCs w:val="20"/>
          <w:color w:val="auto"/>
        </w:rPr>
      </w:pPr>
      <w:r>
        <w:rPr>
          <w:rFonts w:ascii="Courier New" w:cs="Courier New" w:eastAsia="Courier New" w:hAnsi="Courier New"/>
          <w:sz w:val="18"/>
          <w:szCs w:val="18"/>
          <w:color w:val="auto"/>
        </w:rPr>
        <w:t>May 21, 1999,</w:t>
      </w:r>
    </w:p>
    <w:p>
      <w:pPr>
        <w:jc w:val="center"/>
        <w:ind w:right="8479"/>
        <w:spacing w:after="0"/>
        <w:rPr>
          <w:sz w:val="20"/>
          <w:szCs w:val="20"/>
          <w:color w:val="auto"/>
        </w:rPr>
      </w:pPr>
      <w:r>
        <w:rPr>
          <w:rFonts w:ascii="Courier New" w:cs="Courier New" w:eastAsia="Courier New" w:hAnsi="Courier New"/>
          <w:sz w:val="16"/>
          <w:szCs w:val="16"/>
          <w:color w:val="auto"/>
        </w:rPr>
        <w:t>Registration No.</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333-75151) 4.c.1</w:t>
      </w:r>
    </w:p>
    <w:p>
      <w:pPr>
        <w:spacing w:after="0" w:line="2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Amdocs Limited</w:t>
      </w:r>
    </w:p>
    <w:p>
      <w:pPr>
        <w:jc w:val="center"/>
        <w:ind w:right="8479"/>
        <w:spacing w:after="0" w:line="238" w:lineRule="auto"/>
        <w:rPr>
          <w:sz w:val="20"/>
          <w:szCs w:val="20"/>
          <w:color w:val="auto"/>
        </w:rPr>
      </w:pPr>
      <w:r>
        <w:rPr>
          <w:rFonts w:ascii="Courier New" w:cs="Courier New" w:eastAsia="Courier New" w:hAnsi="Courier New"/>
          <w:sz w:val="18"/>
          <w:szCs w:val="18"/>
          <w:color w:val="auto"/>
        </w:rPr>
        <w:t>1998 Stock</w:t>
      </w:r>
    </w:p>
    <w:p>
      <w:pPr>
        <w:jc w:val="center"/>
        <w:ind w:right="8479"/>
        <w:spacing w:after="0"/>
        <w:rPr>
          <w:sz w:val="20"/>
          <w:szCs w:val="20"/>
          <w:color w:val="auto"/>
        </w:rPr>
      </w:pPr>
      <w:r>
        <w:rPr>
          <w:rFonts w:ascii="Courier New" w:cs="Courier New" w:eastAsia="Courier New" w:hAnsi="Courier New"/>
          <w:sz w:val="18"/>
          <w:szCs w:val="18"/>
          <w:color w:val="auto"/>
        </w:rPr>
        <w:t>Option and</w:t>
      </w:r>
    </w:p>
    <w:p>
      <w:pPr>
        <w:jc w:val="center"/>
        <w:ind w:right="8479"/>
        <w:spacing w:after="0"/>
        <w:rPr>
          <w:sz w:val="20"/>
          <w:szCs w:val="20"/>
          <w:color w:val="auto"/>
        </w:rPr>
      </w:pPr>
      <w:r>
        <w:rPr>
          <w:rFonts w:ascii="Courier New" w:cs="Courier New" w:eastAsia="Courier New" w:hAnsi="Courier New"/>
          <w:sz w:val="18"/>
          <w:szCs w:val="18"/>
          <w:color w:val="auto"/>
        </w:rPr>
        <w:t>Incentive Plan,</w:t>
      </w:r>
    </w:p>
    <w:p>
      <w:pPr>
        <w:sectPr>
          <w:pgSz w:w="11900" w:h="16838" w:orient="portrait"/>
          <w:cols w:equalWidth="0" w:num="1">
            <w:col w:w="10159"/>
          </w:cols>
          <w:pgMar w:left="300" w:top="110" w:right="1440" w:bottom="0" w:gutter="0" w:footer="0" w:header="0"/>
        </w:sectPr>
      </w:pPr>
    </w:p>
    <w:bookmarkStart w:id="70" w:name="page71"/>
    <w:bookmarkEnd w:id="70"/>
    <w:p>
      <w:pPr>
        <w:jc w:val="center"/>
        <w:ind w:right="8419"/>
        <w:spacing w:after="0"/>
        <w:rPr>
          <w:sz w:val="20"/>
          <w:szCs w:val="20"/>
          <w:color w:val="auto"/>
        </w:rPr>
      </w:pPr>
      <w:r>
        <w:rPr>
          <w:rFonts w:ascii="Courier New" w:cs="Courier New" w:eastAsia="Courier New" w:hAnsi="Courier New"/>
          <w:sz w:val="18"/>
          <w:szCs w:val="18"/>
          <w:color w:val="auto"/>
        </w:rPr>
        <w:t>as amended</w:t>
      </w:r>
    </w:p>
    <w:p>
      <w:pPr>
        <w:spacing w:after="0" w:line="29"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January 24, 2001</w:t>
      </w:r>
    </w:p>
    <w:p>
      <w:pPr>
        <w:jc w:val="center"/>
        <w:ind w:right="8419"/>
        <w:spacing w:after="0" w:line="238" w:lineRule="auto"/>
        <w:rPr>
          <w:sz w:val="20"/>
          <w:szCs w:val="20"/>
          <w:color w:val="auto"/>
        </w:rPr>
      </w:pPr>
      <w:r>
        <w:rPr>
          <w:rFonts w:ascii="Courier New" w:cs="Courier New" w:eastAsia="Courier New" w:hAnsi="Courier New"/>
          <w:sz w:val="18"/>
          <w:szCs w:val="18"/>
          <w:color w:val="auto"/>
        </w:rPr>
        <w:t>(incorporated by</w:t>
      </w:r>
    </w:p>
    <w:p>
      <w:pPr>
        <w:jc w:val="center"/>
        <w:ind w:right="8419"/>
        <w:spacing w:after="0"/>
        <w:rPr>
          <w:sz w:val="20"/>
          <w:szCs w:val="20"/>
          <w:color w:val="auto"/>
        </w:rPr>
      </w:pPr>
      <w:r>
        <w:rPr>
          <w:rFonts w:ascii="Courier New" w:cs="Courier New" w:eastAsia="Courier New" w:hAnsi="Courier New"/>
          <w:sz w:val="18"/>
          <w:szCs w:val="18"/>
          <w:color w:val="auto"/>
        </w:rPr>
        <w:t>reference to</w:t>
      </w:r>
    </w:p>
    <w:p>
      <w:pPr>
        <w:jc w:val="center"/>
        <w:ind w:right="8419"/>
        <w:spacing w:after="0" w:line="238" w:lineRule="auto"/>
        <w:rPr>
          <w:sz w:val="20"/>
          <w:szCs w:val="20"/>
          <w:color w:val="auto"/>
        </w:rPr>
      </w:pPr>
      <w:r>
        <w:rPr>
          <w:rFonts w:ascii="Courier New" w:cs="Courier New" w:eastAsia="Courier New" w:hAnsi="Courier New"/>
          <w:sz w:val="18"/>
          <w:szCs w:val="18"/>
          <w:color w:val="auto"/>
        </w:rPr>
        <w:t>Exhibit 4 to</w:t>
      </w:r>
    </w:p>
    <w:p>
      <w:pPr>
        <w:jc w:val="center"/>
        <w:ind w:right="8419"/>
        <w:spacing w:after="0"/>
        <w:rPr>
          <w:sz w:val="20"/>
          <w:szCs w:val="20"/>
          <w:color w:val="auto"/>
        </w:rPr>
      </w:pPr>
      <w:r>
        <w:rPr>
          <w:rFonts w:ascii="Courier New" w:cs="Courier New" w:eastAsia="Courier New" w:hAnsi="Courier New"/>
          <w:sz w:val="18"/>
          <w:szCs w:val="18"/>
          <w:color w:val="auto"/>
        </w:rPr>
        <w:t>Amdocs'</w:t>
      </w:r>
    </w:p>
    <w:p>
      <w:pPr>
        <w:jc w:val="center"/>
        <w:ind w:right="841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419"/>
        <w:spacing w:after="0"/>
        <w:rPr>
          <w:sz w:val="20"/>
          <w:szCs w:val="20"/>
          <w:color w:val="auto"/>
        </w:rPr>
      </w:pPr>
      <w:r>
        <w:rPr>
          <w:rFonts w:ascii="Courier New" w:cs="Courier New" w:eastAsia="Courier New" w:hAnsi="Courier New"/>
          <w:sz w:val="18"/>
          <w:szCs w:val="18"/>
          <w:color w:val="auto"/>
        </w:rPr>
        <w:t>Statement on</w:t>
      </w:r>
    </w:p>
    <w:p>
      <w:pPr>
        <w:jc w:val="center"/>
        <w:ind w:right="8419"/>
        <w:spacing w:after="0" w:line="238" w:lineRule="auto"/>
        <w:rPr>
          <w:sz w:val="20"/>
          <w:szCs w:val="20"/>
          <w:color w:val="auto"/>
        </w:rPr>
      </w:pPr>
      <w:r>
        <w:rPr>
          <w:rFonts w:ascii="Courier New" w:cs="Courier New" w:eastAsia="Courier New" w:hAnsi="Courier New"/>
          <w:sz w:val="18"/>
          <w:szCs w:val="18"/>
          <w:color w:val="auto"/>
        </w:rPr>
        <w:t>Form S-8 dated</w:t>
      </w:r>
    </w:p>
    <w:p>
      <w:pPr>
        <w:jc w:val="center"/>
        <w:ind w:right="8419"/>
        <w:spacing w:after="0"/>
        <w:rPr>
          <w:sz w:val="20"/>
          <w:szCs w:val="20"/>
          <w:color w:val="auto"/>
        </w:rPr>
      </w:pPr>
      <w:r>
        <w:rPr>
          <w:rFonts w:ascii="Courier New" w:cs="Courier New" w:eastAsia="Courier New" w:hAnsi="Courier New"/>
          <w:sz w:val="18"/>
          <w:szCs w:val="18"/>
          <w:color w:val="auto"/>
        </w:rPr>
        <w:t>April 6, 2001;</w:t>
      </w:r>
    </w:p>
    <w:p>
      <w:pPr>
        <w:jc w:val="center"/>
        <w:ind w:right="8419"/>
        <w:spacing w:after="0" w:line="238" w:lineRule="auto"/>
        <w:rPr>
          <w:sz w:val="20"/>
          <w:szCs w:val="20"/>
          <w:color w:val="auto"/>
        </w:rPr>
      </w:pPr>
      <w:r>
        <w:rPr>
          <w:rFonts w:ascii="Courier New" w:cs="Courier New" w:eastAsia="Courier New" w:hAnsi="Courier New"/>
          <w:sz w:val="18"/>
          <w:szCs w:val="18"/>
          <w:color w:val="auto"/>
        </w:rPr>
        <w:t>Registration No.</w:t>
      </w:r>
    </w:p>
    <w:p>
      <w:pPr>
        <w:jc w:val="center"/>
        <w:ind w:right="8419"/>
        <w:spacing w:after="0"/>
        <w:rPr>
          <w:sz w:val="20"/>
          <w:szCs w:val="20"/>
          <w:color w:val="auto"/>
        </w:rPr>
      </w:pPr>
      <w:r>
        <w:rPr>
          <w:rFonts w:ascii="Courier New" w:cs="Courier New" w:eastAsia="Courier New" w:hAnsi="Courier New"/>
          <w:sz w:val="18"/>
          <w:szCs w:val="18"/>
          <w:color w:val="auto"/>
        </w:rPr>
        <w:t>333-58454) 8*</w:t>
      </w:r>
    </w:p>
    <w:p>
      <w:pPr>
        <w:jc w:val="center"/>
        <w:ind w:right="8419"/>
        <w:spacing w:after="0" w:line="238" w:lineRule="auto"/>
        <w:rPr>
          <w:sz w:val="20"/>
          <w:szCs w:val="20"/>
          <w:color w:val="auto"/>
        </w:rPr>
      </w:pPr>
      <w:r>
        <w:rPr>
          <w:rFonts w:ascii="Courier New" w:cs="Courier New" w:eastAsia="Courier New" w:hAnsi="Courier New"/>
          <w:sz w:val="18"/>
          <w:szCs w:val="18"/>
          <w:color w:val="auto"/>
        </w:rPr>
        <w:t>Subsidiaries of</w:t>
      </w:r>
    </w:p>
    <w:p>
      <w:pPr>
        <w:jc w:val="center"/>
        <w:ind w:right="8419"/>
        <w:spacing w:after="0"/>
        <w:rPr>
          <w:sz w:val="20"/>
          <w:szCs w:val="20"/>
          <w:color w:val="auto"/>
        </w:rPr>
      </w:pPr>
      <w:r>
        <w:rPr>
          <w:rFonts w:ascii="Courier New" w:cs="Courier New" w:eastAsia="Courier New" w:hAnsi="Courier New"/>
          <w:sz w:val="18"/>
          <w:szCs w:val="18"/>
          <w:color w:val="auto"/>
        </w:rPr>
        <w:t>Amdocs Limited</w:t>
      </w:r>
    </w:p>
    <w:p>
      <w:pPr>
        <w:jc w:val="center"/>
        <w:ind w:right="8419"/>
        <w:spacing w:after="0" w:line="238" w:lineRule="auto"/>
        <w:rPr>
          <w:sz w:val="20"/>
          <w:szCs w:val="20"/>
          <w:color w:val="auto"/>
        </w:rPr>
      </w:pPr>
      <w:r>
        <w:rPr>
          <w:rFonts w:ascii="Courier New" w:cs="Courier New" w:eastAsia="Courier New" w:hAnsi="Courier New"/>
          <w:sz w:val="18"/>
          <w:szCs w:val="18"/>
          <w:color w:val="auto"/>
        </w:rPr>
        <w:t>12.1</w:t>
      </w:r>
    </w:p>
    <w:p>
      <w:pPr>
        <w:jc w:val="center"/>
        <w:ind w:right="8419"/>
        <w:spacing w:after="0"/>
        <w:rPr>
          <w:sz w:val="20"/>
          <w:szCs w:val="20"/>
          <w:color w:val="auto"/>
        </w:rPr>
      </w:pPr>
      <w:r>
        <w:rPr>
          <w:rFonts w:ascii="Courier New" w:cs="Courier New" w:eastAsia="Courier New" w:hAnsi="Courier New"/>
          <w:sz w:val="18"/>
          <w:szCs w:val="18"/>
          <w:color w:val="auto"/>
        </w:rPr>
        <w:t>Certification of</w:t>
      </w:r>
    </w:p>
    <w:p>
      <w:pPr>
        <w:jc w:val="center"/>
        <w:ind w:right="8419"/>
        <w:spacing w:after="0" w:line="238" w:lineRule="auto"/>
        <w:rPr>
          <w:sz w:val="20"/>
          <w:szCs w:val="20"/>
          <w:color w:val="auto"/>
        </w:rPr>
      </w:pPr>
      <w:r>
        <w:rPr>
          <w:rFonts w:ascii="Courier New" w:cs="Courier New" w:eastAsia="Courier New" w:hAnsi="Courier New"/>
          <w:sz w:val="18"/>
          <w:szCs w:val="18"/>
          <w:color w:val="auto"/>
        </w:rPr>
        <w:t>Chief Executive</w:t>
      </w:r>
    </w:p>
    <w:p>
      <w:pPr>
        <w:jc w:val="center"/>
        <w:ind w:right="8419"/>
        <w:spacing w:after="0"/>
        <w:rPr>
          <w:sz w:val="20"/>
          <w:szCs w:val="20"/>
          <w:color w:val="auto"/>
        </w:rPr>
      </w:pPr>
      <w:r>
        <w:rPr>
          <w:rFonts w:ascii="Courier New" w:cs="Courier New" w:eastAsia="Courier New" w:hAnsi="Courier New"/>
          <w:sz w:val="18"/>
          <w:szCs w:val="18"/>
          <w:color w:val="auto"/>
        </w:rPr>
        <w:t>Officer pursuant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to Rule 13a-</w:t>
      </w:r>
    </w:p>
    <w:p>
      <w:pPr>
        <w:jc w:val="center"/>
        <w:ind w:right="8419"/>
        <w:spacing w:after="0"/>
        <w:rPr>
          <w:sz w:val="20"/>
          <w:szCs w:val="20"/>
          <w:color w:val="auto"/>
        </w:rPr>
      </w:pPr>
      <w:r>
        <w:rPr>
          <w:rFonts w:ascii="Courier New" w:cs="Courier New" w:eastAsia="Courier New" w:hAnsi="Courier New"/>
          <w:sz w:val="18"/>
          <w:szCs w:val="18"/>
          <w:color w:val="auto"/>
        </w:rPr>
        <w:t>14(a)/15d-14(a)</w:t>
      </w:r>
    </w:p>
    <w:p>
      <w:pPr>
        <w:jc w:val="center"/>
        <w:ind w:right="8419"/>
        <w:spacing w:after="0" w:line="238" w:lineRule="auto"/>
        <w:rPr>
          <w:sz w:val="20"/>
          <w:szCs w:val="20"/>
          <w:color w:val="auto"/>
        </w:rPr>
      </w:pPr>
      <w:r>
        <w:rPr>
          <w:rFonts w:ascii="Courier New" w:cs="Courier New" w:eastAsia="Courier New" w:hAnsi="Courier New"/>
          <w:sz w:val="18"/>
          <w:szCs w:val="18"/>
          <w:color w:val="auto"/>
        </w:rPr>
        <w:t>12.2</w:t>
      </w:r>
    </w:p>
    <w:p>
      <w:pPr>
        <w:jc w:val="center"/>
        <w:ind w:right="8419"/>
        <w:spacing w:after="0"/>
        <w:rPr>
          <w:sz w:val="20"/>
          <w:szCs w:val="20"/>
          <w:color w:val="auto"/>
        </w:rPr>
      </w:pPr>
      <w:r>
        <w:rPr>
          <w:rFonts w:ascii="Courier New" w:cs="Courier New" w:eastAsia="Courier New" w:hAnsi="Courier New"/>
          <w:sz w:val="18"/>
          <w:szCs w:val="18"/>
          <w:color w:val="auto"/>
        </w:rPr>
        <w:t>Certification of</w:t>
      </w:r>
    </w:p>
    <w:p>
      <w:pPr>
        <w:jc w:val="center"/>
        <w:ind w:right="8419"/>
        <w:spacing w:after="0" w:line="238" w:lineRule="auto"/>
        <w:rPr>
          <w:sz w:val="20"/>
          <w:szCs w:val="20"/>
          <w:color w:val="auto"/>
        </w:rPr>
      </w:pPr>
      <w:r>
        <w:rPr>
          <w:rFonts w:ascii="Courier New" w:cs="Courier New" w:eastAsia="Courier New" w:hAnsi="Courier New"/>
          <w:sz w:val="18"/>
          <w:szCs w:val="18"/>
          <w:color w:val="auto"/>
        </w:rPr>
        <w:t>Chief Financial</w:t>
      </w:r>
    </w:p>
    <w:p>
      <w:pPr>
        <w:jc w:val="center"/>
        <w:ind w:right="8419"/>
        <w:spacing w:after="0"/>
        <w:rPr>
          <w:sz w:val="20"/>
          <w:szCs w:val="20"/>
          <w:color w:val="auto"/>
        </w:rPr>
      </w:pPr>
      <w:r>
        <w:rPr>
          <w:rFonts w:ascii="Courier New" w:cs="Courier New" w:eastAsia="Courier New" w:hAnsi="Courier New"/>
          <w:sz w:val="18"/>
          <w:szCs w:val="18"/>
          <w:color w:val="auto"/>
        </w:rPr>
        <w:t>Officer pursuant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to Rule 13a-</w:t>
      </w:r>
    </w:p>
    <w:p>
      <w:pPr>
        <w:jc w:val="center"/>
        <w:ind w:right="8419"/>
        <w:spacing w:after="0"/>
        <w:rPr>
          <w:sz w:val="20"/>
          <w:szCs w:val="20"/>
          <w:color w:val="auto"/>
        </w:rPr>
      </w:pPr>
      <w:r>
        <w:rPr>
          <w:rFonts w:ascii="Courier New" w:cs="Courier New" w:eastAsia="Courier New" w:hAnsi="Courier New"/>
          <w:sz w:val="18"/>
          <w:szCs w:val="18"/>
          <w:color w:val="auto"/>
        </w:rPr>
        <w:t>14(a)/15d-14(a)</w:t>
      </w:r>
    </w:p>
    <w:p>
      <w:pPr>
        <w:jc w:val="center"/>
        <w:ind w:right="8419"/>
        <w:spacing w:after="0" w:line="238" w:lineRule="auto"/>
        <w:rPr>
          <w:sz w:val="20"/>
          <w:szCs w:val="20"/>
          <w:color w:val="auto"/>
        </w:rPr>
      </w:pPr>
      <w:r>
        <w:rPr>
          <w:rFonts w:ascii="Courier New" w:cs="Courier New" w:eastAsia="Courier New" w:hAnsi="Courier New"/>
          <w:sz w:val="18"/>
          <w:szCs w:val="18"/>
          <w:color w:val="auto"/>
        </w:rPr>
        <w:t>13.1</w:t>
      </w:r>
    </w:p>
    <w:p>
      <w:pPr>
        <w:jc w:val="center"/>
        <w:ind w:right="8419"/>
        <w:spacing w:after="0"/>
        <w:rPr>
          <w:sz w:val="20"/>
          <w:szCs w:val="20"/>
          <w:color w:val="auto"/>
        </w:rPr>
      </w:pPr>
      <w:r>
        <w:rPr>
          <w:rFonts w:ascii="Courier New" w:cs="Courier New" w:eastAsia="Courier New" w:hAnsi="Courier New"/>
          <w:sz w:val="18"/>
          <w:szCs w:val="18"/>
          <w:color w:val="auto"/>
        </w:rPr>
        <w:t>Certification of</w:t>
      </w:r>
    </w:p>
    <w:p>
      <w:pPr>
        <w:jc w:val="center"/>
        <w:ind w:right="8419"/>
        <w:spacing w:after="0" w:line="238" w:lineRule="auto"/>
        <w:rPr>
          <w:sz w:val="20"/>
          <w:szCs w:val="20"/>
          <w:color w:val="auto"/>
        </w:rPr>
      </w:pPr>
      <w:r>
        <w:rPr>
          <w:rFonts w:ascii="Courier New" w:cs="Courier New" w:eastAsia="Courier New" w:hAnsi="Courier New"/>
          <w:sz w:val="18"/>
          <w:szCs w:val="18"/>
          <w:color w:val="auto"/>
        </w:rPr>
        <w:t>Chief Executive</w:t>
      </w:r>
    </w:p>
    <w:p>
      <w:pPr>
        <w:jc w:val="center"/>
        <w:ind w:right="8419"/>
        <w:spacing w:after="0"/>
        <w:rPr>
          <w:sz w:val="20"/>
          <w:szCs w:val="20"/>
          <w:color w:val="auto"/>
        </w:rPr>
      </w:pPr>
      <w:r>
        <w:rPr>
          <w:rFonts w:ascii="Courier New" w:cs="Courier New" w:eastAsia="Courier New" w:hAnsi="Courier New"/>
          <w:sz w:val="18"/>
          <w:szCs w:val="18"/>
          <w:color w:val="auto"/>
        </w:rPr>
        <w:t>Officer pursuant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to 18 U.S.C.</w:t>
      </w:r>
    </w:p>
    <w:p>
      <w:pPr>
        <w:jc w:val="center"/>
        <w:ind w:right="8419"/>
        <w:spacing w:after="0"/>
        <w:rPr>
          <w:sz w:val="20"/>
          <w:szCs w:val="20"/>
          <w:color w:val="auto"/>
        </w:rPr>
      </w:pPr>
      <w:r>
        <w:rPr>
          <w:rFonts w:ascii="Courier New" w:cs="Courier New" w:eastAsia="Courier New" w:hAnsi="Courier New"/>
          <w:sz w:val="18"/>
          <w:szCs w:val="18"/>
          <w:color w:val="auto"/>
        </w:rPr>
        <w:t>1350 13.2</w:t>
      </w:r>
    </w:p>
    <w:p>
      <w:pPr>
        <w:jc w:val="center"/>
        <w:ind w:right="8419"/>
        <w:spacing w:after="0" w:line="238" w:lineRule="auto"/>
        <w:rPr>
          <w:sz w:val="20"/>
          <w:szCs w:val="20"/>
          <w:color w:val="auto"/>
        </w:rPr>
      </w:pPr>
      <w:r>
        <w:rPr>
          <w:rFonts w:ascii="Courier New" w:cs="Courier New" w:eastAsia="Courier New" w:hAnsi="Courier New"/>
          <w:sz w:val="18"/>
          <w:szCs w:val="18"/>
          <w:color w:val="auto"/>
        </w:rPr>
        <w:t>Certification of</w:t>
      </w:r>
    </w:p>
    <w:p>
      <w:pPr>
        <w:jc w:val="center"/>
        <w:ind w:right="8419"/>
        <w:spacing w:after="0"/>
        <w:rPr>
          <w:sz w:val="20"/>
          <w:szCs w:val="20"/>
          <w:color w:val="auto"/>
        </w:rPr>
      </w:pPr>
      <w:r>
        <w:rPr>
          <w:rFonts w:ascii="Courier New" w:cs="Courier New" w:eastAsia="Courier New" w:hAnsi="Courier New"/>
          <w:sz w:val="18"/>
          <w:szCs w:val="18"/>
          <w:color w:val="auto"/>
        </w:rPr>
        <w:t>Chief Financial</w:t>
      </w:r>
    </w:p>
    <w:p>
      <w:pPr>
        <w:jc w:val="center"/>
        <w:ind w:right="8419"/>
        <w:spacing w:after="0" w:line="238" w:lineRule="auto"/>
        <w:rPr>
          <w:sz w:val="20"/>
          <w:szCs w:val="20"/>
          <w:color w:val="auto"/>
        </w:rPr>
      </w:pPr>
      <w:r>
        <w:rPr>
          <w:rFonts w:ascii="Courier New" w:cs="Courier New" w:eastAsia="Courier New" w:hAnsi="Courier New"/>
          <w:sz w:val="18"/>
          <w:szCs w:val="18"/>
          <w:color w:val="auto"/>
        </w:rPr>
        <w:t>Officer pursuant</w:t>
      </w:r>
    </w:p>
    <w:p>
      <w:pPr>
        <w:jc w:val="center"/>
        <w:ind w:right="8419"/>
        <w:spacing w:after="0"/>
        <w:rPr>
          <w:sz w:val="20"/>
          <w:szCs w:val="20"/>
          <w:color w:val="auto"/>
        </w:rPr>
      </w:pPr>
      <w:r>
        <w:rPr>
          <w:rFonts w:ascii="Courier New" w:cs="Courier New" w:eastAsia="Courier New" w:hAnsi="Courier New"/>
          <w:sz w:val="18"/>
          <w:szCs w:val="18"/>
          <w:color w:val="auto"/>
        </w:rPr>
        <w:t>to 18 U.S.C.</w:t>
      </w:r>
    </w:p>
    <w:p>
      <w:pPr>
        <w:jc w:val="center"/>
        <w:ind w:right="8419"/>
        <w:spacing w:after="0" w:line="238" w:lineRule="auto"/>
        <w:rPr>
          <w:sz w:val="20"/>
          <w:szCs w:val="20"/>
          <w:color w:val="auto"/>
        </w:rPr>
      </w:pPr>
      <w:r>
        <w:rPr>
          <w:rFonts w:ascii="Courier New" w:cs="Courier New" w:eastAsia="Courier New" w:hAnsi="Courier New"/>
          <w:sz w:val="18"/>
          <w:szCs w:val="18"/>
          <w:color w:val="auto"/>
        </w:rPr>
        <w:t>1350 14.1</w:t>
      </w:r>
    </w:p>
    <w:p>
      <w:pPr>
        <w:jc w:val="center"/>
        <w:ind w:right="8419"/>
        <w:spacing w:after="0"/>
        <w:rPr>
          <w:sz w:val="20"/>
          <w:szCs w:val="20"/>
          <w:color w:val="auto"/>
        </w:rPr>
      </w:pPr>
      <w:r>
        <w:rPr>
          <w:rFonts w:ascii="Courier New" w:cs="Courier New" w:eastAsia="Courier New" w:hAnsi="Courier New"/>
          <w:sz w:val="18"/>
          <w:szCs w:val="18"/>
          <w:color w:val="auto"/>
        </w:rPr>
        <w:t>Consent of Ernst</w:t>
      </w:r>
    </w:p>
    <w:p>
      <w:pPr>
        <w:ind w:left="380" w:right="8479" w:hanging="323"/>
        <w:spacing w:after="0" w:line="262" w:lineRule="auto"/>
        <w:tabs>
          <w:tab w:leader="none" w:pos="275"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Young LLP 14.2 Consent of Deloitte &amp; Touche LLP</w:t>
      </w:r>
    </w:p>
    <w:p>
      <w:pPr>
        <w:spacing w:after="0" w:line="29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Previously filed.</w:t>
      </w:r>
    </w:p>
    <w:p>
      <w:pPr>
        <w:sectPr>
          <w:pgSz w:w="11900" w:h="16838" w:orient="portrait"/>
          <w:cols w:equalWidth="0" w:num="1">
            <w:col w:w="10219"/>
          </w:cols>
          <w:pgMar w:left="240" w:top="110" w:right="1440" w:bottom="1440" w:gutter="0" w:footer="0" w:header="0"/>
        </w:sectPr>
      </w:pPr>
    </w:p>
    <w:bookmarkStart w:id="71" w:name="page72"/>
    <w:bookmarkEnd w:id="71"/>
    <w:p>
      <w:pPr>
        <w:ind w:left="2640"/>
        <w:spacing w:after="0"/>
        <w:rPr>
          <w:sz w:val="20"/>
          <w:szCs w:val="20"/>
          <w:color w:val="auto"/>
        </w:rPr>
      </w:pPr>
      <w:r>
        <w:rPr>
          <w:rFonts w:ascii="Courier New" w:cs="Courier New" w:eastAsia="Courier New" w:hAnsi="Courier New"/>
          <w:sz w:val="18"/>
          <w:szCs w:val="18"/>
          <w:color w:val="auto"/>
        </w:rPr>
        <w:t>INDEX TO FINANCIAL STATEMENTS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4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AND FINANCIAL STATEMENT SCHEDULE</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8"/>
        </w:trPr>
        <w:tc>
          <w:tcPr>
            <w:tcW w:w="6440" w:type="dxa"/>
            <w:vAlign w:val="bottom"/>
          </w:tcPr>
          <w:p>
            <w:pPr>
              <w:jc w:val="right"/>
              <w:ind w:right="2132"/>
              <w:spacing w:after="0"/>
              <w:rPr>
                <w:sz w:val="20"/>
                <w:szCs w:val="20"/>
                <w:color w:val="auto"/>
              </w:rPr>
            </w:pPr>
            <w:r>
              <w:rPr>
                <w:rFonts w:ascii="Courier New" w:cs="Courier New" w:eastAsia="Courier New" w:hAnsi="Courier New"/>
                <w:sz w:val="18"/>
                <w:szCs w:val="18"/>
                <w:color w:val="auto"/>
              </w:rPr>
              <w:t>AMDOCS LIMITED</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0"/>
                <w:szCs w:val="20"/>
                <w:color w:val="auto"/>
              </w:rPr>
            </w:pPr>
            <w:r>
              <w:rPr>
                <w:rFonts w:ascii="Courier New" w:cs="Courier New" w:eastAsia="Courier New" w:hAnsi="Courier New"/>
                <w:sz w:val="18"/>
                <w:szCs w:val="18"/>
                <w:color w:val="auto"/>
              </w:rPr>
              <w:t>AUDITED FINANCIAL STATEMENTS</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F-2</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Report of Independent Registered Public Accountants.......</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Consolidated Balance Sheets as of September 30, 2003 and</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F-3</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2002...................................................</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Consolidated Statements of Operations for the years ended</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F-4</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September 30, 2003, 2002 and 2001......................</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Consolidated Statements of Changes in Shareholders' Equity</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for the years ended September 30, 2003, 2002 and</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F-5</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2001...................................................</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Consolidated Statements of Cash Flows for the years ended</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F-6</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September 30, 2003, 2002 and 2001......................</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Notes to Consolidated Financial Statements................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F-8</w:t>
            </w: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0"/>
                <w:szCs w:val="20"/>
                <w:color w:val="auto"/>
              </w:rPr>
            </w:pPr>
            <w:r>
              <w:rPr>
                <w:rFonts w:ascii="Courier New" w:cs="Courier New" w:eastAsia="Courier New" w:hAnsi="Courier New"/>
                <w:sz w:val="18"/>
                <w:szCs w:val="18"/>
                <w:color w:val="auto"/>
              </w:rPr>
              <w:t>FINANCIAL STATEMENT SCHEDULE</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F-43</w:t>
            </w:r>
          </w:p>
        </w:tc>
        <w:tc>
          <w:tcPr>
            <w:tcW w:w="0" w:type="dxa"/>
            <w:vAlign w:val="bottom"/>
          </w:tcPr>
          <w:p>
            <w:pPr>
              <w:spacing w:after="0"/>
              <w:rPr>
                <w:sz w:val="1"/>
                <w:szCs w:val="1"/>
                <w:color w:val="auto"/>
              </w:rPr>
            </w:pPr>
          </w:p>
        </w:tc>
      </w:tr>
      <w:tr>
        <w:trPr>
          <w:trHeight w:val="296"/>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Valuation and Qualifying Accounts.........................</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40" w:type="dxa"/>
            <w:vAlign w:val="bottom"/>
          </w:tcPr>
          <w:p>
            <w:pPr>
              <w:jc w:val="right"/>
              <w:ind w:right="2332"/>
              <w:spacing w:after="0"/>
              <w:rPr>
                <w:sz w:val="20"/>
                <w:szCs w:val="20"/>
                <w:color w:val="auto"/>
              </w:rPr>
            </w:pPr>
            <w:r>
              <w:rPr>
                <w:rFonts w:ascii="Courier New" w:cs="Courier New" w:eastAsia="Courier New" w:hAnsi="Courier New"/>
                <w:sz w:val="18"/>
                <w:szCs w:val="18"/>
                <w:color w:val="auto"/>
              </w:rPr>
              <w:t>CERTEN INC.</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0"/>
                <w:szCs w:val="20"/>
                <w:color w:val="auto"/>
              </w:rPr>
            </w:pPr>
            <w:r>
              <w:rPr>
                <w:rFonts w:ascii="Courier New" w:cs="Courier New" w:eastAsia="Courier New" w:hAnsi="Courier New"/>
                <w:sz w:val="18"/>
                <w:szCs w:val="18"/>
                <w:color w:val="auto"/>
              </w:rPr>
              <w:t>AUDITED FINANCIAL STATEMENTS OF CERTEN INC.</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F-44</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Independent Registered Chartered Accountants' Report......</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Statement of Operations and Retained Earnings for the</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F-45</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twelve months ended December 31, 2002..................</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Balance Sheet as at December 31, 2002.....................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F-46</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Statement of Cash Flows for the year ended December 31,</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F-47</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2002...................................................</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Notes to Financial Statements.............................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F-48</w:t>
            </w: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0"/>
                <w:szCs w:val="20"/>
                <w:color w:val="auto"/>
              </w:rPr>
            </w:pPr>
            <w:r>
              <w:rPr>
                <w:rFonts w:ascii="Courier New" w:cs="Courier New" w:eastAsia="Courier New" w:hAnsi="Courier New"/>
                <w:sz w:val="18"/>
                <w:szCs w:val="18"/>
                <w:color w:val="auto"/>
              </w:rPr>
              <w:t>UNAUDITED FINANCIAL STATEMENTS OF CERTEN INC.</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Unaudited Statement of Operations and Retained Earnings</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F-59</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for the six months ended June 30, 2003.................</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Unaudited Balance Sheet as at June 30, 2003...............</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F-60</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Unaudited Statement of Cash Flows for the year ended June</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F-61</w:t>
            </w:r>
          </w:p>
        </w:tc>
        <w:tc>
          <w:tcPr>
            <w:tcW w:w="0" w:type="dxa"/>
            <w:vAlign w:val="bottom"/>
          </w:tcPr>
          <w:p>
            <w:pPr>
              <w:spacing w:after="0"/>
              <w:rPr>
                <w:sz w:val="1"/>
                <w:szCs w:val="1"/>
                <w:color w:val="auto"/>
              </w:rPr>
            </w:pPr>
          </w:p>
        </w:tc>
      </w:tr>
      <w:tr>
        <w:trPr>
          <w:trHeight w:val="296"/>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30, 2003...............................................</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64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F-1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72" w:name="page73"/>
    <w:bookmarkEnd w:id="72"/>
    <w:p>
      <w:pPr>
        <w:ind w:left="1480"/>
        <w:spacing w:after="0"/>
        <w:rPr>
          <w:sz w:val="20"/>
          <w:szCs w:val="20"/>
          <w:color w:val="auto"/>
        </w:rPr>
      </w:pPr>
      <w:r>
        <w:rPr>
          <w:rFonts w:ascii="Courier New" w:cs="Courier New" w:eastAsia="Courier New" w:hAnsi="Courier New"/>
          <w:sz w:val="18"/>
          <w:szCs w:val="18"/>
          <w:color w:val="auto"/>
        </w:rPr>
        <w:t>REPORT OF INDEPENDENT REGISTERED PUBLIC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the Shareholders of Amdocs Limited</w:t>
      </w:r>
    </w:p>
    <w:p>
      <w:pPr>
        <w:spacing w:after="0" w:line="201"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We have audited the accompanying consolidated balance sheets of Amdocs Limited as of September 30, 2003 and 2002, and the related consolidated statements of operations, changes in shareholders' equity, and cash flows for each of the three years in the period ended September 30, 2003. Our audits also included the financial statement schedule listed in the Index at Item 18 of Part</w:t>
      </w:r>
    </w:p>
    <w:p>
      <w:pPr>
        <w:spacing w:after="0" w:line="3" w:lineRule="exact"/>
        <w:rPr>
          <w:sz w:val="20"/>
          <w:szCs w:val="20"/>
          <w:color w:val="auto"/>
        </w:rPr>
      </w:pPr>
    </w:p>
    <w:p>
      <w:pPr>
        <w:ind w:right="1879" w:firstLine="8"/>
        <w:spacing w:after="0" w:line="273" w:lineRule="auto"/>
        <w:tabs>
          <w:tab w:leader="none" w:pos="527"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financial statements and financial statement schedule are the responsibility of the Company's management. Our responsibility is to express an opinion on these financial statements based on our audits.</w:t>
      </w:r>
    </w:p>
    <w:p>
      <w:pPr>
        <w:spacing w:after="0" w:line="82"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9"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consolidated financial position of Amdocs Limited at September 30, 2003 and 2002, and the consolidated results of its operations and its cash flows for each of the three years in the period ended September 30, 2003,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herein.</w:t>
      </w:r>
    </w:p>
    <w:p>
      <w:pPr>
        <w:spacing w:after="0" w:line="77"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8"/>
          <w:szCs w:val="18"/>
          <w:color w:val="auto"/>
        </w:rPr>
        <w:t>As discussed in Note 2 to the accompanying consolidated financial statements, effective October 1, 2002, the Company adopted the provisions of Statement of Financial Accounting Standards No. 142, Goodwill and Other Intangible Assets.</w:t>
      </w:r>
    </w:p>
    <w:p>
      <w:pPr>
        <w:spacing w:after="0" w:line="8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ERNST &amp; YOUNG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30, 2003, except for paragraphs 4 and 5</w:t>
      </w:r>
    </w:p>
    <w:p>
      <w:pPr>
        <w:spacing w:after="0" w:line="31" w:lineRule="exact"/>
        <w:rPr>
          <w:sz w:val="20"/>
          <w:szCs w:val="20"/>
          <w:color w:val="auto"/>
        </w:rPr>
      </w:pPr>
    </w:p>
    <w:p>
      <w:pPr>
        <w:ind w:right="4519"/>
        <w:spacing w:after="0" w:line="285" w:lineRule="auto"/>
        <w:rPr>
          <w:sz w:val="20"/>
          <w:szCs w:val="20"/>
          <w:color w:val="auto"/>
        </w:rPr>
      </w:pPr>
      <w:r>
        <w:rPr>
          <w:rFonts w:ascii="Courier New" w:cs="Courier New" w:eastAsia="Courier New" w:hAnsi="Courier New"/>
          <w:sz w:val="18"/>
          <w:szCs w:val="18"/>
          <w:color w:val="auto"/>
        </w:rPr>
        <w:t>of Note 12, as to which the dates are June 1, 2004 and March 5, 2004, respectively New York, New York</w:t>
      </w:r>
    </w:p>
    <w:p>
      <w:pPr>
        <w:spacing w:after="0" w:line="29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691" w:right="1440" w:bottom="1440" w:gutter="0" w:footer="0" w:header="0"/>
        </w:sectPr>
      </w:pPr>
    </w:p>
    <w:bookmarkStart w:id="73" w:name="page74"/>
    <w:bookmarkEnd w:id="73"/>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BALANCE SHEETS</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----------------------------- 2003 2002</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ASSETS CURRENT ASSETS: Cash and cash</w:t>
      </w:r>
    </w:p>
    <w:tbl>
      <w:tblPr>
        <w:tblLayout w:type="fixed"/>
        <w:tblInd w:w="0" w:type="dxa"/>
        <w:tblCellMar>
          <w:top w:w="0" w:type="dxa"/>
          <w:left w:w="0" w:type="dxa"/>
          <w:bottom w:w="0" w:type="dxa"/>
          <w:right w:w="0" w:type="dxa"/>
        </w:tblCellMar>
      </w:tblPr>
      <w:tr>
        <w:trPr>
          <w:trHeight w:val="171"/>
        </w:trPr>
        <w:tc>
          <w:tcPr>
            <w:tcW w:w="2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equivalents.................................</w:t>
            </w:r>
          </w:p>
        </w:tc>
        <w:tc>
          <w:tcPr>
            <w:tcW w:w="3120" w:type="dxa"/>
            <w:vAlign w:val="bottom"/>
          </w:tcPr>
          <w:p>
            <w:pPr>
              <w:jc w:val="right"/>
              <w:ind w:right="32"/>
              <w:spacing w:after="0" w:line="170" w:lineRule="exact"/>
              <w:rPr>
                <w:sz w:val="20"/>
                <w:szCs w:val="20"/>
                <w:color w:val="auto"/>
              </w:rPr>
            </w:pPr>
            <w:r>
              <w:rPr>
                <w:rFonts w:ascii="Courier New" w:cs="Courier New" w:eastAsia="Courier New" w:hAnsi="Courier New"/>
                <w:sz w:val="18"/>
                <w:szCs w:val="18"/>
                <w:color w:val="auto"/>
              </w:rPr>
              <w:t>$ 847,600</w:t>
            </w:r>
          </w:p>
        </w:tc>
        <w:tc>
          <w:tcPr>
            <w:tcW w:w="260" w:type="dxa"/>
            <w:vAlign w:val="bottom"/>
          </w:tcPr>
          <w:p>
            <w:pPr>
              <w:jc w:val="right"/>
              <w:ind w:right="72"/>
              <w:spacing w:after="0" w:line="170" w:lineRule="exact"/>
              <w:rPr>
                <w:sz w:val="20"/>
                <w:szCs w:val="20"/>
                <w:color w:val="auto"/>
              </w:rPr>
            </w:pPr>
            <w:r>
              <w:rPr>
                <w:rFonts w:ascii="Courier New" w:cs="Courier New" w:eastAsia="Courier New" w:hAnsi="Courier New"/>
                <w:sz w:val="18"/>
                <w:szCs w:val="18"/>
                <w:color w:val="auto"/>
                <w:w w:val="73"/>
              </w:rPr>
              <w:t>$</w:t>
            </w:r>
          </w:p>
        </w:tc>
        <w:tc>
          <w:tcPr>
            <w:tcW w:w="0" w:type="dxa"/>
            <w:vAlign w:val="bottom"/>
          </w:tcPr>
          <w:p>
            <w:pPr>
              <w:spacing w:after="0"/>
              <w:rPr>
                <w:sz w:val="1"/>
                <w:szCs w:val="1"/>
                <w:color w:val="auto"/>
              </w:rPr>
            </w:pPr>
          </w:p>
        </w:tc>
      </w:tr>
      <w:tr>
        <w:trPr>
          <w:trHeight w:val="203"/>
        </w:trPr>
        <w:tc>
          <w:tcPr>
            <w:tcW w:w="6020" w:type="dxa"/>
            <w:vAlign w:val="bottom"/>
            <w:gridSpan w:val="3"/>
          </w:tcPr>
          <w:p>
            <w:pPr>
              <w:jc w:val="center"/>
              <w:ind w:left="241"/>
              <w:spacing w:after="0" w:line="203" w:lineRule="exact"/>
              <w:rPr>
                <w:sz w:val="20"/>
                <w:szCs w:val="20"/>
                <w:color w:val="auto"/>
              </w:rPr>
            </w:pPr>
            <w:r>
              <w:rPr>
                <w:rFonts w:ascii="Courier New" w:cs="Courier New" w:eastAsia="Courier New" w:hAnsi="Courier New"/>
                <w:sz w:val="18"/>
                <w:szCs w:val="18"/>
                <w:color w:val="auto"/>
                <w:w w:val="97"/>
              </w:rPr>
              <w:t>466,655 Short-term interest-bearing</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investments...................</w:t>
            </w:r>
          </w:p>
        </w:tc>
        <w:tc>
          <w:tcPr>
            <w:tcW w:w="3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443,292 581,164 Accounts</w:t>
            </w:r>
          </w:p>
        </w:tc>
        <w:tc>
          <w:tcPr>
            <w:tcW w:w="0" w:type="dxa"/>
            <w:vAlign w:val="bottom"/>
          </w:tcPr>
          <w:p>
            <w:pPr>
              <w:spacing w:after="0"/>
              <w:rPr>
                <w:sz w:val="1"/>
                <w:szCs w:val="1"/>
                <w:color w:val="auto"/>
              </w:rPr>
            </w:pPr>
          </w:p>
        </w:tc>
      </w:tr>
      <w:tr>
        <w:trPr>
          <w:trHeight w:val="203"/>
        </w:trPr>
        <w:tc>
          <w:tcPr>
            <w:tcW w:w="29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receivable, net(*)...............................</w:t>
            </w:r>
          </w:p>
        </w:tc>
        <w:tc>
          <w:tcPr>
            <w:tcW w:w="3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198,274</w:t>
            </w:r>
          </w:p>
        </w:tc>
        <w:tc>
          <w:tcPr>
            <w:tcW w:w="0" w:type="dxa"/>
            <w:vAlign w:val="bottom"/>
          </w:tcPr>
          <w:p>
            <w:pPr>
              <w:spacing w:after="0"/>
              <w:rPr>
                <w:sz w:val="1"/>
                <w:szCs w:val="1"/>
                <w:color w:val="auto"/>
              </w:rPr>
            </w:pPr>
          </w:p>
        </w:tc>
      </w:tr>
      <w:tr>
        <w:trPr>
          <w:trHeight w:val="203"/>
        </w:trPr>
        <w:tc>
          <w:tcPr>
            <w:tcW w:w="6020" w:type="dxa"/>
            <w:vAlign w:val="bottom"/>
            <w:gridSpan w:val="3"/>
          </w:tcPr>
          <w:p>
            <w:pPr>
              <w:jc w:val="center"/>
              <w:ind w:left="241"/>
              <w:spacing w:after="0" w:line="203" w:lineRule="exact"/>
              <w:rPr>
                <w:sz w:val="20"/>
                <w:szCs w:val="20"/>
                <w:color w:val="auto"/>
              </w:rPr>
            </w:pPr>
            <w:r>
              <w:rPr>
                <w:rFonts w:ascii="Courier New" w:cs="Courier New" w:eastAsia="Courier New" w:hAnsi="Courier New"/>
                <w:sz w:val="18"/>
                <w:szCs w:val="18"/>
                <w:color w:val="auto"/>
                <w:w w:val="97"/>
              </w:rPr>
              <w:t>312,732 Deferred income taxes and taxes</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receivable................</w:t>
            </w:r>
          </w:p>
        </w:tc>
        <w:tc>
          <w:tcPr>
            <w:tcW w:w="3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60,868 48,154 Prepaid expenses</w:t>
            </w:r>
          </w:p>
        </w:tc>
        <w:tc>
          <w:tcPr>
            <w:tcW w:w="0" w:type="dxa"/>
            <w:vAlign w:val="bottom"/>
          </w:tcPr>
          <w:p>
            <w:pPr>
              <w:spacing w:after="0"/>
              <w:rPr>
                <w:sz w:val="1"/>
                <w:szCs w:val="1"/>
                <w:color w:val="auto"/>
              </w:rPr>
            </w:pP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and other current assets(*)</w:t>
            </w: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85,902 72,196 ---</w:t>
            </w:r>
          </w:p>
        </w:tc>
        <w:tc>
          <w:tcPr>
            <w:tcW w:w="0" w:type="dxa"/>
            <w:vAlign w:val="bottom"/>
          </w:tcPr>
          <w:p>
            <w:pPr>
              <w:spacing w:after="0"/>
              <w:rPr>
                <w:sz w:val="1"/>
                <w:szCs w:val="1"/>
                <w:color w:val="auto"/>
              </w:rPr>
            </w:pPr>
          </w:p>
        </w:tc>
      </w:tr>
      <w:tr>
        <w:trPr>
          <w:trHeight w:val="203"/>
        </w:trPr>
        <w:tc>
          <w:tcPr>
            <w:tcW w:w="222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0"/>
              </w:rPr>
              <w:t>ASSETS..............................</w:t>
            </w:r>
            <w:r>
              <w:rPr>
                <w:rFonts w:ascii="Courier New" w:cs="Courier New" w:eastAsia="Courier New" w:hAnsi="Courier New"/>
                <w:sz w:val="19"/>
                <w:szCs w:val="19"/>
                <w:color w:val="auto"/>
                <w:w w:val="70"/>
                <w:vertAlign w:val="superscript"/>
              </w:rPr>
              <w:t>-------</w:t>
            </w:r>
          </w:p>
        </w:tc>
        <w:tc>
          <w:tcPr>
            <w:tcW w:w="380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 TOTAL CURRENT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3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1,635,936 1,480,901</w:t>
            </w:r>
          </w:p>
        </w:tc>
        <w:tc>
          <w:tcPr>
            <w:tcW w:w="0" w:type="dxa"/>
            <w:vAlign w:val="bottom"/>
          </w:tcPr>
          <w:p>
            <w:pPr>
              <w:spacing w:after="0"/>
              <w:rPr>
                <w:sz w:val="1"/>
                <w:szCs w:val="1"/>
                <w:color w:val="auto"/>
              </w:rPr>
            </w:pPr>
          </w:p>
        </w:tc>
      </w:tr>
      <w:tr>
        <w:trPr>
          <w:trHeight w:val="203"/>
        </w:trPr>
        <w:tc>
          <w:tcPr>
            <w:tcW w:w="6020" w:type="dxa"/>
            <w:vAlign w:val="bottom"/>
            <w:gridSpan w:val="3"/>
          </w:tcPr>
          <w:p>
            <w:pPr>
              <w:jc w:val="center"/>
              <w:ind w:left="241"/>
              <w:spacing w:after="0" w:line="203" w:lineRule="exact"/>
              <w:rPr>
                <w:sz w:val="20"/>
                <w:szCs w:val="20"/>
                <w:color w:val="auto"/>
              </w:rPr>
            </w:pPr>
            <w:r>
              <w:rPr>
                <w:rFonts w:ascii="Courier New" w:cs="Courier New" w:eastAsia="Courier New" w:hAnsi="Courier New"/>
                <w:sz w:val="18"/>
                <w:szCs w:val="18"/>
                <w:color w:val="auto"/>
                <w:w w:val="97"/>
              </w:rPr>
              <w:t>Equipment, vehicles and leasehold improvements,</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net.........</w:t>
            </w:r>
          </w:p>
        </w:tc>
        <w:tc>
          <w:tcPr>
            <w:tcW w:w="38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w w:val="96"/>
              </w:rPr>
              <w:t>203,467 160,902 Deferred income</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taxes.......................................</w:t>
            </w: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105,943 37,582</w:t>
            </w:r>
          </w:p>
        </w:tc>
        <w:tc>
          <w:tcPr>
            <w:tcW w:w="0" w:type="dxa"/>
            <w:vAlign w:val="bottom"/>
          </w:tcPr>
          <w:p>
            <w:pPr>
              <w:spacing w:after="0"/>
              <w:rPr>
                <w:sz w:val="1"/>
                <w:szCs w:val="1"/>
                <w:color w:val="auto"/>
              </w:rPr>
            </w:pPr>
          </w:p>
        </w:tc>
      </w:tr>
      <w:tr>
        <w:trPr>
          <w:trHeight w:val="203"/>
        </w:trPr>
        <w:tc>
          <w:tcPr>
            <w:tcW w:w="29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Goodwill....................................................</w:t>
            </w:r>
          </w:p>
        </w:tc>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3"/>
          </w:tcPr>
          <w:p>
            <w:pPr>
              <w:jc w:val="center"/>
              <w:ind w:left="241"/>
              <w:spacing w:after="0" w:line="203" w:lineRule="exact"/>
              <w:rPr>
                <w:sz w:val="20"/>
                <w:szCs w:val="20"/>
                <w:color w:val="auto"/>
              </w:rPr>
            </w:pPr>
            <w:r>
              <w:rPr>
                <w:rFonts w:ascii="Courier New" w:cs="Courier New" w:eastAsia="Courier New" w:hAnsi="Courier New"/>
                <w:sz w:val="18"/>
                <w:szCs w:val="18"/>
                <w:color w:val="auto"/>
                <w:w w:val="97"/>
              </w:rPr>
              <w:t>797,134 705,862 Intangible assets,</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net......................................</w:t>
            </w:r>
          </w:p>
        </w:tc>
        <w:tc>
          <w:tcPr>
            <w:tcW w:w="3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58,841 44,668</w:t>
            </w:r>
          </w:p>
        </w:tc>
        <w:tc>
          <w:tcPr>
            <w:tcW w:w="0" w:type="dxa"/>
            <w:vAlign w:val="bottom"/>
          </w:tcPr>
          <w:p>
            <w:pPr>
              <w:spacing w:after="0"/>
              <w:rPr>
                <w:sz w:val="1"/>
                <w:szCs w:val="1"/>
                <w:color w:val="auto"/>
              </w:rPr>
            </w:pPr>
          </w:p>
        </w:tc>
      </w:tr>
      <w:tr>
        <w:trPr>
          <w:trHeight w:val="203"/>
        </w:trPr>
        <w:tc>
          <w:tcPr>
            <w:tcW w:w="222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1"/>
              </w:rPr>
              <w:t>assets(*)..................................</w:t>
            </w:r>
          </w:p>
        </w:tc>
        <w:tc>
          <w:tcPr>
            <w:tcW w:w="3800" w:type="dxa"/>
            <w:vAlign w:val="bottom"/>
            <w:gridSpan w:val="2"/>
          </w:tcPr>
          <w:p>
            <w:pPr>
              <w:jc w:val="center"/>
              <w:ind w:right="1812"/>
              <w:spacing w:after="0" w:line="203" w:lineRule="exact"/>
              <w:rPr>
                <w:sz w:val="20"/>
                <w:szCs w:val="20"/>
                <w:color w:val="auto"/>
              </w:rPr>
            </w:pPr>
            <w:r>
              <w:rPr>
                <w:rFonts w:ascii="Courier New" w:cs="Courier New" w:eastAsia="Courier New" w:hAnsi="Courier New"/>
                <w:sz w:val="18"/>
                <w:szCs w:val="18"/>
                <w:color w:val="auto"/>
                <w:w w:val="98"/>
              </w:rPr>
              <w:t>Other noncurrent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76,196 110,179</w:t>
            </w:r>
          </w:p>
        </w:tc>
        <w:tc>
          <w:tcPr>
            <w:tcW w:w="0" w:type="dxa"/>
            <w:vAlign w:val="bottom"/>
          </w:tcPr>
          <w:p>
            <w:pPr>
              <w:spacing w:after="0"/>
              <w:rPr>
                <w:sz w:val="1"/>
                <w:szCs w:val="1"/>
                <w:color w:val="auto"/>
              </w:rPr>
            </w:pPr>
          </w:p>
        </w:tc>
      </w:tr>
      <w:tr>
        <w:trPr>
          <w:trHeight w:val="203"/>
        </w:trPr>
        <w:tc>
          <w:tcPr>
            <w:tcW w:w="2900" w:type="dxa"/>
            <w:vAlign w:val="bottom"/>
            <w:gridSpan w:val="2"/>
            <w:vMerge w:val="restart"/>
          </w:tcPr>
          <w:p>
            <w:pPr>
              <w:jc w:val="right"/>
              <w:spacing w:after="0"/>
              <w:rPr>
                <w:sz w:val="20"/>
                <w:szCs w:val="20"/>
                <w:color w:val="auto"/>
              </w:rPr>
            </w:pPr>
            <w:r>
              <w:rPr>
                <w:rFonts w:ascii="Courier New" w:cs="Courier New" w:eastAsia="Courier New" w:hAnsi="Courier New"/>
                <w:sz w:val="12"/>
                <w:szCs w:val="12"/>
                <w:color w:val="auto"/>
                <w:w w:val="72"/>
              </w:rPr>
              <w:t>ASSETS......................................</w:t>
            </w:r>
            <w:r>
              <w:rPr>
                <w:rFonts w:ascii="Courier New" w:cs="Courier New" w:eastAsia="Courier New" w:hAnsi="Courier New"/>
                <w:sz w:val="20"/>
                <w:szCs w:val="20"/>
                <w:color w:val="auto"/>
                <w:w w:val="72"/>
                <w:vertAlign w:val="superscript"/>
              </w:rPr>
              <w:t>----------</w:t>
            </w:r>
          </w:p>
        </w:tc>
        <w:tc>
          <w:tcPr>
            <w:tcW w:w="312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w w:val="97"/>
              </w:rPr>
              <w:t>---------- TOTAL</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3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$2,877,517</w:t>
            </w:r>
          </w:p>
        </w:tc>
        <w:tc>
          <w:tcPr>
            <w:tcW w:w="0" w:type="dxa"/>
            <w:vAlign w:val="bottom"/>
          </w:tcPr>
          <w:p>
            <w:pPr>
              <w:spacing w:after="0"/>
              <w:rPr>
                <w:sz w:val="1"/>
                <w:szCs w:val="1"/>
                <w:color w:val="auto"/>
              </w:rPr>
            </w:pPr>
          </w:p>
        </w:tc>
      </w:tr>
      <w:tr>
        <w:trPr>
          <w:trHeight w:val="203"/>
        </w:trPr>
        <w:tc>
          <w:tcPr>
            <w:tcW w:w="6020" w:type="dxa"/>
            <w:vAlign w:val="bottom"/>
            <w:gridSpan w:val="3"/>
          </w:tcPr>
          <w:p>
            <w:pPr>
              <w:jc w:val="center"/>
              <w:ind w:left="241"/>
              <w:spacing w:after="0" w:line="203" w:lineRule="exact"/>
              <w:rPr>
                <w:sz w:val="20"/>
                <w:szCs w:val="20"/>
                <w:color w:val="auto"/>
              </w:rPr>
            </w:pPr>
            <w:r>
              <w:rPr>
                <w:rFonts w:ascii="Courier New" w:cs="Courier New" w:eastAsia="Courier New" w:hAnsi="Courier New"/>
                <w:sz w:val="18"/>
                <w:szCs w:val="18"/>
                <w:color w:val="auto"/>
                <w:w w:val="97"/>
              </w:rPr>
              <w:t>$2,540,094 ========== ========== LIABILITIES AND</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3"/>
          </w:tcPr>
          <w:p>
            <w:pPr>
              <w:jc w:val="center"/>
              <w:ind w:left="241"/>
              <w:spacing w:after="0" w:line="203" w:lineRule="exact"/>
              <w:rPr>
                <w:sz w:val="20"/>
                <w:szCs w:val="20"/>
                <w:color w:val="auto"/>
              </w:rPr>
            </w:pPr>
            <w:r>
              <w:rPr>
                <w:rFonts w:ascii="Courier New" w:cs="Courier New" w:eastAsia="Courier New" w:hAnsi="Courier New"/>
                <w:sz w:val="18"/>
                <w:szCs w:val="18"/>
                <w:color w:val="auto"/>
                <w:w w:val="97"/>
              </w:rPr>
              <w:t>SHAREHOLDERS' EQUITY CURRENT LIABILITIES: Accounts</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payable..........................................</w:t>
            </w: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$ 101,116</w:t>
            </w:r>
          </w:p>
        </w:tc>
        <w:tc>
          <w:tcPr>
            <w:tcW w:w="0" w:type="dxa"/>
            <w:vAlign w:val="bottom"/>
          </w:tcPr>
          <w:p>
            <w:pPr>
              <w:spacing w:after="0"/>
              <w:rPr>
                <w:sz w:val="1"/>
                <w:szCs w:val="1"/>
                <w:color w:val="auto"/>
              </w:rPr>
            </w:pPr>
          </w:p>
        </w:tc>
      </w:tr>
      <w:tr>
        <w:trPr>
          <w:trHeight w:val="203"/>
        </w:trPr>
        <w:tc>
          <w:tcPr>
            <w:tcW w:w="6020" w:type="dxa"/>
            <w:vAlign w:val="bottom"/>
            <w:gridSpan w:val="3"/>
          </w:tcPr>
          <w:p>
            <w:pPr>
              <w:jc w:val="center"/>
              <w:ind w:left="241"/>
              <w:spacing w:after="0" w:line="203" w:lineRule="exact"/>
              <w:rPr>
                <w:sz w:val="20"/>
                <w:szCs w:val="20"/>
                <w:color w:val="auto"/>
              </w:rPr>
            </w:pPr>
            <w:r>
              <w:rPr>
                <w:rFonts w:ascii="Courier New" w:cs="Courier New" w:eastAsia="Courier New" w:hAnsi="Courier New"/>
                <w:sz w:val="18"/>
                <w:szCs w:val="18"/>
                <w:color w:val="auto"/>
                <w:w w:val="97"/>
              </w:rPr>
              <w:t>$ 44,704 Accrued expenses and other current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8"/>
              </w:rPr>
              <w:t>liabilities............</w:t>
            </w:r>
          </w:p>
        </w:tc>
        <w:tc>
          <w:tcPr>
            <w:tcW w:w="40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123,223 147,425 Accrued personnel</w:t>
            </w:r>
          </w:p>
        </w:tc>
        <w:tc>
          <w:tcPr>
            <w:tcW w:w="0" w:type="dxa"/>
            <w:vAlign w:val="bottom"/>
          </w:tcPr>
          <w:p>
            <w:pPr>
              <w:spacing w:after="0"/>
              <w:rPr>
                <w:sz w:val="1"/>
                <w:szCs w:val="1"/>
                <w:color w:val="auto"/>
              </w:rPr>
            </w:pPr>
          </w:p>
        </w:tc>
      </w:tr>
      <w:tr>
        <w:trPr>
          <w:trHeight w:val="203"/>
        </w:trPr>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costs...................................</w:t>
            </w:r>
          </w:p>
        </w:tc>
        <w:tc>
          <w:tcPr>
            <w:tcW w:w="3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106,857 86,942</w:t>
            </w:r>
          </w:p>
        </w:tc>
        <w:tc>
          <w:tcPr>
            <w:tcW w:w="0" w:type="dxa"/>
            <w:vAlign w:val="bottom"/>
          </w:tcPr>
          <w:p>
            <w:pPr>
              <w:spacing w:after="0"/>
              <w:rPr>
                <w:sz w:val="1"/>
                <w:szCs w:val="1"/>
                <w:color w:val="auto"/>
              </w:rPr>
            </w:pPr>
          </w:p>
        </w:tc>
      </w:tr>
      <w:tr>
        <w:trPr>
          <w:trHeight w:val="203"/>
        </w:trPr>
        <w:tc>
          <w:tcPr>
            <w:tcW w:w="29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Convertible notes.........................................</w:t>
            </w:r>
          </w:p>
        </w:tc>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3"/>
          </w:tcPr>
          <w:p>
            <w:pPr>
              <w:jc w:val="center"/>
              <w:ind w:left="241"/>
              <w:spacing w:after="0" w:line="203" w:lineRule="exact"/>
              <w:rPr>
                <w:sz w:val="20"/>
                <w:szCs w:val="20"/>
                <w:color w:val="auto"/>
              </w:rPr>
            </w:pPr>
            <w:r>
              <w:rPr>
                <w:rFonts w:ascii="Courier New" w:cs="Courier New" w:eastAsia="Courier New" w:hAnsi="Courier New"/>
                <w:sz w:val="18"/>
                <w:szCs w:val="18"/>
                <w:color w:val="auto"/>
                <w:w w:val="97"/>
              </w:rPr>
              <w:t>400,454 -- Short-term portion of financing</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arrangement...............</w:t>
            </w:r>
          </w:p>
        </w:tc>
        <w:tc>
          <w:tcPr>
            <w:tcW w:w="3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2,179 -- Deferred</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revenue..........................................</w:t>
            </w:r>
          </w:p>
        </w:tc>
        <w:tc>
          <w:tcPr>
            <w:tcW w:w="3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174,616</w:t>
            </w:r>
          </w:p>
        </w:tc>
        <w:tc>
          <w:tcPr>
            <w:tcW w:w="0" w:type="dxa"/>
            <w:vAlign w:val="bottom"/>
          </w:tcPr>
          <w:p>
            <w:pPr>
              <w:spacing w:after="0"/>
              <w:rPr>
                <w:sz w:val="1"/>
                <w:szCs w:val="1"/>
                <w:color w:val="auto"/>
              </w:rPr>
            </w:pPr>
          </w:p>
        </w:tc>
      </w:tr>
      <w:tr>
        <w:trPr>
          <w:trHeight w:val="203"/>
        </w:trPr>
        <w:tc>
          <w:tcPr>
            <w:tcW w:w="6020" w:type="dxa"/>
            <w:vAlign w:val="bottom"/>
            <w:gridSpan w:val="3"/>
          </w:tcPr>
          <w:p>
            <w:pPr>
              <w:jc w:val="center"/>
              <w:ind w:left="241"/>
              <w:spacing w:after="0" w:line="203" w:lineRule="exact"/>
              <w:rPr>
                <w:sz w:val="20"/>
                <w:szCs w:val="20"/>
                <w:color w:val="auto"/>
              </w:rPr>
            </w:pPr>
            <w:r>
              <w:rPr>
                <w:rFonts w:ascii="Courier New" w:cs="Courier New" w:eastAsia="Courier New" w:hAnsi="Courier New"/>
                <w:sz w:val="18"/>
                <w:szCs w:val="18"/>
                <w:color w:val="auto"/>
                <w:w w:val="97"/>
              </w:rPr>
              <w:t>149,590 Short-term portion of capital lease</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obligations...........</w:t>
            </w:r>
          </w:p>
        </w:tc>
        <w:tc>
          <w:tcPr>
            <w:tcW w:w="4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27,140 10,347 Deferred income taxes</w:t>
            </w:r>
          </w:p>
        </w:tc>
        <w:tc>
          <w:tcPr>
            <w:tcW w:w="0" w:type="dxa"/>
            <w:vAlign w:val="bottom"/>
          </w:tcPr>
          <w:p>
            <w:pPr>
              <w:spacing w:after="0"/>
              <w:rPr>
                <w:sz w:val="1"/>
                <w:szCs w:val="1"/>
                <w:color w:val="auto"/>
              </w:rPr>
            </w:pP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and taxes payable...................</w:t>
            </w: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133,002 103,315 ------</w:t>
            </w:r>
          </w:p>
        </w:tc>
        <w:tc>
          <w:tcPr>
            <w:tcW w:w="0" w:type="dxa"/>
            <w:vAlign w:val="bottom"/>
          </w:tcPr>
          <w:p>
            <w:pPr>
              <w:spacing w:after="0"/>
              <w:rPr>
                <w:sz w:val="1"/>
                <w:szCs w:val="1"/>
                <w:color w:val="auto"/>
              </w:rPr>
            </w:pPr>
          </w:p>
        </w:tc>
      </w:tr>
      <w:tr>
        <w:trPr>
          <w:trHeight w:val="203"/>
        </w:trPr>
        <w:tc>
          <w:tcPr>
            <w:tcW w:w="6020" w:type="dxa"/>
            <w:vAlign w:val="bottom"/>
            <w:gridSpan w:val="3"/>
          </w:tcPr>
          <w:p>
            <w:pPr>
              <w:jc w:val="center"/>
              <w:ind w:left="241"/>
              <w:spacing w:after="0" w:line="203" w:lineRule="exact"/>
              <w:rPr>
                <w:sz w:val="20"/>
                <w:szCs w:val="20"/>
                <w:color w:val="auto"/>
              </w:rPr>
            </w:pPr>
            <w:r>
              <w:rPr>
                <w:rFonts w:ascii="Courier New" w:cs="Courier New" w:eastAsia="Courier New" w:hAnsi="Courier New"/>
                <w:sz w:val="18"/>
                <w:szCs w:val="18"/>
                <w:color w:val="auto"/>
                <w:w w:val="97"/>
              </w:rPr>
              <w:t>---- ---------- TOTAL CURRENT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LIABILITIES.........................</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1,068,587 542,323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6"/>
              </w:rPr>
              <w:t>notes...........................................</w:t>
            </w:r>
          </w:p>
        </w:tc>
        <w:tc>
          <w:tcPr>
            <w:tcW w:w="3800" w:type="dxa"/>
            <w:vAlign w:val="bottom"/>
            <w:gridSpan w:val="2"/>
          </w:tcPr>
          <w:p>
            <w:pPr>
              <w:jc w:val="center"/>
              <w:ind w:right="1832"/>
              <w:spacing w:after="0" w:line="203" w:lineRule="exact"/>
              <w:rPr>
                <w:sz w:val="20"/>
                <w:szCs w:val="20"/>
                <w:color w:val="auto"/>
              </w:rPr>
            </w:pPr>
            <w:r>
              <w:rPr>
                <w:rFonts w:ascii="Courier New" w:cs="Courier New" w:eastAsia="Courier New" w:hAnsi="Courier New"/>
                <w:sz w:val="18"/>
                <w:szCs w:val="18"/>
                <w:color w:val="auto"/>
                <w:w w:val="97"/>
              </w:rPr>
              <w:t>Convertible</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-- 445,054</w:t>
            </w:r>
          </w:p>
        </w:tc>
        <w:tc>
          <w:tcPr>
            <w:tcW w:w="0" w:type="dxa"/>
            <w:vAlign w:val="bottom"/>
          </w:tcPr>
          <w:p>
            <w:pPr>
              <w:spacing w:after="0"/>
              <w:rPr>
                <w:sz w:val="1"/>
                <w:szCs w:val="1"/>
                <w:color w:val="auto"/>
              </w:rPr>
            </w:pPr>
          </w:p>
        </w:tc>
      </w:tr>
      <w:tr>
        <w:trPr>
          <w:trHeight w:val="203"/>
        </w:trPr>
        <w:tc>
          <w:tcPr>
            <w:tcW w:w="222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5"/>
              </w:rPr>
              <w:t>taxes.......................................</w:t>
            </w:r>
          </w:p>
        </w:tc>
        <w:tc>
          <w:tcPr>
            <w:tcW w:w="3800" w:type="dxa"/>
            <w:vAlign w:val="bottom"/>
            <w:gridSpan w:val="2"/>
          </w:tcPr>
          <w:p>
            <w:pPr>
              <w:jc w:val="center"/>
              <w:ind w:right="1812"/>
              <w:spacing w:after="0" w:line="203" w:lineRule="exact"/>
              <w:rPr>
                <w:sz w:val="20"/>
                <w:szCs w:val="20"/>
                <w:color w:val="auto"/>
              </w:rPr>
            </w:pPr>
            <w:r>
              <w:rPr>
                <w:rFonts w:ascii="Courier New" w:cs="Courier New" w:eastAsia="Courier New" w:hAnsi="Courier New"/>
                <w:sz w:val="18"/>
                <w:szCs w:val="18"/>
                <w:color w:val="auto"/>
                <w:w w:val="97"/>
              </w:rPr>
              <w:t>Deferred income</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44,835 12,363</w:t>
            </w:r>
          </w:p>
        </w:tc>
        <w:tc>
          <w:tcPr>
            <w:tcW w:w="0" w:type="dxa"/>
            <w:vAlign w:val="bottom"/>
          </w:tcPr>
          <w:p>
            <w:pPr>
              <w:spacing w:after="0"/>
              <w:rPr>
                <w:sz w:val="1"/>
                <w:szCs w:val="1"/>
                <w:color w:val="auto"/>
              </w:rPr>
            </w:pPr>
          </w:p>
        </w:tc>
      </w:tr>
      <w:tr>
        <w:trPr>
          <w:trHeight w:val="203"/>
        </w:trPr>
        <w:tc>
          <w:tcPr>
            <w:tcW w:w="6020" w:type="dxa"/>
            <w:vAlign w:val="bottom"/>
            <w:gridSpan w:val="3"/>
          </w:tcPr>
          <w:p>
            <w:pPr>
              <w:jc w:val="center"/>
              <w:ind w:left="241"/>
              <w:spacing w:after="0" w:line="203" w:lineRule="exact"/>
              <w:rPr>
                <w:sz w:val="20"/>
                <w:szCs w:val="20"/>
                <w:color w:val="auto"/>
              </w:rPr>
            </w:pPr>
            <w:r>
              <w:rPr>
                <w:rFonts w:ascii="Courier New" w:cs="Courier New" w:eastAsia="Courier New" w:hAnsi="Courier New"/>
                <w:sz w:val="18"/>
                <w:szCs w:val="18"/>
                <w:color w:val="auto"/>
                <w:w w:val="97"/>
              </w:rPr>
              <w:t>Noncurrent liabilities and</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other............................</w:t>
            </w: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172,495 124,079 ---------</w:t>
            </w:r>
          </w:p>
        </w:tc>
        <w:tc>
          <w:tcPr>
            <w:tcW w:w="0" w:type="dxa"/>
            <w:vAlign w:val="bottom"/>
          </w:tcPr>
          <w:p>
            <w:pPr>
              <w:spacing w:after="0"/>
              <w:rPr>
                <w:sz w:val="1"/>
                <w:szCs w:val="1"/>
                <w:color w:val="auto"/>
              </w:rPr>
            </w:pPr>
          </w:p>
        </w:tc>
      </w:tr>
      <w:tr>
        <w:trPr>
          <w:trHeight w:val="203"/>
        </w:trPr>
        <w:tc>
          <w:tcPr>
            <w:tcW w:w="222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5"/>
              </w:rPr>
              <w:t>LIABILITIES.................................</w:t>
            </w:r>
          </w:p>
        </w:tc>
        <w:tc>
          <w:tcPr>
            <w:tcW w:w="3800" w:type="dxa"/>
            <w:vAlign w:val="bottom"/>
            <w:gridSpan w:val="2"/>
          </w:tcPr>
          <w:p>
            <w:pPr>
              <w:jc w:val="center"/>
              <w:ind w:right="1812"/>
              <w:spacing w:after="0" w:line="203" w:lineRule="exact"/>
              <w:rPr>
                <w:sz w:val="20"/>
                <w:szCs w:val="20"/>
                <w:color w:val="auto"/>
              </w:rPr>
            </w:pPr>
            <w:r>
              <w:rPr>
                <w:rFonts w:ascii="Courier New" w:cs="Courier New" w:eastAsia="Courier New" w:hAnsi="Courier New"/>
                <w:sz w:val="18"/>
                <w:szCs w:val="18"/>
                <w:color w:val="auto"/>
                <w:w w:val="97"/>
              </w:rPr>
              <w:t>- ---------- TOTAL</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1,285,917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1,123,819 ----------</w:t>
            </w:r>
          </w:p>
        </w:tc>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SHAREHOLDERS' EQUITY:</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Preferred Shares -- Authorized 25,000 shares; L0.01 par</w:t>
            </w:r>
          </w:p>
        </w:tc>
        <w:tc>
          <w:tcPr>
            <w:tcW w:w="0" w:type="dxa"/>
            <w:vAlign w:val="bottom"/>
          </w:tcPr>
          <w:p>
            <w:pPr>
              <w:spacing w:after="0"/>
              <w:rPr>
                <w:sz w:val="1"/>
                <w:szCs w:val="1"/>
                <w:color w:val="auto"/>
              </w:rPr>
            </w:pPr>
          </w:p>
        </w:tc>
      </w:tr>
      <w:tr>
        <w:trPr>
          <w:trHeight w:val="235"/>
        </w:trPr>
        <w:tc>
          <w:tcPr>
            <w:tcW w:w="602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w w:val="98"/>
              </w:rPr>
              <w:t>value; 0 shares issued and outstanding.................</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w:t>
            </w:r>
          </w:p>
        </w:tc>
        <w:tc>
          <w:tcPr>
            <w:tcW w:w="0" w:type="dxa"/>
            <w:vAlign w:val="bottom"/>
          </w:tcPr>
          <w:p>
            <w:pPr>
              <w:spacing w:after="0"/>
              <w:rPr>
                <w:sz w:val="1"/>
                <w:szCs w:val="1"/>
                <w:color w:val="auto"/>
              </w:rPr>
            </w:pPr>
          </w:p>
        </w:tc>
      </w:tr>
    </w:tbl>
    <w:p>
      <w:pPr>
        <w:jc w:val="both"/>
        <w:ind w:left="160" w:right="3999" w:hanging="47"/>
        <w:spacing w:after="0" w:line="268" w:lineRule="auto"/>
        <w:tabs>
          <w:tab w:leader="none" w:pos="423"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Ordinary Shares -- Authorized 550,000 shares; L0.01 par value; 223,790 and 223,315 issued and 216,058 and 215,583</w:t>
      </w:r>
    </w:p>
    <w:tbl>
      <w:tblPr>
        <w:tblLayout w:type="fixed"/>
        <w:tblInd w:w="60" w:type="dxa"/>
        <w:tblCellMar>
          <w:top w:w="0" w:type="dxa"/>
          <w:left w:w="0" w:type="dxa"/>
          <w:bottom w:w="0" w:type="dxa"/>
          <w:right w:w="0" w:type="dxa"/>
        </w:tblCellMar>
      </w:tblPr>
      <w:tr>
        <w:trPr>
          <w:trHeight w:val="171"/>
        </w:trPr>
        <w:tc>
          <w:tcPr>
            <w:tcW w:w="4680" w:type="dxa"/>
            <w:vAlign w:val="bottom"/>
            <w:gridSpan w:val="3"/>
          </w:tcPr>
          <w:p>
            <w:pPr>
              <w:jc w:val="right"/>
              <w:spacing w:after="0" w:line="171" w:lineRule="exact"/>
              <w:rPr>
                <w:sz w:val="20"/>
                <w:szCs w:val="20"/>
                <w:color w:val="auto"/>
              </w:rPr>
            </w:pPr>
            <w:r>
              <w:rPr>
                <w:rFonts w:ascii="Courier New" w:cs="Courier New" w:eastAsia="Courier New" w:hAnsi="Courier New"/>
                <w:sz w:val="18"/>
                <w:szCs w:val="18"/>
                <w:color w:val="auto"/>
                <w:w w:val="91"/>
              </w:rPr>
              <w:t>outstanding, in 2003 and 2002, respectively....</w:t>
            </w:r>
          </w:p>
        </w:tc>
        <w:tc>
          <w:tcPr>
            <w:tcW w:w="154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3,580 3,572</w:t>
            </w:r>
          </w:p>
        </w:tc>
        <w:tc>
          <w:tcPr>
            <w:tcW w:w="0" w:type="dxa"/>
            <w:vAlign w:val="bottom"/>
          </w:tcPr>
          <w:p>
            <w:pPr>
              <w:spacing w:after="0"/>
              <w:rPr>
                <w:sz w:val="1"/>
                <w:szCs w:val="1"/>
                <w:color w:val="auto"/>
              </w:rPr>
            </w:pPr>
          </w:p>
        </w:tc>
      </w:tr>
      <w:tr>
        <w:trPr>
          <w:trHeight w:val="203"/>
        </w:trPr>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Additional paid-in capital</w:t>
            </w:r>
          </w:p>
        </w:tc>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6220" w:type="dxa"/>
            <w:vAlign w:val="bottom"/>
            <w:gridSpan w:val="4"/>
          </w:tcPr>
          <w:p>
            <w:pPr>
              <w:jc w:val="right"/>
              <w:ind w:right="292"/>
              <w:spacing w:after="0" w:line="203" w:lineRule="exact"/>
              <w:rPr>
                <w:sz w:val="20"/>
                <w:szCs w:val="20"/>
                <w:color w:val="auto"/>
              </w:rPr>
            </w:pPr>
            <w:r>
              <w:rPr>
                <w:rFonts w:ascii="Courier New" w:cs="Courier New" w:eastAsia="Courier New" w:hAnsi="Courier New"/>
                <w:sz w:val="18"/>
                <w:szCs w:val="18"/>
                <w:color w:val="auto"/>
              </w:rPr>
              <w:t>1,820,956 1,818,345 Treasury stock, at cost -- 7,732</w:t>
            </w:r>
          </w:p>
        </w:tc>
        <w:tc>
          <w:tcPr>
            <w:tcW w:w="0" w:type="dxa"/>
            <w:vAlign w:val="bottom"/>
          </w:tcPr>
          <w:p>
            <w:pPr>
              <w:spacing w:after="0"/>
              <w:rPr>
                <w:sz w:val="1"/>
                <w:szCs w:val="1"/>
                <w:color w:val="auto"/>
              </w:rPr>
            </w:pPr>
          </w:p>
        </w:tc>
      </w:tr>
      <w:tr>
        <w:trPr>
          <w:trHeight w:val="203"/>
        </w:trPr>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Ordinary Shares..........</w:t>
            </w:r>
          </w:p>
        </w:tc>
        <w:tc>
          <w:tcPr>
            <w:tcW w:w="3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(109,281) (109,281) Accumulated</w:t>
            </w:r>
          </w:p>
        </w:tc>
        <w:tc>
          <w:tcPr>
            <w:tcW w:w="0" w:type="dxa"/>
            <w:vAlign w:val="bottom"/>
          </w:tcPr>
          <w:p>
            <w:pPr>
              <w:spacing w:after="0"/>
              <w:rPr>
                <w:sz w:val="1"/>
                <w:szCs w:val="1"/>
                <w:color w:val="auto"/>
              </w:rPr>
            </w:pPr>
          </w:p>
        </w:tc>
      </w:tr>
      <w:tr>
        <w:trPr>
          <w:trHeight w:val="203"/>
        </w:trPr>
        <w:tc>
          <w:tcPr>
            <w:tcW w:w="4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3"/>
              </w:rPr>
              <w:t>other comprehensive income (loss).............</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3,715 (108)</w:t>
            </w:r>
          </w:p>
        </w:tc>
        <w:tc>
          <w:tcPr>
            <w:tcW w:w="0" w:type="dxa"/>
            <w:vAlign w:val="bottom"/>
          </w:tcPr>
          <w:p>
            <w:pPr>
              <w:spacing w:after="0"/>
              <w:rPr>
                <w:sz w:val="1"/>
                <w:szCs w:val="1"/>
                <w:color w:val="auto"/>
              </w:rPr>
            </w:pPr>
          </w:p>
        </w:tc>
      </w:tr>
      <w:tr>
        <w:trPr>
          <w:trHeight w:val="203"/>
        </w:trPr>
        <w:tc>
          <w:tcPr>
            <w:tcW w:w="28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Accumulated deficit.......................................</w:t>
            </w:r>
            <w:r>
              <w:rPr>
                <w:rFonts w:ascii="Courier New" w:cs="Courier New" w:eastAsia="Courier New" w:hAnsi="Courier New"/>
                <w:sz w:val="12"/>
                <w:szCs w:val="12"/>
                <w:color w:val="auto"/>
                <w:w w:val="76"/>
                <w:vertAlign w:val="subscript"/>
              </w:rPr>
              <w:t>----------</w:t>
            </w:r>
          </w:p>
        </w:tc>
        <w:tc>
          <w:tcPr>
            <w:tcW w:w="3420" w:type="dxa"/>
            <w:vAlign w:val="bottom"/>
            <w:gridSpan w:val="2"/>
            <w:vMerge w:val="restart"/>
          </w:tcPr>
          <w:p>
            <w:pPr>
              <w:jc w:val="right"/>
              <w:ind w:right="552"/>
              <w:spacing w:after="0"/>
              <w:rPr>
                <w:sz w:val="20"/>
                <w:szCs w:val="20"/>
                <w:color w:val="auto"/>
              </w:rPr>
            </w:pPr>
            <w:r>
              <w:rPr>
                <w:rFonts w:ascii="Courier New" w:cs="Courier New" w:eastAsia="Courier New" w:hAnsi="Courier New"/>
                <w:sz w:val="18"/>
                <w:szCs w:val="18"/>
                <w:color w:val="auto"/>
              </w:rPr>
              <w:t>---------- TOTAL</w:t>
            </w:r>
          </w:p>
        </w:tc>
        <w:tc>
          <w:tcPr>
            <w:tcW w:w="0" w:type="dxa"/>
            <w:vAlign w:val="bottom"/>
          </w:tcPr>
          <w:p>
            <w:pPr>
              <w:spacing w:after="0"/>
              <w:rPr>
                <w:sz w:val="1"/>
                <w:szCs w:val="1"/>
                <w:color w:val="auto"/>
              </w:rPr>
            </w:pPr>
          </w:p>
        </w:tc>
      </w:tr>
      <w:tr>
        <w:trPr>
          <w:trHeight w:val="203"/>
        </w:trPr>
        <w:tc>
          <w:tcPr>
            <w:tcW w:w="2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(127,370) (296,253)</w:t>
            </w:r>
          </w:p>
        </w:tc>
        <w:tc>
          <w:tcPr>
            <w:tcW w:w="3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SHAREHOLDERS' EQUITY........................</w:t>
            </w:r>
          </w:p>
        </w:tc>
        <w:tc>
          <w:tcPr>
            <w:tcW w:w="1880" w:type="dxa"/>
            <w:vAlign w:val="bottom"/>
          </w:tcPr>
          <w:p>
            <w:pPr>
              <w:spacing w:after="0"/>
              <w:rPr>
                <w:sz w:val="17"/>
                <w:szCs w:val="17"/>
                <w:color w:val="auto"/>
              </w:rPr>
            </w:pP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1,591,600</w:t>
            </w:r>
          </w:p>
        </w:tc>
        <w:tc>
          <w:tcPr>
            <w:tcW w:w="0" w:type="dxa"/>
            <w:vAlign w:val="bottom"/>
          </w:tcPr>
          <w:p>
            <w:pPr>
              <w:spacing w:after="0"/>
              <w:rPr>
                <w:sz w:val="1"/>
                <w:szCs w:val="1"/>
                <w:color w:val="auto"/>
              </w:rPr>
            </w:pPr>
          </w:p>
        </w:tc>
      </w:tr>
      <w:tr>
        <w:trPr>
          <w:trHeight w:val="203"/>
        </w:trPr>
        <w:tc>
          <w:tcPr>
            <w:tcW w:w="2520" w:type="dxa"/>
            <w:vAlign w:val="bottom"/>
          </w:tcPr>
          <w:p>
            <w:pPr>
              <w:jc w:val="right"/>
              <w:ind w:right="17"/>
              <w:spacing w:after="0" w:line="203" w:lineRule="exact"/>
              <w:rPr>
                <w:sz w:val="20"/>
                <w:szCs w:val="20"/>
                <w:color w:val="auto"/>
              </w:rPr>
            </w:pPr>
            <w:r>
              <w:rPr>
                <w:rFonts w:ascii="Courier New" w:cs="Courier New" w:eastAsia="Courier New" w:hAnsi="Courier New"/>
                <w:sz w:val="18"/>
                <w:szCs w:val="18"/>
                <w:color w:val="auto"/>
              </w:rPr>
              <w:t>1,416,275 ----------</w:t>
            </w:r>
          </w:p>
        </w:tc>
        <w:tc>
          <w:tcPr>
            <w:tcW w:w="37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 TOTAL LIABILITIES AND</w:t>
            </w:r>
          </w:p>
        </w:tc>
        <w:tc>
          <w:tcPr>
            <w:tcW w:w="0" w:type="dxa"/>
            <w:vAlign w:val="bottom"/>
          </w:tcPr>
          <w:p>
            <w:pPr>
              <w:spacing w:after="0"/>
              <w:rPr>
                <w:sz w:val="1"/>
                <w:szCs w:val="1"/>
                <w:color w:val="auto"/>
              </w:rPr>
            </w:pPr>
          </w:p>
        </w:tc>
      </w:tr>
      <w:tr>
        <w:trPr>
          <w:trHeight w:val="203"/>
        </w:trPr>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SHAREHOLDERS' EQUITY........</w:t>
            </w:r>
          </w:p>
        </w:tc>
        <w:tc>
          <w:tcPr>
            <w:tcW w:w="1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$2,877,517</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$2,540,094</w:t>
            </w:r>
          </w:p>
        </w:tc>
        <w:tc>
          <w:tcPr>
            <w:tcW w:w="0" w:type="dxa"/>
            <w:vAlign w:val="bottom"/>
          </w:tcPr>
          <w:p>
            <w:pPr>
              <w:spacing w:after="0"/>
              <w:rPr>
                <w:sz w:val="1"/>
                <w:szCs w:val="1"/>
                <w:color w:val="auto"/>
              </w:rPr>
            </w:pPr>
          </w:p>
        </w:tc>
      </w:tr>
      <w:tr>
        <w:trPr>
          <w:trHeight w:val="296"/>
        </w:trPr>
        <w:tc>
          <w:tcPr>
            <w:tcW w:w="4680" w:type="dxa"/>
            <w:vAlign w:val="bottom"/>
            <w:gridSpan w:val="3"/>
          </w:tcPr>
          <w:p>
            <w:pPr>
              <w:jc w:val="right"/>
              <w:ind w:right="372"/>
              <w:spacing w:after="0"/>
              <w:rPr>
                <w:sz w:val="20"/>
                <w:szCs w:val="20"/>
                <w:color w:val="auto"/>
              </w:rPr>
            </w:pPr>
            <w:r>
              <w:rPr>
                <w:rFonts w:ascii="Courier New" w:cs="Courier New" w:eastAsia="Courier New" w:hAnsi="Courier New"/>
                <w:sz w:val="18"/>
                <w:szCs w:val="18"/>
                <w:color w:val="auto"/>
              </w:rPr>
              <w:t>========== ==========</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Note 4.</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The accompanying notes are an integral part of these consolidated financial</w:t>
      </w:r>
    </w:p>
    <w:p>
      <w:pPr>
        <w:spacing w:after="0" w:line="2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statements.</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691" w:right="1440" w:bottom="793" w:gutter="0" w:footer="0" w:header="0"/>
        </w:sectPr>
      </w:pPr>
    </w:p>
    <w:bookmarkStart w:id="74" w:name="page75"/>
    <w:bookmarkEnd w:id="74"/>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STATEMENTS OF OPERATIONS</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1"/>
        </w:trPr>
        <w:tc>
          <w:tcPr>
            <w:tcW w:w="3440" w:type="dxa"/>
            <w:vAlign w:val="bottom"/>
          </w:tcPr>
          <w:p>
            <w:pPr>
              <w:ind w:left="60"/>
              <w:spacing w:after="0" w:line="201" w:lineRule="exact"/>
              <w:rPr>
                <w:sz w:val="20"/>
                <w:szCs w:val="20"/>
                <w:color w:val="auto"/>
              </w:rPr>
            </w:pPr>
            <w:r>
              <w:rPr>
                <w:rFonts w:ascii="Courier New" w:cs="Courier New" w:eastAsia="Courier New" w:hAnsi="Courier New"/>
                <w:sz w:val="18"/>
                <w:szCs w:val="18"/>
                <w:color w:val="auto"/>
                <w:w w:val="94"/>
              </w:rPr>
              <w:t>------- 2003 2002 2001 ----------</w:t>
            </w:r>
          </w:p>
        </w:tc>
        <w:tc>
          <w:tcPr>
            <w:tcW w:w="2300" w:type="dxa"/>
            <w:vAlign w:val="bottom"/>
            <w:gridSpan w:val="2"/>
          </w:tcPr>
          <w:p>
            <w:pPr>
              <w:jc w:val="right"/>
              <w:spacing w:after="0" w:line="201"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3440" w:type="dxa"/>
            <w:vAlign w:val="bottom"/>
          </w:tcPr>
          <w:p>
            <w:pPr>
              <w:jc w:val="center"/>
              <w:ind w:left="2295"/>
              <w:spacing w:after="0" w:line="203" w:lineRule="exact"/>
              <w:rPr>
                <w:sz w:val="20"/>
                <w:szCs w:val="20"/>
                <w:color w:val="auto"/>
              </w:rPr>
            </w:pPr>
            <w:r>
              <w:rPr>
                <w:rFonts w:ascii="Courier New" w:cs="Courier New" w:eastAsia="Courier New" w:hAnsi="Courier New"/>
                <w:sz w:val="18"/>
                <w:szCs w:val="18"/>
                <w:color w:val="auto"/>
                <w:w w:val="98"/>
              </w:rPr>
              <w:t>- REVENUE:</w:t>
            </w: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Courier New" w:cs="Courier New" w:eastAsia="Courier New" w:hAnsi="Courier New"/>
                <w:sz w:val="14"/>
                <w:szCs w:val="14"/>
                <w:color w:val="auto"/>
                <w:w w:val="74"/>
              </w:rPr>
              <w:t>License(*).............................................</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$ 171,430</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440"/>
              <w:spacing w:after="0" w:line="203" w:lineRule="exact"/>
              <w:rPr>
                <w:sz w:val="20"/>
                <w:szCs w:val="20"/>
                <w:color w:val="auto"/>
              </w:rPr>
            </w:pPr>
            <w:r>
              <w:rPr>
                <w:rFonts w:ascii="Courier New" w:cs="Courier New" w:eastAsia="Courier New" w:hAnsi="Courier New"/>
                <w:sz w:val="18"/>
                <w:szCs w:val="18"/>
                <w:color w:val="auto"/>
              </w:rPr>
              <w:t>$ 65,582 $ 153,664</w:t>
            </w:r>
          </w:p>
        </w:tc>
        <w:tc>
          <w:tcPr>
            <w:tcW w:w="94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Service(*).............................................</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 --</w:t>
            </w:r>
          </w:p>
        </w:tc>
        <w:tc>
          <w:tcPr>
            <w:tcW w:w="0" w:type="dxa"/>
            <w:vAlign w:val="bottom"/>
          </w:tcPr>
          <w:p>
            <w:pPr>
              <w:spacing w:after="0"/>
              <w:rPr>
                <w:sz w:val="1"/>
                <w:szCs w:val="1"/>
                <w:color w:val="auto"/>
              </w:rPr>
            </w:pPr>
          </w:p>
        </w:tc>
      </w:tr>
      <w:tr>
        <w:trPr>
          <w:trHeight w:val="203"/>
        </w:trPr>
        <w:tc>
          <w:tcPr>
            <w:tcW w:w="4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1,417,745 1,459,901 1,362,480 ----------</w:t>
            </w: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81"/>
              </w:rPr>
              <w:t>-------- 1,483,327 1,613,565 1,533,910 ----------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OPERATING EXPENSES: Cost of</w:t>
            </w:r>
          </w:p>
        </w:tc>
        <w:tc>
          <w:tcPr>
            <w:tcW w:w="0" w:type="dxa"/>
            <w:vAlign w:val="bottom"/>
          </w:tcPr>
          <w:p>
            <w:pPr>
              <w:spacing w:after="0"/>
              <w:rPr>
                <w:sz w:val="1"/>
                <w:szCs w:val="1"/>
                <w:color w:val="auto"/>
              </w:rPr>
            </w:pPr>
          </w:p>
        </w:tc>
      </w:tr>
      <w:tr>
        <w:trPr>
          <w:trHeight w:val="203"/>
        </w:trPr>
        <w:tc>
          <w:tcPr>
            <w:tcW w:w="4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license.....................................</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5,752</w:t>
            </w:r>
          </w:p>
        </w:tc>
        <w:tc>
          <w:tcPr>
            <w:tcW w:w="0" w:type="dxa"/>
            <w:vAlign w:val="bottom"/>
          </w:tcPr>
          <w:p>
            <w:pPr>
              <w:spacing w:after="0"/>
              <w:rPr>
                <w:sz w:val="1"/>
                <w:szCs w:val="1"/>
                <w:color w:val="auto"/>
              </w:rPr>
            </w:pPr>
          </w:p>
        </w:tc>
      </w:tr>
      <w:tr>
        <w:trPr>
          <w:trHeight w:val="203"/>
        </w:trPr>
        <w:tc>
          <w:tcPr>
            <w:tcW w:w="4380" w:type="dxa"/>
            <w:vAlign w:val="bottom"/>
            <w:gridSpan w:val="2"/>
          </w:tcPr>
          <w:p>
            <w:pPr>
              <w:jc w:val="right"/>
              <w:spacing w:after="0" w:line="202" w:lineRule="exact"/>
              <w:rPr>
                <w:sz w:val="20"/>
                <w:szCs w:val="20"/>
                <w:color w:val="auto"/>
              </w:rPr>
            </w:pPr>
            <w:r>
              <w:rPr>
                <w:rFonts w:ascii="Courier New" w:cs="Courier New" w:eastAsia="Courier New" w:hAnsi="Courier New"/>
                <w:sz w:val="13"/>
                <w:szCs w:val="13"/>
                <w:color w:val="auto"/>
              </w:rPr>
              <w:t>..................................</w:t>
            </w:r>
            <w:r>
              <w:rPr>
                <w:rFonts w:ascii="Courier New" w:cs="Courier New" w:eastAsia="Courier New" w:hAnsi="Courier New"/>
                <w:sz w:val="23"/>
                <w:szCs w:val="23"/>
                <w:color w:val="auto"/>
                <w:vertAlign w:val="superscript"/>
              </w:rPr>
              <w:t>5,9845,651Costof</w:t>
            </w:r>
          </w:p>
        </w:tc>
        <w:tc>
          <w:tcPr>
            <w:tcW w:w="1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907,607</w:t>
            </w:r>
          </w:p>
        </w:tc>
        <w:tc>
          <w:tcPr>
            <w:tcW w:w="0" w:type="dxa"/>
            <w:vAlign w:val="bottom"/>
          </w:tcPr>
          <w:p>
            <w:pPr>
              <w:spacing w:after="0"/>
              <w:rPr>
                <w:sz w:val="1"/>
                <w:szCs w:val="1"/>
                <w:color w:val="auto"/>
              </w:rPr>
            </w:pPr>
          </w:p>
        </w:tc>
      </w:tr>
      <w:tr>
        <w:trPr>
          <w:trHeight w:val="203"/>
        </w:trPr>
        <w:tc>
          <w:tcPr>
            <w:tcW w:w="34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service(*)</w:t>
            </w:r>
          </w:p>
        </w:tc>
        <w:tc>
          <w:tcPr>
            <w:tcW w:w="94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gridSpan w:val="2"/>
          </w:tcPr>
          <w:p>
            <w:pPr>
              <w:jc w:val="right"/>
              <w:spacing w:after="0" w:line="202" w:lineRule="exact"/>
              <w:rPr>
                <w:sz w:val="20"/>
                <w:szCs w:val="20"/>
                <w:color w:val="auto"/>
              </w:rPr>
            </w:pPr>
            <w:r>
              <w:rPr>
                <w:rFonts w:ascii="Courier New" w:cs="Courier New" w:eastAsia="Courier New" w:hAnsi="Courier New"/>
                <w:sz w:val="23"/>
                <w:szCs w:val="23"/>
                <w:color w:val="auto"/>
                <w:w w:val="97"/>
                <w:vertAlign w:val="superscript"/>
              </w:rPr>
              <w:t>927,353</w:t>
            </w:r>
            <w:r>
              <w:rPr>
                <w:rFonts w:ascii="Courier New" w:cs="Courier New" w:eastAsia="Courier New" w:hAnsi="Courier New"/>
                <w:sz w:val="13"/>
                <w:szCs w:val="13"/>
                <w:color w:val="auto"/>
                <w:w w:val="97"/>
              </w:rPr>
              <w:t>............................</w:t>
            </w:r>
            <w:r>
              <w:rPr>
                <w:rFonts w:ascii="Courier New" w:cs="Courier New" w:eastAsia="Courier New" w:hAnsi="Courier New"/>
                <w:sz w:val="23"/>
                <w:szCs w:val="23"/>
                <w:color w:val="auto"/>
                <w:w w:val="97"/>
                <w:vertAlign w:val="superscript"/>
              </w:rPr>
              <w:t>847,591Researchand</w:t>
            </w:r>
          </w:p>
        </w:tc>
        <w:tc>
          <w:tcPr>
            <w:tcW w:w="13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119,256</w:t>
            </w:r>
          </w:p>
        </w:tc>
        <w:tc>
          <w:tcPr>
            <w:tcW w:w="0" w:type="dxa"/>
            <w:vAlign w:val="bottom"/>
          </w:tcPr>
          <w:p>
            <w:pPr>
              <w:spacing w:after="0"/>
              <w:rPr>
                <w:sz w:val="1"/>
                <w:szCs w:val="1"/>
                <w:color w:val="auto"/>
              </w:rPr>
            </w:pP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development</w:t>
            </w:r>
          </w:p>
        </w:tc>
        <w:tc>
          <w:tcPr>
            <w:tcW w:w="94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124,082 105,807 Selling, general and</w:t>
            </w:r>
          </w:p>
        </w:tc>
        <w:tc>
          <w:tcPr>
            <w:tcW w:w="0" w:type="dxa"/>
            <w:vAlign w:val="bottom"/>
          </w:tcPr>
          <w:p>
            <w:pPr>
              <w:spacing w:after="0"/>
              <w:rPr>
                <w:sz w:val="1"/>
                <w:szCs w:val="1"/>
                <w:color w:val="auto"/>
              </w:rPr>
            </w:pP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89"/>
              </w:rPr>
              <w:t>administrative(*)..............</w:t>
            </w:r>
          </w:p>
        </w:tc>
        <w:tc>
          <w:tcPr>
            <w:tcW w:w="23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206,265 223,551</w:t>
            </w:r>
          </w:p>
        </w:tc>
        <w:tc>
          <w:tcPr>
            <w:tcW w:w="0" w:type="dxa"/>
            <w:vAlign w:val="bottom"/>
          </w:tcPr>
          <w:p>
            <w:pPr>
              <w:spacing w:after="0"/>
              <w:rPr>
                <w:sz w:val="1"/>
                <w:szCs w:val="1"/>
                <w:color w:val="auto"/>
              </w:rPr>
            </w:pPr>
          </w:p>
        </w:tc>
      </w:tr>
      <w:tr>
        <w:trPr>
          <w:trHeight w:val="203"/>
        </w:trPr>
        <w:tc>
          <w:tcPr>
            <w:tcW w:w="5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195,592 Amortization of goodwill and purchased</w:t>
            </w:r>
          </w:p>
        </w:tc>
        <w:tc>
          <w:tcPr>
            <w:tcW w:w="0" w:type="dxa"/>
            <w:vAlign w:val="bottom"/>
          </w:tcPr>
          <w:p>
            <w:pPr>
              <w:spacing w:after="0"/>
              <w:rPr>
                <w:sz w:val="1"/>
                <w:szCs w:val="1"/>
                <w:color w:val="auto"/>
              </w:rPr>
            </w:pPr>
          </w:p>
        </w:tc>
      </w:tr>
      <w:tr>
        <w:trPr>
          <w:trHeight w:val="203"/>
        </w:trPr>
        <w:tc>
          <w:tcPr>
            <w:tcW w:w="3440" w:type="dxa"/>
            <w:vAlign w:val="bottom"/>
          </w:tcPr>
          <w:p>
            <w:pPr>
              <w:jc w:val="center"/>
              <w:ind w:left="2295"/>
              <w:spacing w:after="0" w:line="203" w:lineRule="exact"/>
              <w:rPr>
                <w:sz w:val="20"/>
                <w:szCs w:val="20"/>
                <w:color w:val="auto"/>
              </w:rPr>
            </w:pPr>
            <w:r>
              <w:rPr>
                <w:rFonts w:ascii="Courier New" w:cs="Courier New" w:eastAsia="Courier New" w:hAnsi="Courier New"/>
                <w:sz w:val="18"/>
                <w:szCs w:val="18"/>
                <w:color w:val="auto"/>
                <w:w w:val="98"/>
              </w:rPr>
              <w:t>intangible</w:t>
            </w: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3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0"/>
              </w:rPr>
              <w:t>assets............................................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00" w:right="4739" w:hanging="684"/>
        <w:spacing w:after="0" w:line="238" w:lineRule="auto"/>
        <w:rPr>
          <w:sz w:val="20"/>
          <w:szCs w:val="20"/>
          <w:color w:val="auto"/>
        </w:rPr>
      </w:pPr>
      <w:r>
        <w:rPr>
          <w:rFonts w:ascii="Courier New" w:cs="Courier New" w:eastAsia="Courier New" w:hAnsi="Courier New"/>
          <w:sz w:val="18"/>
          <w:szCs w:val="18"/>
          <w:color w:val="auto"/>
        </w:rPr>
        <w:t>19,940 231,804 219,988 Restructuring charges, in-process research and development and</w:t>
      </w:r>
    </w:p>
    <w:tbl>
      <w:tblPr>
        <w:tblLayout w:type="fixed"/>
        <w:tblInd w:w="60" w:type="dxa"/>
        <w:tblCellMar>
          <w:top w:w="0" w:type="dxa"/>
          <w:left w:w="0" w:type="dxa"/>
          <w:bottom w:w="0" w:type="dxa"/>
          <w:right w:w="0" w:type="dxa"/>
        </w:tblCellMar>
      </w:tblPr>
      <w:tr>
        <w:trPr>
          <w:trHeight w:val="171"/>
        </w:trPr>
        <w:tc>
          <w:tcPr>
            <w:tcW w:w="1160" w:type="dxa"/>
            <w:vAlign w:val="bottom"/>
          </w:tcPr>
          <w:p>
            <w:pPr>
              <w:jc w:val="center"/>
              <w:spacing w:after="0"/>
              <w:rPr>
                <w:sz w:val="20"/>
                <w:szCs w:val="20"/>
                <w:color w:val="auto"/>
              </w:rPr>
            </w:pPr>
            <w:r>
              <w:rPr>
                <w:rFonts w:ascii="Courier New" w:cs="Courier New" w:eastAsia="Courier New" w:hAnsi="Courier New"/>
                <w:sz w:val="8"/>
                <w:szCs w:val="8"/>
                <w:color w:val="auto"/>
                <w:w w:val="71"/>
              </w:rPr>
              <w:t>other.............................</w:t>
            </w:r>
          </w:p>
        </w:tc>
        <w:tc>
          <w:tcPr>
            <w:tcW w:w="2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 ----------</w:t>
            </w:r>
          </w:p>
        </w:tc>
        <w:tc>
          <w:tcPr>
            <w:tcW w:w="22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14,089 51,630 -- --</w:t>
            </w:r>
          </w:p>
        </w:tc>
        <w:tc>
          <w:tcPr>
            <w:tcW w:w="0" w:type="dxa"/>
            <w:vAlign w:val="bottom"/>
          </w:tcPr>
          <w:p>
            <w:pPr>
              <w:spacing w:after="0"/>
              <w:rPr>
                <w:sz w:val="1"/>
                <w:szCs w:val="1"/>
                <w:color w:val="auto"/>
              </w:rPr>
            </w:pPr>
          </w:p>
        </w:tc>
      </w:tr>
      <w:tr>
        <w:trPr>
          <w:trHeight w:val="203"/>
        </w:trPr>
        <w:tc>
          <w:tcPr>
            <w:tcW w:w="1160" w:type="dxa"/>
            <w:vAlign w:val="bottom"/>
            <w:vMerge w:val="restart"/>
          </w:tcPr>
          <w:p>
            <w:pPr>
              <w:jc w:val="center"/>
              <w:ind w:right="16"/>
              <w:spacing w:after="0"/>
              <w:rPr>
                <w:sz w:val="20"/>
                <w:szCs w:val="20"/>
                <w:color w:val="auto"/>
              </w:rPr>
            </w:pPr>
            <w:r>
              <w:rPr>
                <w:rFonts w:ascii="Courier New" w:cs="Courier New" w:eastAsia="Courier New" w:hAnsi="Courier New"/>
                <w:sz w:val="13"/>
                <w:szCs w:val="13"/>
                <w:color w:val="auto"/>
                <w:w w:val="72"/>
              </w:rPr>
              <w:t>1,374,629</w:t>
            </w:r>
            <w:r>
              <w:rPr>
                <w:rFonts w:ascii="Courier New" w:cs="Courier New" w:eastAsia="Courier New" w:hAnsi="Courier New"/>
                <w:sz w:val="23"/>
                <w:szCs w:val="23"/>
                <w:color w:val="auto"/>
                <w:w w:val="72"/>
                <w:vertAlign w:val="superscript"/>
              </w:rPr>
              <w:t>--------</w:t>
            </w:r>
          </w:p>
        </w:tc>
        <w:tc>
          <w:tcPr>
            <w:tcW w:w="2260" w:type="dxa"/>
            <w:vAlign w:val="bottom"/>
            <w:vMerge w:val="continue"/>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1,272,909 1,564,404</w:t>
            </w:r>
          </w:p>
        </w:tc>
        <w:tc>
          <w:tcPr>
            <w:tcW w:w="0" w:type="dxa"/>
            <w:vAlign w:val="bottom"/>
          </w:tcPr>
          <w:p>
            <w:pPr>
              <w:spacing w:after="0"/>
              <w:rPr>
                <w:sz w:val="1"/>
                <w:szCs w:val="1"/>
                <w:color w:val="auto"/>
              </w:rPr>
            </w:pPr>
          </w:p>
        </w:tc>
      </w:tr>
      <w:tr>
        <w:trPr>
          <w:trHeight w:val="235"/>
        </w:trPr>
        <w:tc>
          <w:tcPr>
            <w:tcW w:w="116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 Operating</w:t>
            </w:r>
          </w:p>
        </w:tc>
        <w:tc>
          <w:tcPr>
            <w:tcW w:w="0" w:type="dxa"/>
            <w:vAlign w:val="bottom"/>
          </w:tcPr>
          <w:p>
            <w:pPr>
              <w:spacing w:after="0"/>
              <w:rPr>
                <w:sz w:val="1"/>
                <w:szCs w:val="1"/>
                <w:color w:val="auto"/>
              </w:rPr>
            </w:pPr>
          </w:p>
        </w:tc>
      </w:tr>
    </w:tbl>
    <w:p>
      <w:pPr>
        <w:ind w:left="420"/>
        <w:spacing w:after="0" w:line="238" w:lineRule="auto"/>
        <w:rPr>
          <w:sz w:val="20"/>
          <w:szCs w:val="20"/>
          <w:color w:val="auto"/>
        </w:rPr>
      </w:pPr>
      <w:r>
        <w:rPr>
          <w:rFonts w:ascii="Courier New" w:cs="Courier New" w:eastAsia="Courier New" w:hAnsi="Courier New"/>
          <w:sz w:val="18"/>
          <w:szCs w:val="18"/>
          <w:color w:val="auto"/>
        </w:rPr>
        <w:t>income.........................................</w:t>
      </w:r>
    </w:p>
    <w:p>
      <w:pPr>
        <w:ind w:left="320"/>
        <w:spacing w:after="0"/>
        <w:rPr>
          <w:sz w:val="20"/>
          <w:szCs w:val="20"/>
          <w:color w:val="auto"/>
        </w:rPr>
      </w:pPr>
      <w:r>
        <w:rPr>
          <w:rFonts w:ascii="Courier New" w:cs="Courier New" w:eastAsia="Courier New" w:hAnsi="Courier New"/>
          <w:sz w:val="18"/>
          <w:szCs w:val="18"/>
          <w:color w:val="auto"/>
        </w:rPr>
        <w:t>210,418 49,161 159,281 Interest income and other,</w:t>
      </w:r>
    </w:p>
    <w:tbl>
      <w:tblPr>
        <w:tblLayout w:type="fixed"/>
        <w:tblInd w:w="60" w:type="dxa"/>
        <w:tblCellMar>
          <w:top w:w="0" w:type="dxa"/>
          <w:left w:w="0" w:type="dxa"/>
          <w:bottom w:w="0" w:type="dxa"/>
          <w:right w:w="0" w:type="dxa"/>
        </w:tblCellMar>
      </w:tblPr>
      <w:tr>
        <w:trPr>
          <w:trHeight w:val="171"/>
        </w:trPr>
        <w:tc>
          <w:tcPr>
            <w:tcW w:w="2220" w:type="dxa"/>
            <w:vAlign w:val="bottom"/>
          </w:tcPr>
          <w:p>
            <w:pPr>
              <w:jc w:val="right"/>
              <w:spacing w:after="0" w:line="170" w:lineRule="exact"/>
              <w:rPr>
                <w:sz w:val="20"/>
                <w:szCs w:val="20"/>
                <w:color w:val="auto"/>
              </w:rPr>
            </w:pPr>
            <w:r>
              <w:rPr>
                <w:rFonts w:ascii="Courier New" w:cs="Courier New" w:eastAsia="Courier New" w:hAnsi="Courier New"/>
                <w:sz w:val="16"/>
                <w:szCs w:val="16"/>
                <w:color w:val="auto"/>
                <w:w w:val="76"/>
              </w:rPr>
              <w:t>net(*)........................</w:t>
            </w:r>
          </w:p>
        </w:tc>
        <w:tc>
          <w:tcPr>
            <w:tcW w:w="346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14,759 19,298 22,286 --</w:t>
            </w:r>
          </w:p>
        </w:tc>
        <w:tc>
          <w:tcPr>
            <w:tcW w:w="0" w:type="dxa"/>
            <w:vAlign w:val="bottom"/>
          </w:tcPr>
          <w:p>
            <w:pPr>
              <w:spacing w:after="0"/>
              <w:rPr>
                <w:sz w:val="1"/>
                <w:szCs w:val="1"/>
                <w:color w:val="auto"/>
              </w:rPr>
            </w:pPr>
          </w:p>
        </w:tc>
      </w:tr>
      <w:tr>
        <w:trPr>
          <w:trHeight w:val="203"/>
        </w:trPr>
        <w:tc>
          <w:tcPr>
            <w:tcW w:w="5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Income before income</w:t>
            </w:r>
          </w:p>
        </w:tc>
        <w:tc>
          <w:tcPr>
            <w:tcW w:w="0" w:type="dxa"/>
            <w:vAlign w:val="bottom"/>
          </w:tcPr>
          <w:p>
            <w:pPr>
              <w:spacing w:after="0"/>
              <w:rPr>
                <w:sz w:val="1"/>
                <w:szCs w:val="1"/>
                <w:color w:val="auto"/>
              </w:rPr>
            </w:pPr>
          </w:p>
        </w:tc>
      </w:tr>
      <w:tr>
        <w:trPr>
          <w:trHeight w:val="203"/>
        </w:trPr>
        <w:tc>
          <w:tcPr>
            <w:tcW w:w="2220" w:type="dxa"/>
            <w:vAlign w:val="bottom"/>
          </w:tcPr>
          <w:p>
            <w:pPr>
              <w:jc w:val="right"/>
              <w:spacing w:after="0"/>
              <w:rPr>
                <w:sz w:val="20"/>
                <w:szCs w:val="20"/>
                <w:color w:val="auto"/>
              </w:rPr>
            </w:pPr>
            <w:r>
              <w:rPr>
                <w:rFonts w:ascii="Courier New" w:cs="Courier New" w:eastAsia="Courier New" w:hAnsi="Courier New"/>
                <w:sz w:val="14"/>
                <w:szCs w:val="14"/>
                <w:color w:val="auto"/>
                <w:w w:val="72"/>
              </w:rPr>
              <w:t>taxes...............................</w:t>
            </w:r>
          </w:p>
        </w:tc>
        <w:tc>
          <w:tcPr>
            <w:tcW w:w="3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225,177 68,459</w:t>
            </w:r>
          </w:p>
        </w:tc>
        <w:tc>
          <w:tcPr>
            <w:tcW w:w="0" w:type="dxa"/>
            <w:vAlign w:val="bottom"/>
          </w:tcPr>
          <w:p>
            <w:pPr>
              <w:spacing w:after="0"/>
              <w:rPr>
                <w:sz w:val="1"/>
                <w:szCs w:val="1"/>
                <w:color w:val="auto"/>
              </w:rPr>
            </w:pPr>
          </w:p>
        </w:tc>
      </w:tr>
      <w:tr>
        <w:trPr>
          <w:trHeight w:val="203"/>
        </w:trPr>
        <w:tc>
          <w:tcPr>
            <w:tcW w:w="5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181,567 Income</w:t>
            </w:r>
          </w:p>
        </w:tc>
        <w:tc>
          <w:tcPr>
            <w:tcW w:w="0" w:type="dxa"/>
            <w:vAlign w:val="bottom"/>
          </w:tcPr>
          <w:p>
            <w:pPr>
              <w:spacing w:after="0"/>
              <w:rPr>
                <w:sz w:val="1"/>
                <w:szCs w:val="1"/>
                <w:color w:val="auto"/>
              </w:rPr>
            </w:pPr>
          </w:p>
        </w:tc>
      </w:tr>
      <w:tr>
        <w:trPr>
          <w:trHeight w:val="203"/>
        </w:trPr>
        <w:tc>
          <w:tcPr>
            <w:tcW w:w="2220" w:type="dxa"/>
            <w:vAlign w:val="bottom"/>
          </w:tcPr>
          <w:p>
            <w:pPr>
              <w:jc w:val="right"/>
              <w:spacing w:after="0"/>
              <w:rPr>
                <w:sz w:val="20"/>
                <w:szCs w:val="20"/>
                <w:color w:val="auto"/>
              </w:rPr>
            </w:pPr>
            <w:r>
              <w:rPr>
                <w:rFonts w:ascii="Courier New" w:cs="Courier New" w:eastAsia="Courier New" w:hAnsi="Courier New"/>
                <w:sz w:val="10"/>
                <w:szCs w:val="10"/>
                <w:color w:val="auto"/>
                <w:w w:val="73"/>
              </w:rPr>
              <w:t>taxes.............................................</w:t>
            </w:r>
          </w:p>
        </w:tc>
        <w:tc>
          <w:tcPr>
            <w:tcW w:w="3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9"/>
              </w:rPr>
              <w:t>---------- ---------- ----------</w:t>
            </w:r>
          </w:p>
        </w:tc>
        <w:tc>
          <w:tcPr>
            <w:tcW w:w="0" w:type="dxa"/>
            <w:vAlign w:val="bottom"/>
          </w:tcPr>
          <w:p>
            <w:pPr>
              <w:spacing w:after="0"/>
              <w:rPr>
                <w:sz w:val="1"/>
                <w:szCs w:val="1"/>
                <w:color w:val="auto"/>
              </w:rPr>
            </w:pP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56,294 73,520 115,181</w:t>
            </w:r>
          </w:p>
        </w:tc>
        <w:tc>
          <w:tcPr>
            <w:tcW w:w="3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2"/>
              </w:rPr>
              <w:t>(LOSS)........................................</w:t>
            </w:r>
          </w:p>
        </w:tc>
        <w:tc>
          <w:tcPr>
            <w:tcW w:w="3460" w:type="dxa"/>
            <w:vAlign w:val="bottom"/>
          </w:tcPr>
          <w:p>
            <w:pPr>
              <w:jc w:val="center"/>
              <w:ind w:right="2112"/>
              <w:spacing w:after="0" w:line="203" w:lineRule="exact"/>
              <w:rPr>
                <w:sz w:val="20"/>
                <w:szCs w:val="20"/>
                <w:color w:val="auto"/>
              </w:rPr>
            </w:pPr>
            <w:r>
              <w:rPr>
                <w:rFonts w:ascii="Courier New" w:cs="Courier New" w:eastAsia="Courier New" w:hAnsi="Courier New"/>
                <w:sz w:val="18"/>
                <w:szCs w:val="18"/>
                <w:color w:val="auto"/>
                <w:w w:val="98"/>
              </w:rPr>
              <w:t>NET INCOME</w:t>
            </w:r>
          </w:p>
        </w:tc>
        <w:tc>
          <w:tcPr>
            <w:tcW w:w="0" w:type="dxa"/>
            <w:vAlign w:val="bottom"/>
          </w:tcPr>
          <w:p>
            <w:pPr>
              <w:spacing w:after="0"/>
              <w:rPr>
                <w:sz w:val="1"/>
                <w:szCs w:val="1"/>
                <w:color w:val="auto"/>
              </w:rPr>
            </w:pPr>
          </w:p>
        </w:tc>
      </w:tr>
      <w:tr>
        <w:trPr>
          <w:trHeight w:val="203"/>
        </w:trPr>
        <w:tc>
          <w:tcPr>
            <w:tcW w:w="2220" w:type="dxa"/>
            <w:vAlign w:val="bottom"/>
            <w:vMerge w:val="continue"/>
          </w:tcPr>
          <w:p>
            <w:pPr>
              <w:spacing w:after="0"/>
              <w:rPr>
                <w:sz w:val="17"/>
                <w:szCs w:val="17"/>
                <w:color w:val="auto"/>
              </w:rPr>
            </w:pPr>
          </w:p>
        </w:tc>
        <w:tc>
          <w:tcPr>
            <w:tcW w:w="3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220" w:type="dxa"/>
            <w:vAlign w:val="bottom"/>
          </w:tcPr>
          <w:p>
            <w:pPr>
              <w:jc w:val="right"/>
              <w:ind w:right="42"/>
              <w:spacing w:after="0" w:line="203" w:lineRule="exact"/>
              <w:rPr>
                <w:sz w:val="20"/>
                <w:szCs w:val="20"/>
                <w:color w:val="auto"/>
              </w:rPr>
            </w:pPr>
            <w:r>
              <w:rPr>
                <w:rFonts w:ascii="Courier New" w:cs="Courier New" w:eastAsia="Courier New" w:hAnsi="Courier New"/>
                <w:sz w:val="18"/>
                <w:szCs w:val="18"/>
                <w:color w:val="auto"/>
              </w:rPr>
              <w:t>168,883 $ (5,061)</w:t>
            </w:r>
          </w:p>
        </w:tc>
        <w:tc>
          <w:tcPr>
            <w:tcW w:w="3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$ 66,386 ========== ==========</w:t>
            </w:r>
          </w:p>
        </w:tc>
        <w:tc>
          <w:tcPr>
            <w:tcW w:w="0" w:type="dxa"/>
            <w:vAlign w:val="bottom"/>
          </w:tcPr>
          <w:p>
            <w:pPr>
              <w:spacing w:after="0"/>
              <w:rPr>
                <w:sz w:val="1"/>
                <w:szCs w:val="1"/>
                <w:color w:val="auto"/>
              </w:rPr>
            </w:pPr>
          </w:p>
        </w:tc>
      </w:tr>
      <w:tr>
        <w:trPr>
          <w:trHeight w:val="203"/>
        </w:trPr>
        <w:tc>
          <w:tcPr>
            <w:tcW w:w="5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BASIC EARNINGS (LOSS) PER</w:t>
            </w:r>
          </w:p>
        </w:tc>
        <w:tc>
          <w:tcPr>
            <w:tcW w:w="0" w:type="dxa"/>
            <w:vAlign w:val="bottom"/>
          </w:tcPr>
          <w:p>
            <w:pPr>
              <w:spacing w:after="0"/>
              <w:rPr>
                <w:sz w:val="1"/>
                <w:szCs w:val="1"/>
                <w:color w:val="auto"/>
              </w:rPr>
            </w:pPr>
          </w:p>
        </w:tc>
      </w:tr>
      <w:tr>
        <w:trPr>
          <w:trHeight w:val="203"/>
        </w:trPr>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w w:val="73"/>
              </w:rPr>
              <w:t>SHARE..........................</w:t>
            </w:r>
          </w:p>
        </w:tc>
        <w:tc>
          <w:tcPr>
            <w:tcW w:w="3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$ 0.78 $ (0.02) $ 0.30</w:t>
            </w:r>
          </w:p>
        </w:tc>
        <w:tc>
          <w:tcPr>
            <w:tcW w:w="0" w:type="dxa"/>
            <w:vAlign w:val="bottom"/>
          </w:tcPr>
          <w:p>
            <w:pPr>
              <w:spacing w:after="0"/>
              <w:rPr>
                <w:sz w:val="1"/>
                <w:szCs w:val="1"/>
                <w:color w:val="auto"/>
              </w:rPr>
            </w:pPr>
          </w:p>
        </w:tc>
      </w:tr>
      <w:tr>
        <w:trPr>
          <w:trHeight w:val="203"/>
        </w:trPr>
        <w:tc>
          <w:tcPr>
            <w:tcW w:w="5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DILUTED EARNINGS</w:t>
            </w:r>
          </w:p>
        </w:tc>
        <w:tc>
          <w:tcPr>
            <w:tcW w:w="0" w:type="dxa"/>
            <w:vAlign w:val="bottom"/>
          </w:tcPr>
          <w:p>
            <w:pPr>
              <w:spacing w:after="0"/>
              <w:rPr>
                <w:sz w:val="1"/>
                <w:szCs w:val="1"/>
                <w:color w:val="auto"/>
              </w:rPr>
            </w:pPr>
          </w:p>
        </w:tc>
      </w:tr>
      <w:tr>
        <w:trPr>
          <w:trHeight w:val="235"/>
        </w:trPr>
        <w:tc>
          <w:tcPr>
            <w:tcW w:w="2220" w:type="dxa"/>
            <w:vAlign w:val="bottom"/>
          </w:tcPr>
          <w:p>
            <w:pPr>
              <w:jc w:val="right"/>
              <w:spacing w:after="0"/>
              <w:rPr>
                <w:sz w:val="20"/>
                <w:szCs w:val="20"/>
                <w:color w:val="auto"/>
              </w:rPr>
            </w:pPr>
            <w:r>
              <w:rPr>
                <w:rFonts w:ascii="Courier New" w:cs="Courier New" w:eastAsia="Courier New" w:hAnsi="Courier New"/>
                <w:sz w:val="13"/>
                <w:szCs w:val="13"/>
                <w:color w:val="auto"/>
                <w:w w:val="70"/>
              </w:rPr>
              <w:t>(LOSS) PER SHARE........................</w:t>
            </w:r>
          </w:p>
        </w:tc>
        <w:tc>
          <w:tcPr>
            <w:tcW w:w="34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$ 0.77 $</w:t>
            </w:r>
          </w:p>
        </w:tc>
        <w:tc>
          <w:tcPr>
            <w:tcW w:w="0" w:type="dxa"/>
            <w:vAlign w:val="bottom"/>
          </w:tcPr>
          <w:p>
            <w:pPr>
              <w:spacing w:after="0"/>
              <w:rPr>
                <w:sz w:val="1"/>
                <w:szCs w:val="1"/>
                <w:color w:val="auto"/>
              </w:rPr>
            </w:pPr>
          </w:p>
        </w:tc>
      </w:tr>
    </w:tbl>
    <w:p>
      <w:pPr>
        <w:jc w:val="both"/>
        <w:ind w:left="220" w:right="4579" w:hanging="51"/>
        <w:spacing w:after="0" w:line="268" w:lineRule="auto"/>
        <w:rPr>
          <w:sz w:val="20"/>
          <w:szCs w:val="20"/>
          <w:color w:val="auto"/>
        </w:rPr>
      </w:pPr>
      <w:r>
        <w:rPr>
          <w:rFonts w:ascii="Courier New" w:cs="Courier New" w:eastAsia="Courier New" w:hAnsi="Courier New"/>
          <w:sz w:val="16"/>
          <w:szCs w:val="16"/>
          <w:color w:val="auto"/>
        </w:rPr>
        <w:t>(0.02) $ 0.29 ========== ========== ========== BASIC WEIGHTED AVERAGE NUMBER OF SHARES OUTSTANDING......</w:t>
      </w:r>
    </w:p>
    <w:p>
      <w:pPr>
        <w:jc w:val="center"/>
        <w:ind w:right="4419"/>
        <w:spacing w:after="0"/>
        <w:rPr>
          <w:sz w:val="20"/>
          <w:szCs w:val="20"/>
          <w:color w:val="auto"/>
        </w:rPr>
      </w:pPr>
      <w:r>
        <w:rPr>
          <w:rFonts w:ascii="Courier New" w:cs="Courier New" w:eastAsia="Courier New" w:hAnsi="Courier New"/>
          <w:sz w:val="18"/>
          <w:szCs w:val="18"/>
          <w:color w:val="auto"/>
        </w:rPr>
        <w:t>215,849 220,361 222,002 ========== ==========</w:t>
      </w:r>
    </w:p>
    <w:p>
      <w:pPr>
        <w:jc w:val="center"/>
        <w:ind w:right="4419"/>
        <w:spacing w:after="0" w:line="238" w:lineRule="auto"/>
        <w:rPr>
          <w:sz w:val="20"/>
          <w:szCs w:val="20"/>
          <w:color w:val="auto"/>
        </w:rPr>
      </w:pPr>
      <w:r>
        <w:rPr>
          <w:rFonts w:ascii="Courier New" w:cs="Courier New" w:eastAsia="Courier New" w:hAnsi="Courier New"/>
          <w:sz w:val="18"/>
          <w:szCs w:val="18"/>
          <w:color w:val="auto"/>
        </w:rPr>
        <w:t>========== DILUTED WEIGHTED AVERAGE NUMBER OF SHARES</w:t>
      </w:r>
    </w:p>
    <w:p>
      <w:pPr>
        <w:jc w:val="center"/>
        <w:ind w:right="4419"/>
        <w:spacing w:after="0"/>
        <w:rPr>
          <w:sz w:val="20"/>
          <w:szCs w:val="20"/>
          <w:color w:val="auto"/>
        </w:rPr>
      </w:pPr>
      <w:r>
        <w:rPr>
          <w:rFonts w:ascii="Courier New" w:cs="Courier New" w:eastAsia="Courier New" w:hAnsi="Courier New"/>
          <w:sz w:val="18"/>
          <w:szCs w:val="18"/>
          <w:color w:val="auto"/>
        </w:rPr>
        <w:t>OUTSTANDING.... 219,876 220,361 226,832 ==========</w:t>
      </w:r>
    </w:p>
    <w:p>
      <w:pPr>
        <w:jc w:val="center"/>
        <w:ind w:right="4419"/>
        <w:spacing w:after="0"/>
        <w:rPr>
          <w:sz w:val="20"/>
          <w:szCs w:val="20"/>
          <w:color w:val="auto"/>
        </w:rPr>
      </w:pPr>
      <w:r>
        <w:rPr>
          <w:rFonts w:ascii="Courier New" w:cs="Courier New" w:eastAsia="Courier New" w:hAnsi="Courier New"/>
          <w:sz w:val="18"/>
          <w:szCs w:val="18"/>
          <w:color w:val="auto"/>
        </w:rPr>
        <w:t>========== ==========</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Note 4.</w:t>
      </w:r>
    </w:p>
    <w:p>
      <w:pPr>
        <w:spacing w:after="0" w:line="201" w:lineRule="exact"/>
        <w:rPr>
          <w:sz w:val="20"/>
          <w:szCs w:val="20"/>
          <w:color w:val="auto"/>
        </w:rPr>
      </w:pPr>
    </w:p>
    <w:p>
      <w:pPr>
        <w:ind w:left="3580" w:right="1779" w:hanging="3054"/>
        <w:spacing w:after="0" w:line="347"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219"/>
          </w:cols>
          <w:pgMar w:left="240" w:top="691" w:right="1440" w:bottom="1440" w:gutter="0" w:footer="0" w:header="0"/>
        </w:sectPr>
      </w:pPr>
    </w:p>
    <w:bookmarkStart w:id="75" w:name="page76"/>
    <w:bookmarkEnd w:id="75"/>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CONSOLIDATED STATEMENTS OF CHANGES IN SHAREHOLDERS' EQUITY</w:t>
      </w:r>
    </w:p>
    <w:p>
      <w:pPr>
        <w:spacing w:after="0" w:line="5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169"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ACCUMULATED ORDINARY</w:t>
      </w:r>
    </w:p>
    <w:p>
      <w:pPr>
        <w:spacing w:after="0" w:line="29"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SHARES ADDITIONAL OTHER</w:t>
      </w:r>
    </w:p>
    <w:p>
      <w:pPr>
        <w:ind w:left="120"/>
        <w:spacing w:after="0" w:line="238" w:lineRule="auto"/>
        <w:rPr>
          <w:sz w:val="20"/>
          <w:szCs w:val="20"/>
          <w:color w:val="auto"/>
        </w:rPr>
      </w:pPr>
      <w:r>
        <w:rPr>
          <w:rFonts w:ascii="Courier New" w:cs="Courier New" w:eastAsia="Courier New" w:hAnsi="Courier New"/>
          <w:sz w:val="18"/>
          <w:szCs w:val="18"/>
          <w:color w:val="auto"/>
        </w:rPr>
        <w:t>TOTAL ----------------</w:t>
      </w:r>
    </w:p>
    <w:p>
      <w:pPr>
        <w:jc w:val="center"/>
        <w:ind w:right="7679"/>
        <w:spacing w:after="0"/>
        <w:rPr>
          <w:sz w:val="20"/>
          <w:szCs w:val="20"/>
          <w:color w:val="auto"/>
        </w:rPr>
      </w:pPr>
      <w:r>
        <w:rPr>
          <w:rFonts w:ascii="Courier New" w:cs="Courier New" w:eastAsia="Courier New" w:hAnsi="Courier New"/>
          <w:sz w:val="18"/>
          <w:szCs w:val="18"/>
          <w:color w:val="auto"/>
        </w:rPr>
        <w:t>PAID-IN TREASURY</w:t>
      </w:r>
    </w:p>
    <w:p>
      <w:pPr>
        <w:jc w:val="center"/>
        <w:ind w:right="7679"/>
        <w:spacing w:after="0" w:line="238" w:lineRule="auto"/>
        <w:rPr>
          <w:sz w:val="20"/>
          <w:szCs w:val="20"/>
          <w:color w:val="auto"/>
        </w:rPr>
      </w:pPr>
      <w:r>
        <w:rPr>
          <w:rFonts w:ascii="Courier New" w:cs="Courier New" w:eastAsia="Courier New" w:hAnsi="Courier New"/>
          <w:sz w:val="18"/>
          <w:szCs w:val="18"/>
          <w:color w:val="auto"/>
        </w:rPr>
        <w:t>COMPREHENSIVE UNEARNED</w:t>
      </w:r>
    </w:p>
    <w:p>
      <w:pPr>
        <w:jc w:val="center"/>
        <w:ind w:right="7679"/>
        <w:spacing w:after="0"/>
        <w:rPr>
          <w:sz w:val="20"/>
          <w:szCs w:val="20"/>
          <w:color w:val="auto"/>
        </w:rPr>
      </w:pPr>
      <w:r>
        <w:rPr>
          <w:rFonts w:ascii="Courier New" w:cs="Courier New" w:eastAsia="Courier New" w:hAnsi="Courier New"/>
          <w:sz w:val="18"/>
          <w:szCs w:val="18"/>
          <w:color w:val="auto"/>
        </w:rPr>
        <w:t>ACCUMULATED</w:t>
      </w:r>
    </w:p>
    <w:p>
      <w:pPr>
        <w:jc w:val="center"/>
        <w:ind w:right="7679"/>
        <w:spacing w:after="0" w:line="238" w:lineRule="auto"/>
        <w:rPr>
          <w:sz w:val="20"/>
          <w:szCs w:val="20"/>
          <w:color w:val="auto"/>
        </w:rPr>
      </w:pPr>
      <w:r>
        <w:rPr>
          <w:rFonts w:ascii="Courier New" w:cs="Courier New" w:eastAsia="Courier New" w:hAnsi="Courier New"/>
          <w:sz w:val="18"/>
          <w:szCs w:val="18"/>
          <w:color w:val="auto"/>
        </w:rPr>
        <w:t>SHAREHOLDERS' SHARES</w:t>
      </w:r>
    </w:p>
    <w:p>
      <w:pPr>
        <w:jc w:val="center"/>
        <w:ind w:right="7679"/>
        <w:spacing w:after="0"/>
        <w:rPr>
          <w:sz w:val="20"/>
          <w:szCs w:val="20"/>
          <w:color w:val="auto"/>
        </w:rPr>
      </w:pPr>
      <w:r>
        <w:rPr>
          <w:rFonts w:ascii="Courier New" w:cs="Courier New" w:eastAsia="Courier New" w:hAnsi="Courier New"/>
          <w:sz w:val="18"/>
          <w:szCs w:val="18"/>
          <w:color w:val="auto"/>
        </w:rPr>
        <w:t>AMOUNT CAPITAL STOCK</w:t>
      </w:r>
    </w:p>
    <w:p>
      <w:pPr>
        <w:jc w:val="center"/>
        <w:ind w:right="7679"/>
        <w:spacing w:after="0" w:line="238" w:lineRule="auto"/>
        <w:rPr>
          <w:sz w:val="20"/>
          <w:szCs w:val="20"/>
          <w:color w:val="auto"/>
        </w:rPr>
      </w:pPr>
      <w:r>
        <w:rPr>
          <w:rFonts w:ascii="Courier New" w:cs="Courier New" w:eastAsia="Courier New" w:hAnsi="Courier New"/>
          <w:sz w:val="18"/>
          <w:szCs w:val="18"/>
          <w:color w:val="auto"/>
        </w:rPr>
        <w:t>INCOME (LOSS)</w:t>
      </w:r>
    </w:p>
    <w:p>
      <w:pPr>
        <w:jc w:val="center"/>
        <w:ind w:right="7679"/>
        <w:spacing w:after="0"/>
        <w:rPr>
          <w:sz w:val="20"/>
          <w:szCs w:val="20"/>
          <w:color w:val="auto"/>
        </w:rPr>
      </w:pPr>
      <w:r>
        <w:rPr>
          <w:rFonts w:ascii="Courier New" w:cs="Courier New" w:eastAsia="Courier New" w:hAnsi="Courier New"/>
          <w:sz w:val="18"/>
          <w:szCs w:val="18"/>
          <w:color w:val="auto"/>
        </w:rPr>
        <w:t>COMPENSATION DEFICIT</w:t>
      </w:r>
    </w:p>
    <w:p>
      <w:pPr>
        <w:ind w:left="60"/>
        <w:spacing w:after="0" w:line="238" w:lineRule="auto"/>
        <w:rPr>
          <w:sz w:val="20"/>
          <w:szCs w:val="20"/>
          <w:color w:val="auto"/>
        </w:rPr>
      </w:pPr>
      <w:r>
        <w:rPr>
          <w:rFonts w:ascii="Courier New" w:cs="Courier New" w:eastAsia="Courier New" w:hAnsi="Courier New"/>
          <w:sz w:val="18"/>
          <w:szCs w:val="18"/>
          <w:color w:val="auto"/>
        </w:rPr>
        <w:t>EQUITY ------- ------ -</w:t>
      </w:r>
    </w:p>
    <w:p>
      <w:pPr>
        <w:ind w:left="60"/>
        <w:spacing w:after="0"/>
        <w:rPr>
          <w:sz w:val="20"/>
          <w:szCs w:val="20"/>
          <w:color w:val="auto"/>
        </w:rPr>
      </w:pPr>
      <w:r>
        <w:rPr>
          <w:rFonts w:ascii="Courier New" w:cs="Courier New" w:eastAsia="Courier New" w:hAnsi="Courier New"/>
          <w:sz w:val="18"/>
          <w:szCs w:val="18"/>
          <w:color w:val="auto"/>
        </w:rPr>
        <w:t>--------- ---------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740" w:right="8099" w:hanging="312"/>
        <w:spacing w:after="0" w:line="268" w:lineRule="auto"/>
        <w:tabs>
          <w:tab w:leader="none" w:pos="74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BALANCE AS OF OCTOBER 1,</w:t>
      </w:r>
    </w:p>
    <w:p>
      <w:pPr>
        <w:spacing w:after="0"/>
        <w:rPr>
          <w:sz w:val="20"/>
          <w:szCs w:val="20"/>
          <w:color w:val="auto"/>
        </w:rPr>
      </w:pPr>
      <w:r>
        <w:rPr>
          <w:rFonts w:ascii="Courier New" w:cs="Courier New" w:eastAsia="Courier New" w:hAnsi="Courier New"/>
          <w:sz w:val="18"/>
          <w:szCs w:val="18"/>
          <w:color w:val="auto"/>
        </w:rPr>
        <w:t>2000....................</w:t>
      </w:r>
    </w:p>
    <w:p>
      <w:pPr>
        <w:jc w:val="center"/>
        <w:ind w:right="7679"/>
        <w:spacing w:after="0" w:line="238" w:lineRule="auto"/>
        <w:rPr>
          <w:sz w:val="20"/>
          <w:szCs w:val="20"/>
          <w:color w:val="auto"/>
        </w:rPr>
      </w:pPr>
      <w:r>
        <w:rPr>
          <w:rFonts w:ascii="Courier New" w:cs="Courier New" w:eastAsia="Courier New" w:hAnsi="Courier New"/>
          <w:sz w:val="18"/>
          <w:szCs w:val="18"/>
          <w:color w:val="auto"/>
        </w:rPr>
        <w:t>221,165 $3,539</w:t>
      </w:r>
    </w:p>
    <w:p>
      <w:pPr>
        <w:jc w:val="center"/>
        <w:ind w:right="7679"/>
        <w:spacing w:after="0"/>
        <w:rPr>
          <w:sz w:val="20"/>
          <w:szCs w:val="20"/>
          <w:color w:val="auto"/>
        </w:rPr>
      </w:pPr>
      <w:r>
        <w:rPr>
          <w:rFonts w:ascii="Courier New" w:cs="Courier New" w:eastAsia="Courier New" w:hAnsi="Courier New"/>
          <w:sz w:val="18"/>
          <w:szCs w:val="18"/>
          <w:color w:val="auto"/>
        </w:rPr>
        <w:t>$1,784,816 $ -- $ 1,159</w:t>
      </w:r>
    </w:p>
    <w:p>
      <w:pPr>
        <w:jc w:val="center"/>
        <w:ind w:right="7679"/>
        <w:spacing w:after="0" w:line="238" w:lineRule="auto"/>
        <w:rPr>
          <w:sz w:val="20"/>
          <w:szCs w:val="20"/>
          <w:color w:val="auto"/>
        </w:rPr>
      </w:pPr>
      <w:r>
        <w:rPr>
          <w:rFonts w:ascii="Courier New" w:cs="Courier New" w:eastAsia="Courier New" w:hAnsi="Courier New"/>
          <w:sz w:val="18"/>
          <w:szCs w:val="18"/>
          <w:color w:val="auto"/>
        </w:rPr>
        <w:t>$(1,164) $(357,578)</w:t>
      </w:r>
    </w:p>
    <w:p>
      <w:pPr>
        <w:jc w:val="center"/>
        <w:ind w:right="7679"/>
        <w:spacing w:after="0"/>
        <w:rPr>
          <w:sz w:val="20"/>
          <w:szCs w:val="20"/>
          <w:color w:val="auto"/>
        </w:rPr>
      </w:pPr>
      <w:r>
        <w:rPr>
          <w:rFonts w:ascii="Courier New" w:cs="Courier New" w:eastAsia="Courier New" w:hAnsi="Courier New"/>
          <w:sz w:val="18"/>
          <w:szCs w:val="18"/>
          <w:color w:val="auto"/>
        </w:rPr>
        <w:t>$1,430,772</w:t>
      </w:r>
    </w:p>
    <w:p>
      <w:pPr>
        <w:jc w:val="center"/>
        <w:ind w:right="7679"/>
        <w:spacing w:after="0" w:line="238" w:lineRule="auto"/>
        <w:rPr>
          <w:sz w:val="20"/>
          <w:szCs w:val="20"/>
          <w:color w:val="auto"/>
        </w:rPr>
      </w:pPr>
      <w:r>
        <w:rPr>
          <w:rFonts w:ascii="Courier New" w:cs="Courier New" w:eastAsia="Courier New" w:hAnsi="Courier New"/>
          <w:sz w:val="18"/>
          <w:szCs w:val="18"/>
          <w:color w:val="auto"/>
        </w:rPr>
        <w:t>Comprehensive income:</w:t>
      </w:r>
    </w:p>
    <w:p>
      <w:pPr>
        <w:jc w:val="center"/>
        <w:ind w:right="7679"/>
        <w:spacing w:after="0"/>
        <w:rPr>
          <w:sz w:val="20"/>
          <w:szCs w:val="20"/>
          <w:color w:val="auto"/>
        </w:rPr>
      </w:pPr>
      <w:r>
        <w:rPr>
          <w:rFonts w:ascii="Courier New" w:cs="Courier New" w:eastAsia="Courier New" w:hAnsi="Courier New"/>
          <w:sz w:val="18"/>
          <w:szCs w:val="18"/>
          <w:color w:val="auto"/>
        </w:rPr>
        <w:t>Net</w:t>
      </w:r>
    </w:p>
    <w:p>
      <w:pPr>
        <w:ind w:left="60"/>
        <w:spacing w:after="0" w:line="238" w:lineRule="auto"/>
        <w:rPr>
          <w:sz w:val="20"/>
          <w:szCs w:val="20"/>
          <w:color w:val="auto"/>
        </w:rPr>
      </w:pPr>
      <w:r>
        <w:rPr>
          <w:rFonts w:ascii="Courier New" w:cs="Courier New" w:eastAsia="Courier New" w:hAnsi="Courier New"/>
          <w:sz w:val="18"/>
          <w:szCs w:val="18"/>
          <w:color w:val="auto"/>
        </w:rPr>
        <w:t>income.............. --</w:t>
      </w:r>
    </w:p>
    <w:p>
      <w:pPr>
        <w:ind w:left="280" w:right="7839" w:hanging="115"/>
        <w:spacing w:after="0" w:line="268" w:lineRule="auto"/>
        <w:tabs>
          <w:tab w:leader="none" w:pos="49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-- 66,386 66,386 Decrease in unrealized gain on derivatives, net of</w:t>
      </w:r>
    </w:p>
    <w:p>
      <w:pPr>
        <w:ind w:left="60"/>
        <w:spacing w:after="0"/>
        <w:rPr>
          <w:sz w:val="20"/>
          <w:szCs w:val="20"/>
          <w:color w:val="auto"/>
        </w:rPr>
      </w:pPr>
      <w:r>
        <w:rPr>
          <w:rFonts w:ascii="Courier New" w:cs="Courier New" w:eastAsia="Courier New" w:hAnsi="Courier New"/>
          <w:sz w:val="18"/>
          <w:szCs w:val="18"/>
          <w:color w:val="auto"/>
        </w:rPr>
        <w:t>$(3,891) tax... -- -- -</w:t>
      </w:r>
    </w:p>
    <w:p>
      <w:pPr>
        <w:ind w:left="540" w:hanging="217"/>
        <w:spacing w:after="0" w:line="238" w:lineRule="auto"/>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(9,078) --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(9,078) Increase in</w:t>
      </w:r>
    </w:p>
    <w:p>
      <w:pPr>
        <w:jc w:val="center"/>
        <w:ind w:right="7679"/>
        <w:spacing w:after="0"/>
        <w:rPr>
          <w:sz w:val="20"/>
          <w:szCs w:val="20"/>
          <w:color w:val="auto"/>
        </w:rPr>
      </w:pPr>
      <w:r>
        <w:rPr>
          <w:rFonts w:ascii="Courier New" w:cs="Courier New" w:eastAsia="Courier New" w:hAnsi="Courier New"/>
          <w:sz w:val="18"/>
          <w:szCs w:val="18"/>
          <w:color w:val="auto"/>
        </w:rPr>
        <w:t>unrealized gain on cash</w:t>
      </w:r>
    </w:p>
    <w:p>
      <w:pPr>
        <w:jc w:val="center"/>
        <w:ind w:right="7679"/>
        <w:spacing w:after="0" w:line="238" w:lineRule="auto"/>
        <w:rPr>
          <w:sz w:val="20"/>
          <w:szCs w:val="20"/>
          <w:color w:val="auto"/>
        </w:rPr>
      </w:pPr>
      <w:r>
        <w:rPr>
          <w:rFonts w:ascii="Courier New" w:cs="Courier New" w:eastAsia="Courier New" w:hAnsi="Courier New"/>
          <w:sz w:val="18"/>
          <w:szCs w:val="18"/>
          <w:color w:val="auto"/>
        </w:rPr>
        <w:t>equivalents and short-</w:t>
      </w:r>
    </w:p>
    <w:p>
      <w:pPr>
        <w:jc w:val="center"/>
        <w:ind w:right="7679"/>
        <w:spacing w:after="0"/>
        <w:rPr>
          <w:sz w:val="20"/>
          <w:szCs w:val="20"/>
          <w:color w:val="auto"/>
        </w:rPr>
      </w:pPr>
      <w:r>
        <w:rPr>
          <w:rFonts w:ascii="Courier New" w:cs="Courier New" w:eastAsia="Courier New" w:hAnsi="Courier New"/>
          <w:sz w:val="18"/>
          <w:szCs w:val="18"/>
          <w:color w:val="auto"/>
        </w:rPr>
        <w:t>term interest- bearing</w:t>
      </w:r>
    </w:p>
    <w:p>
      <w:pPr>
        <w:jc w:val="center"/>
        <w:ind w:right="7679"/>
        <w:spacing w:after="0" w:line="238" w:lineRule="auto"/>
        <w:rPr>
          <w:sz w:val="20"/>
          <w:szCs w:val="20"/>
          <w:color w:val="auto"/>
        </w:rPr>
      </w:pPr>
      <w:r>
        <w:rPr>
          <w:rFonts w:ascii="Courier New" w:cs="Courier New" w:eastAsia="Courier New" w:hAnsi="Courier New"/>
          <w:sz w:val="18"/>
          <w:szCs w:val="18"/>
          <w:color w:val="auto"/>
        </w:rPr>
        <w:t>investments, net of</w:t>
      </w:r>
    </w:p>
    <w:p>
      <w:pPr>
        <w:jc w:val="center"/>
        <w:ind w:right="7679"/>
        <w:spacing w:after="0"/>
        <w:rPr>
          <w:sz w:val="20"/>
          <w:szCs w:val="20"/>
          <w:color w:val="auto"/>
        </w:rPr>
      </w:pPr>
      <w:r>
        <w:rPr>
          <w:rFonts w:ascii="Courier New" w:cs="Courier New" w:eastAsia="Courier New" w:hAnsi="Courier New"/>
          <w:sz w:val="18"/>
          <w:szCs w:val="18"/>
          <w:color w:val="auto"/>
        </w:rPr>
        <w:t>$659 tax....... -- -- -</w:t>
      </w:r>
    </w:p>
    <w:p>
      <w:pPr>
        <w:jc w:val="center"/>
        <w:ind w:right="7679"/>
        <w:spacing w:after="0" w:line="238" w:lineRule="auto"/>
        <w:rPr>
          <w:sz w:val="20"/>
          <w:szCs w:val="20"/>
          <w:color w:val="auto"/>
        </w:rPr>
      </w:pPr>
      <w:r>
        <w:rPr>
          <w:rFonts w:ascii="Courier New" w:cs="Courier New" w:eastAsia="Courier New" w:hAnsi="Courier New"/>
          <w:sz w:val="18"/>
          <w:szCs w:val="18"/>
          <w:color w:val="auto"/>
        </w:rPr>
        <w:t>- -- 1,537 -- -- 1,537</w:t>
      </w:r>
    </w:p>
    <w:p>
      <w:pPr>
        <w:ind w:left="740"/>
        <w:spacing w:after="0"/>
        <w:rPr>
          <w:sz w:val="20"/>
          <w:szCs w:val="20"/>
          <w:color w:val="auto"/>
        </w:rPr>
      </w:pPr>
      <w:r>
        <w:rPr>
          <w:rFonts w:ascii="Courier New" w:cs="Courier New" w:eastAsia="Courier New" w:hAnsi="Courier New"/>
          <w:sz w:val="18"/>
          <w:szCs w:val="18"/>
          <w:color w:val="auto"/>
        </w:rPr>
        <w:t>----------</w:t>
      </w:r>
    </w:p>
    <w:p>
      <w:pPr>
        <w:jc w:val="center"/>
        <w:ind w:right="7679"/>
        <w:spacing w:after="0" w:line="238" w:lineRule="auto"/>
        <w:rPr>
          <w:sz w:val="20"/>
          <w:szCs w:val="20"/>
          <w:color w:val="auto"/>
        </w:rPr>
      </w:pPr>
      <w:r>
        <w:rPr>
          <w:rFonts w:ascii="Courier New" w:cs="Courier New" w:eastAsia="Courier New" w:hAnsi="Courier New"/>
          <w:sz w:val="18"/>
          <w:szCs w:val="18"/>
          <w:color w:val="auto"/>
        </w:rPr>
        <w:t>Comprehensive</w:t>
      </w:r>
    </w:p>
    <w:p>
      <w:pPr>
        <w:ind w:left="60"/>
        <w:spacing w:after="0"/>
        <w:rPr>
          <w:sz w:val="20"/>
          <w:szCs w:val="20"/>
          <w:color w:val="auto"/>
        </w:rPr>
      </w:pPr>
      <w:r>
        <w:rPr>
          <w:rFonts w:ascii="Courier New" w:cs="Courier New" w:eastAsia="Courier New" w:hAnsi="Courier New"/>
          <w:sz w:val="18"/>
          <w:szCs w:val="18"/>
          <w:color w:val="auto"/>
        </w:rPr>
        <w:t>income.... 58,845 -----</w:t>
      </w:r>
    </w:p>
    <w:p>
      <w:pPr>
        <w:ind w:left="220"/>
        <w:spacing w:after="0" w:line="238" w:lineRule="auto"/>
        <w:rPr>
          <w:sz w:val="20"/>
          <w:szCs w:val="20"/>
          <w:color w:val="auto"/>
        </w:rPr>
      </w:pPr>
      <w:r>
        <w:rPr>
          <w:rFonts w:ascii="Courier New" w:cs="Courier New" w:eastAsia="Courier New" w:hAnsi="Courier New"/>
          <w:sz w:val="18"/>
          <w:szCs w:val="18"/>
          <w:color w:val="auto"/>
        </w:rPr>
        <w:t>----- Employee stock</w:t>
      </w:r>
    </w:p>
    <w:p>
      <w:pPr>
        <w:jc w:val="center"/>
        <w:ind w:right="7679"/>
        <w:spacing w:after="0"/>
        <w:rPr>
          <w:sz w:val="20"/>
          <w:szCs w:val="20"/>
          <w:color w:val="auto"/>
        </w:rPr>
      </w:pPr>
      <w:r>
        <w:rPr>
          <w:rFonts w:ascii="Courier New" w:cs="Courier New" w:eastAsia="Courier New" w:hAnsi="Courier New"/>
          <w:sz w:val="18"/>
          <w:szCs w:val="18"/>
          <w:color w:val="auto"/>
        </w:rPr>
        <w:t>options</w:t>
      </w:r>
    </w:p>
    <w:p>
      <w:pPr>
        <w:spacing w:after="0" w:line="238" w:lineRule="auto"/>
        <w:rPr>
          <w:sz w:val="20"/>
          <w:szCs w:val="20"/>
          <w:color w:val="auto"/>
        </w:rPr>
      </w:pPr>
      <w:r>
        <w:rPr>
          <w:rFonts w:ascii="Courier New" w:cs="Courier New" w:eastAsia="Courier New" w:hAnsi="Courier New"/>
          <w:sz w:val="18"/>
          <w:szCs w:val="18"/>
          <w:color w:val="auto"/>
        </w:rPr>
        <w:t>exercised...............</w:t>
      </w:r>
    </w:p>
    <w:p>
      <w:pPr>
        <w:ind w:left="60"/>
        <w:spacing w:after="0"/>
        <w:rPr>
          <w:sz w:val="20"/>
          <w:szCs w:val="20"/>
          <w:color w:val="auto"/>
        </w:rPr>
      </w:pPr>
      <w:r>
        <w:rPr>
          <w:rFonts w:ascii="Courier New" w:cs="Courier New" w:eastAsia="Courier New" w:hAnsi="Courier New"/>
          <w:sz w:val="18"/>
          <w:szCs w:val="18"/>
          <w:color w:val="auto"/>
        </w:rPr>
        <w:t>1,463 21 13,946 -- -- -</w:t>
      </w:r>
    </w:p>
    <w:p>
      <w:pPr>
        <w:ind w:left="420" w:right="7739" w:hanging="361"/>
        <w:spacing w:after="0" w:line="268" w:lineRule="auto"/>
        <w:tabs>
          <w:tab w:leader="none" w:pos="262"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-- 13,967 Tax benefit of stock options</w:t>
      </w:r>
    </w:p>
    <w:p>
      <w:pPr>
        <w:ind w:left="120"/>
        <w:spacing w:after="0"/>
        <w:rPr>
          <w:sz w:val="20"/>
          <w:szCs w:val="20"/>
          <w:color w:val="auto"/>
        </w:rPr>
      </w:pPr>
      <w:r>
        <w:rPr>
          <w:rFonts w:ascii="Courier New" w:cs="Courier New" w:eastAsia="Courier New" w:hAnsi="Courier New"/>
          <w:sz w:val="18"/>
          <w:szCs w:val="18"/>
          <w:color w:val="auto"/>
        </w:rPr>
        <w:t>exercised....... -- --</w:t>
      </w:r>
    </w:p>
    <w:p>
      <w:pPr>
        <w:jc w:val="center"/>
        <w:ind w:right="7679"/>
        <w:spacing w:after="0" w:line="238" w:lineRule="auto"/>
        <w:rPr>
          <w:sz w:val="20"/>
          <w:szCs w:val="20"/>
          <w:color w:val="auto"/>
        </w:rPr>
      </w:pPr>
      <w:r>
        <w:rPr>
          <w:rFonts w:ascii="Courier New" w:cs="Courier New" w:eastAsia="Courier New" w:hAnsi="Courier New"/>
          <w:sz w:val="18"/>
          <w:szCs w:val="18"/>
          <w:color w:val="auto"/>
        </w:rPr>
        <w:t>7,345 -- -- -- -- 7,345</w:t>
      </w:r>
    </w:p>
    <w:p>
      <w:pPr>
        <w:jc w:val="center"/>
        <w:ind w:right="7679"/>
        <w:spacing w:after="0"/>
        <w:rPr>
          <w:sz w:val="20"/>
          <w:szCs w:val="20"/>
          <w:color w:val="auto"/>
        </w:rPr>
      </w:pPr>
      <w:r>
        <w:rPr>
          <w:rFonts w:ascii="Courier New" w:cs="Courier New" w:eastAsia="Courier New" w:hAnsi="Courier New"/>
          <w:sz w:val="18"/>
          <w:szCs w:val="18"/>
          <w:color w:val="auto"/>
        </w:rPr>
        <w:t>Stock options</w:t>
      </w:r>
    </w:p>
    <w:p>
      <w:pPr>
        <w:ind w:left="60"/>
        <w:spacing w:after="0" w:line="238" w:lineRule="auto"/>
        <w:rPr>
          <w:sz w:val="20"/>
          <w:szCs w:val="20"/>
          <w:color w:val="auto"/>
        </w:rPr>
      </w:pPr>
      <w:r>
        <w:rPr>
          <w:rFonts w:ascii="Courier New" w:cs="Courier New" w:eastAsia="Courier New" w:hAnsi="Courier New"/>
          <w:sz w:val="18"/>
          <w:szCs w:val="18"/>
          <w:color w:val="auto"/>
        </w:rPr>
        <w:t>granted.... -- -- 183 -</w:t>
      </w:r>
    </w:p>
    <w:p>
      <w:pPr>
        <w:jc w:val="both"/>
        <w:ind w:left="480" w:right="8159" w:firstLine="54"/>
        <w:spacing w:after="0" w:line="268" w:lineRule="auto"/>
        <w:tabs>
          <w:tab w:leader="none" w:pos="744"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-- 183 Amortization of</w:t>
      </w:r>
    </w:p>
    <w:p>
      <w:pPr>
        <w:ind w:left="8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unearned</w:t>
      </w:r>
    </w:p>
    <w:p>
      <w:pPr>
        <w:spacing w:after="0"/>
        <w:rPr>
          <w:sz w:val="20"/>
          <w:szCs w:val="20"/>
          <w:color w:val="auto"/>
        </w:rPr>
      </w:pPr>
      <w:r>
        <w:rPr>
          <w:rFonts w:ascii="Courier New" w:cs="Courier New" w:eastAsia="Courier New" w:hAnsi="Courier New"/>
          <w:sz w:val="18"/>
          <w:szCs w:val="18"/>
          <w:color w:val="auto"/>
        </w:rPr>
        <w:t>compensation............</w:t>
      </w:r>
    </w:p>
    <w:p>
      <w:pPr>
        <w:jc w:val="center"/>
        <w:ind w:right="7679"/>
        <w:spacing w:after="0" w:line="238" w:lineRule="auto"/>
        <w:rPr>
          <w:sz w:val="20"/>
          <w:szCs w:val="20"/>
          <w:color w:val="auto"/>
        </w:rPr>
      </w:pPr>
      <w:r>
        <w:rPr>
          <w:rFonts w:ascii="Courier New" w:cs="Courier New" w:eastAsia="Courier New" w:hAnsi="Courier New"/>
          <w:sz w:val="18"/>
          <w:szCs w:val="18"/>
          <w:color w:val="auto"/>
        </w:rPr>
        <w:t>-- -- -- -- -- 979 --</w:t>
      </w:r>
    </w:p>
    <w:p>
      <w:pPr>
        <w:jc w:val="center"/>
        <w:ind w:right="7679"/>
        <w:spacing w:after="0"/>
        <w:rPr>
          <w:sz w:val="20"/>
          <w:szCs w:val="20"/>
          <w:color w:val="auto"/>
        </w:rPr>
      </w:pPr>
      <w:r>
        <w:rPr>
          <w:rFonts w:ascii="Courier New" w:cs="Courier New" w:eastAsia="Courier New" w:hAnsi="Courier New"/>
          <w:sz w:val="18"/>
          <w:szCs w:val="18"/>
          <w:color w:val="auto"/>
        </w:rPr>
        <w:t>979 ------- ------ ----</w:t>
      </w:r>
    </w:p>
    <w:p>
      <w:pPr>
        <w:jc w:val="center"/>
        <w:ind w:right="7679"/>
        <w:spacing w:after="0" w:line="238" w:lineRule="auto"/>
        <w:rPr>
          <w:sz w:val="20"/>
          <w:szCs w:val="20"/>
          <w:color w:val="auto"/>
        </w:rPr>
      </w:pPr>
      <w:r>
        <w:rPr>
          <w:rFonts w:ascii="Courier New" w:cs="Courier New" w:eastAsia="Courier New" w:hAnsi="Courier New"/>
          <w:sz w:val="18"/>
          <w:szCs w:val="18"/>
          <w:color w:val="auto"/>
        </w:rPr>
        <w:t>------ --------- ------</w:t>
      </w:r>
    </w:p>
    <w:p>
      <w:pPr>
        <w:ind w:left="280" w:hanging="221"/>
        <w:spacing w:after="0"/>
        <w:tabs>
          <w:tab w:leader="none" w:pos="28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BALANCE AS OF</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840" w:type="dxa"/>
            <w:vAlign w:val="bottom"/>
          </w:tcPr>
          <w:p>
            <w:pPr>
              <w:jc w:val="right"/>
              <w:spacing w:after="0"/>
              <w:rPr>
                <w:sz w:val="20"/>
                <w:szCs w:val="20"/>
                <w:color w:val="auto"/>
              </w:rPr>
            </w:pPr>
            <w:r>
              <w:rPr>
                <w:rFonts w:ascii="Courier New" w:cs="Courier New" w:eastAsia="Courier New" w:hAnsi="Courier New"/>
                <w:sz w:val="9"/>
                <w:szCs w:val="9"/>
                <w:color w:val="auto"/>
                <w:w w:val="75"/>
              </w:rPr>
              <w:t>2001................</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3,560</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1,806,290</w:t>
            </w:r>
          </w:p>
        </w:tc>
        <w:tc>
          <w:tcPr>
            <w:tcW w:w="0" w:type="dxa"/>
            <w:vAlign w:val="bottom"/>
          </w:tcPr>
          <w:p>
            <w:pPr>
              <w:spacing w:after="0"/>
              <w:rPr>
                <w:sz w:val="1"/>
                <w:szCs w:val="1"/>
                <w:color w:val="auto"/>
              </w:rPr>
            </w:pPr>
          </w:p>
        </w:tc>
      </w:tr>
      <w:tr>
        <w:trPr>
          <w:trHeight w:val="235"/>
        </w:trPr>
        <w:tc>
          <w:tcPr>
            <w:tcW w:w="840" w:type="dxa"/>
            <w:vAlign w:val="bottom"/>
          </w:tcPr>
          <w:p>
            <w:pPr>
              <w:jc w:val="right"/>
              <w:ind w:right="34"/>
              <w:spacing w:after="0"/>
              <w:rPr>
                <w:sz w:val="20"/>
                <w:szCs w:val="20"/>
                <w:color w:val="auto"/>
              </w:rPr>
            </w:pPr>
            <w:r>
              <w:rPr>
                <w:rFonts w:ascii="Courier New" w:cs="Courier New" w:eastAsia="Courier New" w:hAnsi="Courier New"/>
                <w:sz w:val="18"/>
                <w:szCs w:val="18"/>
                <w:color w:val="auto"/>
                <w:w w:val="95"/>
              </w:rPr>
              <w:t>222,628</w:t>
            </w:r>
          </w:p>
        </w:tc>
        <w:tc>
          <w:tcPr>
            <w:tcW w:w="58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740" w:hanging="312"/>
        <w:spacing w:after="0" w:line="238" w:lineRule="auto"/>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(6,382) (185)</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(291,192) 1,512,091</w:t>
      </w:r>
    </w:p>
    <w:p>
      <w:pPr>
        <w:jc w:val="center"/>
        <w:ind w:right="7679"/>
        <w:spacing w:after="0"/>
        <w:rPr>
          <w:sz w:val="20"/>
          <w:szCs w:val="20"/>
          <w:color w:val="auto"/>
        </w:rPr>
      </w:pPr>
      <w:r>
        <w:rPr>
          <w:rFonts w:ascii="Courier New" w:cs="Courier New" w:eastAsia="Courier New" w:hAnsi="Courier New"/>
          <w:sz w:val="18"/>
          <w:szCs w:val="18"/>
          <w:color w:val="auto"/>
        </w:rPr>
        <w:t>Comprehensive income:</w:t>
      </w:r>
    </w:p>
    <w:p>
      <w:pPr>
        <w:jc w:val="center"/>
        <w:ind w:right="7679"/>
        <w:spacing w:after="0" w:line="238" w:lineRule="auto"/>
        <w:rPr>
          <w:sz w:val="20"/>
          <w:szCs w:val="20"/>
          <w:color w:val="auto"/>
        </w:rPr>
      </w:pPr>
      <w:r>
        <w:rPr>
          <w:rFonts w:ascii="Courier New" w:cs="Courier New" w:eastAsia="Courier New" w:hAnsi="Courier New"/>
          <w:sz w:val="18"/>
          <w:szCs w:val="18"/>
          <w:color w:val="auto"/>
        </w:rPr>
        <w:t>Net</w:t>
      </w:r>
    </w:p>
    <w:p>
      <w:pPr>
        <w:ind w:left="60"/>
        <w:spacing w:after="0"/>
        <w:rPr>
          <w:sz w:val="20"/>
          <w:szCs w:val="20"/>
          <w:color w:val="auto"/>
        </w:rPr>
      </w:pPr>
      <w:r>
        <w:rPr>
          <w:rFonts w:ascii="Courier New" w:cs="Courier New" w:eastAsia="Courier New" w:hAnsi="Courier New"/>
          <w:sz w:val="18"/>
          <w:szCs w:val="18"/>
          <w:color w:val="auto"/>
        </w:rPr>
        <w:t>loss................ --</w:t>
      </w:r>
    </w:p>
    <w:p>
      <w:pPr>
        <w:ind w:left="280" w:right="7799" w:hanging="168"/>
        <w:spacing w:after="0" w:line="268" w:lineRule="auto"/>
        <w:tabs>
          <w:tab w:leader="none" w:pos="43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(5,061) (5,061) Decrease in unrealized loss on</w:t>
      </w:r>
    </w:p>
    <w:p>
      <w:pPr>
        <w:jc w:val="center"/>
        <w:ind w:right="7679"/>
        <w:spacing w:after="0"/>
        <w:rPr>
          <w:sz w:val="20"/>
          <w:szCs w:val="20"/>
          <w:color w:val="auto"/>
        </w:rPr>
      </w:pPr>
      <w:r>
        <w:rPr>
          <w:rFonts w:ascii="Courier New" w:cs="Courier New" w:eastAsia="Courier New" w:hAnsi="Courier New"/>
          <w:sz w:val="18"/>
          <w:szCs w:val="18"/>
          <w:color w:val="auto"/>
        </w:rPr>
        <w:t>foreign currency</w:t>
      </w:r>
    </w:p>
    <w:p>
      <w:pPr>
        <w:jc w:val="center"/>
        <w:ind w:right="7679"/>
        <w:spacing w:after="0" w:line="238" w:lineRule="auto"/>
        <w:rPr>
          <w:sz w:val="20"/>
          <w:szCs w:val="20"/>
          <w:color w:val="auto"/>
        </w:rPr>
      </w:pPr>
      <w:r>
        <w:rPr>
          <w:rFonts w:ascii="Courier New" w:cs="Courier New" w:eastAsia="Courier New" w:hAnsi="Courier New"/>
          <w:sz w:val="18"/>
          <w:szCs w:val="18"/>
          <w:color w:val="auto"/>
        </w:rPr>
        <w:t>hedging contracts, net</w:t>
      </w:r>
    </w:p>
    <w:p>
      <w:pPr>
        <w:jc w:val="center"/>
        <w:ind w:right="7679"/>
        <w:spacing w:after="0"/>
        <w:rPr>
          <w:sz w:val="20"/>
          <w:szCs w:val="20"/>
          <w:color w:val="auto"/>
        </w:rPr>
      </w:pPr>
      <w:r>
        <w:rPr>
          <w:rFonts w:ascii="Courier New" w:cs="Courier New" w:eastAsia="Courier New" w:hAnsi="Courier New"/>
          <w:sz w:val="18"/>
          <w:szCs w:val="18"/>
          <w:color w:val="auto"/>
        </w:rPr>
        <w:t>of $1,357</w:t>
      </w:r>
    </w:p>
    <w:p>
      <w:pPr>
        <w:sectPr>
          <w:pgSz w:w="11900" w:h="16838" w:orient="portrait"/>
          <w:cols w:equalWidth="0" w:num="1">
            <w:col w:w="10219"/>
          </w:cols>
          <w:pgMar w:left="240" w:top="691" w:right="1440" w:bottom="0" w:gutter="0" w:footer="0" w:header="0"/>
        </w:sectPr>
      </w:pPr>
    </w:p>
    <w:bookmarkStart w:id="76" w:name="page77"/>
    <w:bookmarkEnd w:id="76"/>
    <w:p>
      <w:pPr>
        <w:ind w:left="60"/>
        <w:spacing w:after="0"/>
        <w:rPr>
          <w:sz w:val="20"/>
          <w:szCs w:val="20"/>
          <w:color w:val="auto"/>
        </w:rPr>
      </w:pPr>
      <w:r>
        <w:rPr>
          <w:rFonts w:ascii="Courier New" w:cs="Courier New" w:eastAsia="Courier New" w:hAnsi="Courier New"/>
          <w:sz w:val="16"/>
          <w:szCs w:val="16"/>
          <w:color w:val="auto"/>
        </w:rPr>
        <w:t>tax............ -- -- -</w:t>
      </w:r>
    </w:p>
    <w:p>
      <w:pPr>
        <w:spacing w:after="0" w:line="53" w:lineRule="exact"/>
        <w:rPr>
          <w:sz w:val="20"/>
          <w:szCs w:val="20"/>
          <w:color w:val="auto"/>
        </w:rPr>
      </w:pPr>
    </w:p>
    <w:p>
      <w:pPr>
        <w:jc w:val="both"/>
        <w:ind w:left="120" w:right="7799" w:hanging="8"/>
        <w:spacing w:after="0" w:line="268" w:lineRule="auto"/>
        <w:tabs>
          <w:tab w:leader="none" w:pos="33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-- 2,682 -- -- 2,682 Decrease in unrealized</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loss on cash</w:t>
      </w:r>
    </w:p>
    <w:p>
      <w:pPr>
        <w:jc w:val="center"/>
        <w:ind w:left="60" w:right="7739" w:firstLine="52"/>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equivalents and short-term interest- bearing investments, net of $1,336 tax..... -- -- -</w:t>
      </w:r>
    </w:p>
    <w:p>
      <w:pPr>
        <w:ind w:left="320" w:hanging="208"/>
        <w:spacing w:after="0" w:line="238" w:lineRule="auto"/>
        <w:tabs>
          <w:tab w:leader="none" w:pos="3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-- 3,592 -- -- 3,592</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7679"/>
        <w:spacing w:after="0"/>
        <w:rPr>
          <w:sz w:val="20"/>
          <w:szCs w:val="20"/>
          <w:color w:val="auto"/>
        </w:rPr>
      </w:pPr>
      <w:r>
        <w:rPr>
          <w:rFonts w:ascii="Courier New" w:cs="Courier New" w:eastAsia="Courier New" w:hAnsi="Courier New"/>
          <w:sz w:val="18"/>
          <w:szCs w:val="18"/>
          <w:color w:val="auto"/>
        </w:rPr>
        <w:t>Comprehensive</w:t>
      </w:r>
    </w:p>
    <w:p>
      <w:pPr>
        <w:ind w:left="60"/>
        <w:spacing w:after="0"/>
        <w:rPr>
          <w:sz w:val="20"/>
          <w:szCs w:val="20"/>
          <w:color w:val="auto"/>
        </w:rPr>
      </w:pPr>
      <w:r>
        <w:rPr>
          <w:rFonts w:ascii="Courier New" w:cs="Courier New" w:eastAsia="Courier New" w:hAnsi="Courier New"/>
          <w:sz w:val="16"/>
          <w:szCs w:val="16"/>
          <w:color w:val="auto"/>
        </w:rPr>
        <w:t>income.... 1,213 ------</w:t>
      </w:r>
    </w:p>
    <w:p>
      <w:pPr>
        <w:spacing w:after="0" w:line="21" w:lineRule="exact"/>
        <w:rPr>
          <w:sz w:val="20"/>
          <w:szCs w:val="20"/>
          <w:color w:val="auto"/>
        </w:rPr>
      </w:pPr>
    </w:p>
    <w:p>
      <w:pPr>
        <w:ind w:left="900" w:right="7939" w:hanging="630"/>
        <w:spacing w:after="0" w:line="268" w:lineRule="auto"/>
        <w:tabs>
          <w:tab w:leader="none" w:pos="794"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stock options</w:t>
      </w:r>
    </w:p>
    <w:p>
      <w:pPr>
        <w:spacing w:after="0"/>
        <w:rPr>
          <w:sz w:val="20"/>
          <w:szCs w:val="20"/>
          <w:color w:val="auto"/>
        </w:rPr>
      </w:pPr>
      <w:r>
        <w:rPr>
          <w:rFonts w:ascii="Courier New" w:cs="Courier New" w:eastAsia="Courier New" w:hAnsi="Courier New"/>
          <w:sz w:val="16"/>
          <w:szCs w:val="16"/>
          <w:color w:val="auto"/>
        </w:rPr>
        <w:t>exercised...............</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687 12 5,149 -- -- -- -</w:t>
      </w:r>
    </w:p>
    <w:p>
      <w:pPr>
        <w:spacing w:after="0" w:line="21" w:lineRule="exact"/>
        <w:rPr>
          <w:sz w:val="20"/>
          <w:szCs w:val="20"/>
          <w:color w:val="auto"/>
        </w:rPr>
      </w:pPr>
    </w:p>
    <w:p>
      <w:pPr>
        <w:ind w:left="580" w:right="7799" w:hanging="468"/>
        <w:spacing w:after="0" w:line="238" w:lineRule="auto"/>
        <w:tabs>
          <w:tab w:leader="none" w:pos="316"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5,161 Tax benefit of stock options</w:t>
      </w:r>
    </w:p>
    <w:p>
      <w:pPr>
        <w:ind w:left="120"/>
        <w:spacing w:after="0"/>
        <w:rPr>
          <w:sz w:val="20"/>
          <w:szCs w:val="20"/>
          <w:color w:val="auto"/>
        </w:rPr>
      </w:pPr>
      <w:r>
        <w:rPr>
          <w:rFonts w:ascii="Courier New" w:cs="Courier New" w:eastAsia="Courier New" w:hAnsi="Courier New"/>
          <w:sz w:val="18"/>
          <w:szCs w:val="18"/>
          <w:color w:val="auto"/>
        </w:rPr>
        <w:t>exercised....... -- --</w:t>
      </w:r>
    </w:p>
    <w:p>
      <w:pPr>
        <w:jc w:val="center"/>
        <w:ind w:right="7679"/>
        <w:spacing w:after="0" w:line="238" w:lineRule="auto"/>
        <w:rPr>
          <w:sz w:val="20"/>
          <w:szCs w:val="20"/>
          <w:color w:val="auto"/>
        </w:rPr>
      </w:pPr>
      <w:r>
        <w:rPr>
          <w:rFonts w:ascii="Courier New" w:cs="Courier New" w:eastAsia="Courier New" w:hAnsi="Courier New"/>
          <w:sz w:val="18"/>
          <w:szCs w:val="18"/>
          <w:color w:val="auto"/>
        </w:rPr>
        <w:t>6,808 -- -- -- -- 6,808</w:t>
      </w:r>
    </w:p>
    <w:p>
      <w:pPr>
        <w:jc w:val="center"/>
        <w:ind w:right="7679"/>
        <w:spacing w:after="0"/>
        <w:rPr>
          <w:sz w:val="20"/>
          <w:szCs w:val="20"/>
          <w:color w:val="auto"/>
        </w:rPr>
      </w:pPr>
      <w:r>
        <w:rPr>
          <w:rFonts w:ascii="Courier New" w:cs="Courier New" w:eastAsia="Courier New" w:hAnsi="Courier New"/>
          <w:sz w:val="18"/>
          <w:szCs w:val="18"/>
          <w:color w:val="auto"/>
        </w:rPr>
        <w:t>Expense related to</w:t>
      </w:r>
    </w:p>
    <w:p>
      <w:pPr>
        <w:jc w:val="center"/>
        <w:ind w:right="7679"/>
        <w:spacing w:after="0" w:line="238" w:lineRule="auto"/>
        <w:rPr>
          <w:sz w:val="20"/>
          <w:szCs w:val="20"/>
          <w:color w:val="auto"/>
        </w:rPr>
      </w:pPr>
      <w:r>
        <w:rPr>
          <w:rFonts w:ascii="Courier New" w:cs="Courier New" w:eastAsia="Courier New" w:hAnsi="Courier New"/>
          <w:sz w:val="18"/>
          <w:szCs w:val="18"/>
          <w:color w:val="auto"/>
        </w:rPr>
        <w:t>vesting of stock</w:t>
      </w:r>
    </w:p>
    <w:p>
      <w:pPr>
        <w:spacing w:after="0"/>
        <w:rPr>
          <w:sz w:val="20"/>
          <w:szCs w:val="20"/>
          <w:color w:val="auto"/>
        </w:rPr>
      </w:pPr>
      <w:r>
        <w:rPr>
          <w:rFonts w:ascii="Courier New" w:cs="Courier New" w:eastAsia="Courier New" w:hAnsi="Courier New"/>
          <w:sz w:val="16"/>
          <w:szCs w:val="16"/>
          <w:color w:val="auto"/>
        </w:rPr>
        <w:t>options.................</w:t>
      </w:r>
    </w:p>
    <w:p>
      <w:pPr>
        <w:spacing w:after="0" w:line="21" w:lineRule="exact"/>
        <w:rPr>
          <w:sz w:val="20"/>
          <w:szCs w:val="20"/>
          <w:color w:val="auto"/>
        </w:rPr>
      </w:pPr>
    </w:p>
    <w:p>
      <w:pPr>
        <w:ind w:left="580" w:right="7739" w:hanging="520"/>
        <w:spacing w:after="0" w:line="238" w:lineRule="auto"/>
        <w:tabs>
          <w:tab w:leader="none" w:pos="37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-- 98 -- -- -- -- 98 Repurchase of</w:t>
      </w:r>
    </w:p>
    <w:tbl>
      <w:tblPr>
        <w:tblLayout w:type="fixed"/>
        <w:tblInd w:w="120" w:type="dxa"/>
        <w:tblCellMar>
          <w:top w:w="0" w:type="dxa"/>
          <w:left w:w="0" w:type="dxa"/>
          <w:bottom w:w="0" w:type="dxa"/>
          <w:right w:w="0" w:type="dxa"/>
        </w:tblCellMar>
      </w:tblPr>
      <w:tr>
        <w:trPr>
          <w:trHeight w:val="203"/>
        </w:trPr>
        <w:tc>
          <w:tcPr>
            <w:tcW w:w="1200" w:type="dxa"/>
            <w:vAlign w:val="bottom"/>
          </w:tcPr>
          <w:p>
            <w:pPr>
              <w:spacing w:after="0"/>
              <w:rPr>
                <w:sz w:val="20"/>
                <w:szCs w:val="20"/>
                <w:color w:val="auto"/>
              </w:rPr>
            </w:pPr>
            <w:r>
              <w:rPr>
                <w:rFonts w:ascii="Courier New" w:cs="Courier New" w:eastAsia="Courier New" w:hAnsi="Courier New"/>
                <w:sz w:val="18"/>
                <w:szCs w:val="18"/>
                <w:color w:val="auto"/>
                <w:w w:val="99"/>
              </w:rPr>
              <w:t>shares.....</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(7,732) --</w:t>
            </w:r>
          </w:p>
        </w:tc>
      </w:tr>
    </w:tbl>
    <w:p>
      <w:pPr>
        <w:jc w:val="center"/>
        <w:ind w:right="7679"/>
        <w:spacing w:after="0" w:line="238" w:lineRule="auto"/>
        <w:rPr>
          <w:sz w:val="20"/>
          <w:szCs w:val="20"/>
          <w:color w:val="auto"/>
        </w:rPr>
      </w:pPr>
      <w:r>
        <w:rPr>
          <w:rFonts w:ascii="Courier New" w:cs="Courier New" w:eastAsia="Courier New" w:hAnsi="Courier New"/>
          <w:sz w:val="18"/>
          <w:szCs w:val="18"/>
          <w:color w:val="auto"/>
        </w:rPr>
        <w:t>-- (109,281) -- -- --</w:t>
      </w:r>
    </w:p>
    <w:p>
      <w:pPr>
        <w:jc w:val="center"/>
        <w:ind w:right="7679"/>
        <w:spacing w:after="0"/>
        <w:rPr>
          <w:sz w:val="20"/>
          <w:szCs w:val="20"/>
          <w:color w:val="auto"/>
        </w:rPr>
      </w:pPr>
      <w:r>
        <w:rPr>
          <w:rFonts w:ascii="Courier New" w:cs="Courier New" w:eastAsia="Courier New" w:hAnsi="Courier New"/>
          <w:sz w:val="18"/>
          <w:szCs w:val="18"/>
          <w:color w:val="auto"/>
        </w:rPr>
        <w:t>(109,281) Amortization</w:t>
      </w:r>
    </w:p>
    <w:p>
      <w:pPr>
        <w:jc w:val="center"/>
        <w:ind w:right="7679"/>
        <w:spacing w:after="0" w:line="238" w:lineRule="auto"/>
        <w:rPr>
          <w:sz w:val="20"/>
          <w:szCs w:val="20"/>
          <w:color w:val="auto"/>
        </w:rPr>
      </w:pPr>
      <w:r>
        <w:rPr>
          <w:rFonts w:ascii="Courier New" w:cs="Courier New" w:eastAsia="Courier New" w:hAnsi="Courier New"/>
          <w:sz w:val="18"/>
          <w:szCs w:val="18"/>
          <w:color w:val="auto"/>
        </w:rPr>
        <w:t>of unearned</w:t>
      </w:r>
    </w:p>
    <w:p>
      <w:pPr>
        <w:spacing w:after="0"/>
        <w:rPr>
          <w:sz w:val="20"/>
          <w:szCs w:val="20"/>
          <w:color w:val="auto"/>
        </w:rPr>
      </w:pPr>
      <w:r>
        <w:rPr>
          <w:rFonts w:ascii="Courier New" w:cs="Courier New" w:eastAsia="Courier New" w:hAnsi="Courier New"/>
          <w:sz w:val="16"/>
          <w:szCs w:val="16"/>
          <w:color w:val="auto"/>
        </w:rPr>
        <w:t>compensation............</w:t>
      </w:r>
    </w:p>
    <w:p>
      <w:pPr>
        <w:spacing w:after="0" w:line="20"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 -- -- -- -- 185 --</w:t>
      </w:r>
    </w:p>
    <w:p>
      <w:pPr>
        <w:jc w:val="center"/>
        <w:ind w:right="7679"/>
        <w:spacing w:after="0" w:line="238" w:lineRule="auto"/>
        <w:rPr>
          <w:sz w:val="20"/>
          <w:szCs w:val="20"/>
          <w:color w:val="auto"/>
        </w:rPr>
      </w:pPr>
      <w:r>
        <w:rPr>
          <w:rFonts w:ascii="Courier New" w:cs="Courier New" w:eastAsia="Courier New" w:hAnsi="Courier New"/>
          <w:sz w:val="18"/>
          <w:szCs w:val="18"/>
          <w:color w:val="auto"/>
        </w:rPr>
        <w:t>185 ------- ------ ----</w:t>
      </w: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BALANCE AS OF</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840" w:type="dxa"/>
            <w:vAlign w:val="bottom"/>
          </w:tcPr>
          <w:p>
            <w:pPr>
              <w:jc w:val="right"/>
              <w:spacing w:after="0"/>
              <w:rPr>
                <w:sz w:val="20"/>
                <w:szCs w:val="20"/>
                <w:color w:val="auto"/>
              </w:rPr>
            </w:pPr>
            <w:r>
              <w:rPr>
                <w:rFonts w:ascii="Courier New" w:cs="Courier New" w:eastAsia="Courier New" w:hAnsi="Courier New"/>
                <w:sz w:val="9"/>
                <w:szCs w:val="9"/>
                <w:color w:val="auto"/>
                <w:w w:val="75"/>
              </w:rPr>
              <w:t>2002................</w:t>
            </w:r>
          </w:p>
        </w:tc>
        <w:tc>
          <w:tcPr>
            <w:tcW w:w="58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2"/>
              </w:rPr>
              <w:t>3,572</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1,818,345</w:t>
            </w:r>
          </w:p>
        </w:tc>
        <w:tc>
          <w:tcPr>
            <w:tcW w:w="0" w:type="dxa"/>
            <w:vAlign w:val="bottom"/>
          </w:tcPr>
          <w:p>
            <w:pPr>
              <w:spacing w:after="0"/>
              <w:rPr>
                <w:sz w:val="1"/>
                <w:szCs w:val="1"/>
                <w:color w:val="auto"/>
              </w:rPr>
            </w:pP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215,583</w:t>
            </w:r>
          </w:p>
        </w:tc>
        <w:tc>
          <w:tcPr>
            <w:tcW w:w="58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(109,281) (108) --</w:t>
            </w:r>
          </w:p>
        </w:tc>
        <w:tc>
          <w:tcPr>
            <w:tcW w:w="0" w:type="dxa"/>
            <w:vAlign w:val="bottom"/>
          </w:tcPr>
          <w:p>
            <w:pPr>
              <w:spacing w:after="0"/>
              <w:rPr>
                <w:sz w:val="1"/>
                <w:szCs w:val="1"/>
                <w:color w:val="auto"/>
              </w:rPr>
            </w:pPr>
          </w:p>
        </w:tc>
      </w:tr>
      <w:tr>
        <w:trPr>
          <w:trHeight w:val="203"/>
        </w:trPr>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(296,253)</w:t>
            </w:r>
          </w:p>
        </w:tc>
        <w:tc>
          <w:tcPr>
            <w:tcW w:w="1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1,416,275</w:t>
            </w:r>
          </w:p>
        </w:tc>
        <w:tc>
          <w:tcPr>
            <w:tcW w:w="0" w:type="dxa"/>
            <w:vAlign w:val="bottom"/>
          </w:tcPr>
          <w:p>
            <w:pPr>
              <w:spacing w:after="0"/>
              <w:rPr>
                <w:sz w:val="1"/>
                <w:szCs w:val="1"/>
                <w:color w:val="auto"/>
              </w:rPr>
            </w:pPr>
          </w:p>
        </w:tc>
      </w:tr>
      <w:tr>
        <w:trPr>
          <w:trHeight w:val="203"/>
        </w:trPr>
        <w:tc>
          <w:tcPr>
            <w:tcW w:w="24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Comprehensive income:</w:t>
            </w:r>
          </w:p>
        </w:tc>
        <w:tc>
          <w:tcPr>
            <w:tcW w:w="0" w:type="dxa"/>
            <w:vAlign w:val="bottom"/>
          </w:tcPr>
          <w:p>
            <w:pPr>
              <w:spacing w:after="0"/>
              <w:rPr>
                <w:sz w:val="1"/>
                <w:szCs w:val="1"/>
                <w:color w:val="auto"/>
              </w:rPr>
            </w:pPr>
          </w:p>
        </w:tc>
      </w:tr>
      <w:tr>
        <w:trPr>
          <w:trHeight w:val="296"/>
        </w:trPr>
        <w:tc>
          <w:tcPr>
            <w:tcW w:w="840" w:type="dxa"/>
            <w:vAlign w:val="bottom"/>
            <w:vMerge w:val="restart"/>
          </w:tcPr>
          <w:p>
            <w:pPr>
              <w:spacing w:after="0"/>
              <w:rPr>
                <w:sz w:val="20"/>
                <w:szCs w:val="20"/>
                <w:color w:val="auto"/>
              </w:rPr>
            </w:pPr>
            <w:r>
              <w:rPr>
                <w:rFonts w:ascii="Courier New" w:cs="Courier New" w:eastAsia="Courier New" w:hAnsi="Courier New"/>
                <w:sz w:val="9"/>
                <w:szCs w:val="9"/>
                <w:color w:val="auto"/>
                <w:w w:val="75"/>
              </w:rPr>
              <w:t>income..............</w:t>
            </w:r>
          </w:p>
        </w:tc>
        <w:tc>
          <w:tcPr>
            <w:tcW w:w="580" w:type="dxa"/>
            <w:vAlign w:val="bottom"/>
            <w:gridSpan w:val="2"/>
          </w:tcPr>
          <w:p>
            <w:pPr>
              <w:jc w:val="center"/>
              <w:ind w:left="72"/>
              <w:spacing w:after="0"/>
              <w:rPr>
                <w:sz w:val="20"/>
                <w:szCs w:val="20"/>
                <w:color w:val="auto"/>
              </w:rPr>
            </w:pPr>
            <w:r>
              <w:rPr>
                <w:rFonts w:ascii="Courier New" w:cs="Courier New" w:eastAsia="Courier New" w:hAnsi="Courier New"/>
                <w:sz w:val="18"/>
                <w:szCs w:val="18"/>
                <w:color w:val="auto"/>
                <w:w w:val="92"/>
              </w:rPr>
              <w:t>Net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41"/>
        </w:trPr>
        <w:tc>
          <w:tcPr>
            <w:tcW w:w="8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jc w:val="both"/>
        <w:ind w:left="60" w:right="7739" w:firstLine="52"/>
        <w:spacing w:after="0" w:line="268" w:lineRule="auto"/>
        <w:tabs>
          <w:tab w:leader="none" w:pos="429"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-- 168,883 168,883 Unrealized gain</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on foreign currency</w:t>
      </w:r>
    </w:p>
    <w:p>
      <w:pPr>
        <w:jc w:val="both"/>
        <w:ind w:left="120" w:right="77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hedging contracts, net of $3,258 tax.........</w:t>
      </w:r>
    </w:p>
    <w:p>
      <w:pPr>
        <w:ind w:left="380" w:hanging="320"/>
        <w:spacing w:after="0"/>
        <w:tabs>
          <w:tab w:leader="none" w:pos="3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-- 8,903 -- --</w:t>
      </w:r>
    </w:p>
    <w:p>
      <w:pPr>
        <w:spacing w:after="0" w:line="21" w:lineRule="exact"/>
        <w:rPr>
          <w:rFonts w:ascii="Courier New" w:cs="Courier New" w:eastAsia="Courier New" w:hAnsi="Courier New"/>
          <w:sz w:val="16"/>
          <w:szCs w:val="16"/>
          <w:color w:val="auto"/>
        </w:rPr>
      </w:pP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8,903 Decrease in</w:t>
      </w:r>
    </w:p>
    <w:p>
      <w:pPr>
        <w:jc w:val="center"/>
        <w:ind w:right="7679"/>
        <w:spacing w:after="0"/>
        <w:rPr>
          <w:sz w:val="20"/>
          <w:szCs w:val="20"/>
          <w:color w:val="auto"/>
        </w:rPr>
      </w:pPr>
      <w:r>
        <w:rPr>
          <w:rFonts w:ascii="Courier New" w:cs="Courier New" w:eastAsia="Courier New" w:hAnsi="Courier New"/>
          <w:sz w:val="18"/>
          <w:szCs w:val="18"/>
          <w:color w:val="auto"/>
        </w:rPr>
        <w:t>unrealized gain on cash</w:t>
      </w:r>
    </w:p>
    <w:p>
      <w:pPr>
        <w:jc w:val="center"/>
        <w:ind w:right="7679"/>
        <w:spacing w:after="0" w:line="238" w:lineRule="auto"/>
        <w:rPr>
          <w:sz w:val="20"/>
          <w:szCs w:val="20"/>
          <w:color w:val="auto"/>
        </w:rPr>
      </w:pPr>
      <w:r>
        <w:rPr>
          <w:rFonts w:ascii="Courier New" w:cs="Courier New" w:eastAsia="Courier New" w:hAnsi="Courier New"/>
          <w:sz w:val="18"/>
          <w:szCs w:val="18"/>
          <w:color w:val="auto"/>
        </w:rPr>
        <w:t>equivalents and short-</w:t>
      </w:r>
    </w:p>
    <w:p>
      <w:pPr>
        <w:jc w:val="center"/>
        <w:ind w:right="7679"/>
        <w:spacing w:after="0"/>
        <w:rPr>
          <w:sz w:val="20"/>
          <w:szCs w:val="20"/>
          <w:color w:val="auto"/>
        </w:rPr>
      </w:pPr>
      <w:r>
        <w:rPr>
          <w:rFonts w:ascii="Courier New" w:cs="Courier New" w:eastAsia="Courier New" w:hAnsi="Courier New"/>
          <w:sz w:val="18"/>
          <w:szCs w:val="18"/>
          <w:color w:val="auto"/>
        </w:rPr>
        <w:t>term interest- bearing</w:t>
      </w:r>
    </w:p>
    <w:p>
      <w:pPr>
        <w:jc w:val="center"/>
        <w:ind w:right="7679"/>
        <w:spacing w:after="0" w:line="238" w:lineRule="auto"/>
        <w:rPr>
          <w:sz w:val="20"/>
          <w:szCs w:val="20"/>
          <w:color w:val="auto"/>
        </w:rPr>
      </w:pPr>
      <w:r>
        <w:rPr>
          <w:rFonts w:ascii="Courier New" w:cs="Courier New" w:eastAsia="Courier New" w:hAnsi="Courier New"/>
          <w:sz w:val="18"/>
          <w:szCs w:val="18"/>
          <w:color w:val="auto"/>
        </w:rPr>
        <w:t>investments, net of</w:t>
      </w:r>
    </w:p>
    <w:p>
      <w:pPr>
        <w:jc w:val="center"/>
        <w:ind w:right="7679"/>
        <w:spacing w:after="0"/>
        <w:rPr>
          <w:sz w:val="20"/>
          <w:szCs w:val="20"/>
          <w:color w:val="auto"/>
        </w:rPr>
      </w:pPr>
      <w:r>
        <w:rPr>
          <w:rFonts w:ascii="Courier New" w:cs="Courier New" w:eastAsia="Courier New" w:hAnsi="Courier New"/>
          <w:sz w:val="18"/>
          <w:szCs w:val="18"/>
          <w:color w:val="auto"/>
        </w:rPr>
        <w:t>$(1,977) tax... -- -- -</w:t>
      </w:r>
    </w:p>
    <w:p>
      <w:pPr>
        <w:ind w:left="540" w:hanging="217"/>
        <w:spacing w:after="0" w:line="238" w:lineRule="auto"/>
        <w:tabs>
          <w:tab w:leader="none" w:pos="5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(5,080) --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(5,080) ----------</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w:t>
      </w:r>
    </w:p>
    <w:p>
      <w:pPr>
        <w:jc w:val="center"/>
        <w:ind w:right="7679"/>
        <w:spacing w:after="0"/>
        <w:rPr>
          <w:sz w:val="20"/>
          <w:szCs w:val="20"/>
          <w:color w:val="auto"/>
        </w:rPr>
      </w:pPr>
      <w:r>
        <w:rPr>
          <w:rFonts w:ascii="Courier New" w:cs="Courier New" w:eastAsia="Courier New" w:hAnsi="Courier New"/>
          <w:sz w:val="18"/>
          <w:szCs w:val="18"/>
          <w:color w:val="auto"/>
        </w:rPr>
        <w:t>income.... 172,706 ----</w:t>
      </w:r>
    </w:p>
    <w:p>
      <w:pPr>
        <w:jc w:val="center"/>
        <w:ind w:right="7679"/>
        <w:spacing w:after="0" w:line="238" w:lineRule="auto"/>
        <w:rPr>
          <w:sz w:val="20"/>
          <w:szCs w:val="20"/>
          <w:color w:val="auto"/>
        </w:rPr>
      </w:pPr>
      <w:r>
        <w:rPr>
          <w:rFonts w:ascii="Courier New" w:cs="Courier New" w:eastAsia="Courier New" w:hAnsi="Courier New"/>
          <w:sz w:val="18"/>
          <w:szCs w:val="18"/>
          <w:color w:val="auto"/>
        </w:rPr>
        <w:t>------ Employee stock</w:t>
      </w:r>
    </w:p>
    <w:p>
      <w:pPr>
        <w:jc w:val="center"/>
        <w:ind w:right="7679"/>
        <w:spacing w:after="0"/>
        <w:rPr>
          <w:sz w:val="20"/>
          <w:szCs w:val="20"/>
          <w:color w:val="auto"/>
        </w:rPr>
      </w:pPr>
      <w:r>
        <w:rPr>
          <w:rFonts w:ascii="Courier New" w:cs="Courier New" w:eastAsia="Courier New" w:hAnsi="Courier New"/>
          <w:sz w:val="18"/>
          <w:szCs w:val="18"/>
          <w:color w:val="auto"/>
        </w:rPr>
        <w:t>options</w:t>
      </w:r>
    </w:p>
    <w:p>
      <w:pPr>
        <w:spacing w:after="0"/>
        <w:rPr>
          <w:sz w:val="20"/>
          <w:szCs w:val="20"/>
          <w:color w:val="auto"/>
        </w:rPr>
      </w:pPr>
      <w:r>
        <w:rPr>
          <w:rFonts w:ascii="Courier New" w:cs="Courier New" w:eastAsia="Courier New" w:hAnsi="Courier New"/>
          <w:sz w:val="16"/>
          <w:szCs w:val="16"/>
          <w:color w:val="auto"/>
        </w:rPr>
        <w:t>exercised...............</w:t>
      </w:r>
    </w:p>
    <w:p>
      <w:pPr>
        <w:spacing w:after="0" w:line="20"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475 8 2,312 -- -- -- --</w:t>
      </w:r>
    </w:p>
    <w:p>
      <w:pPr>
        <w:jc w:val="center"/>
        <w:ind w:right="7679"/>
        <w:spacing w:after="0" w:line="238" w:lineRule="auto"/>
        <w:rPr>
          <w:sz w:val="20"/>
          <w:szCs w:val="20"/>
          <w:color w:val="auto"/>
        </w:rPr>
      </w:pPr>
      <w:r>
        <w:rPr>
          <w:rFonts w:ascii="Courier New" w:cs="Courier New" w:eastAsia="Courier New" w:hAnsi="Courier New"/>
          <w:sz w:val="18"/>
          <w:szCs w:val="18"/>
          <w:color w:val="auto"/>
        </w:rPr>
        <w:t>2,320 Tax benefit of</w:t>
      </w:r>
    </w:p>
    <w:p>
      <w:pPr>
        <w:jc w:val="center"/>
        <w:ind w:right="7679"/>
        <w:spacing w:after="0"/>
        <w:rPr>
          <w:sz w:val="20"/>
          <w:szCs w:val="20"/>
          <w:color w:val="auto"/>
        </w:rPr>
      </w:pPr>
      <w:r>
        <w:rPr>
          <w:rFonts w:ascii="Courier New" w:cs="Courier New" w:eastAsia="Courier New" w:hAnsi="Courier New"/>
          <w:sz w:val="18"/>
          <w:szCs w:val="18"/>
          <w:color w:val="auto"/>
        </w:rPr>
        <w:t>stock options</w:t>
      </w:r>
    </w:p>
    <w:p>
      <w:pPr>
        <w:ind w:left="120"/>
        <w:spacing w:after="0" w:line="238" w:lineRule="auto"/>
        <w:rPr>
          <w:sz w:val="20"/>
          <w:szCs w:val="20"/>
          <w:color w:val="auto"/>
        </w:rPr>
      </w:pPr>
      <w:r>
        <w:rPr>
          <w:rFonts w:ascii="Courier New" w:cs="Courier New" w:eastAsia="Courier New" w:hAnsi="Courier New"/>
          <w:sz w:val="18"/>
          <w:szCs w:val="18"/>
          <w:color w:val="auto"/>
        </w:rPr>
        <w:t>exercised....... -- --</w:t>
      </w:r>
    </w:p>
    <w:p>
      <w:pPr>
        <w:jc w:val="center"/>
        <w:ind w:right="7679"/>
        <w:spacing w:after="0"/>
        <w:rPr>
          <w:sz w:val="20"/>
          <w:szCs w:val="20"/>
          <w:color w:val="auto"/>
        </w:rPr>
      </w:pPr>
      <w:r>
        <w:rPr>
          <w:rFonts w:ascii="Courier New" w:cs="Courier New" w:eastAsia="Courier New" w:hAnsi="Courier New"/>
          <w:sz w:val="18"/>
          <w:szCs w:val="18"/>
          <w:color w:val="auto"/>
        </w:rPr>
        <w:t>262 -- -- -- -- 262</w:t>
      </w:r>
    </w:p>
    <w:p>
      <w:pPr>
        <w:jc w:val="center"/>
        <w:ind w:right="7679"/>
        <w:spacing w:after="0" w:line="238" w:lineRule="auto"/>
        <w:rPr>
          <w:sz w:val="20"/>
          <w:szCs w:val="20"/>
          <w:color w:val="auto"/>
        </w:rPr>
      </w:pPr>
      <w:r>
        <w:rPr>
          <w:rFonts w:ascii="Courier New" w:cs="Courier New" w:eastAsia="Courier New" w:hAnsi="Courier New"/>
          <w:sz w:val="18"/>
          <w:szCs w:val="18"/>
          <w:color w:val="auto"/>
        </w:rPr>
        <w:t>Expense related to</w:t>
      </w:r>
    </w:p>
    <w:p>
      <w:pPr>
        <w:jc w:val="center"/>
        <w:ind w:right="7679"/>
        <w:spacing w:after="0"/>
        <w:rPr>
          <w:sz w:val="20"/>
          <w:szCs w:val="20"/>
          <w:color w:val="auto"/>
        </w:rPr>
      </w:pPr>
      <w:r>
        <w:rPr>
          <w:rFonts w:ascii="Courier New" w:cs="Courier New" w:eastAsia="Courier New" w:hAnsi="Courier New"/>
          <w:sz w:val="18"/>
          <w:szCs w:val="18"/>
          <w:color w:val="auto"/>
        </w:rPr>
        <w:t>vesting of stock</w:t>
      </w:r>
    </w:p>
    <w:p>
      <w:pPr>
        <w:jc w:val="center"/>
        <w:ind w:right="7679"/>
        <w:spacing w:after="0"/>
        <w:rPr>
          <w:sz w:val="20"/>
          <w:szCs w:val="20"/>
          <w:color w:val="auto"/>
        </w:rPr>
      </w:pPr>
      <w:r>
        <w:rPr>
          <w:rFonts w:ascii="Courier New" w:cs="Courier New" w:eastAsia="Courier New" w:hAnsi="Courier New"/>
          <w:sz w:val="16"/>
          <w:szCs w:val="16"/>
          <w:color w:val="auto"/>
        </w:rPr>
        <w:t>options.................</w:t>
      </w:r>
    </w:p>
    <w:p>
      <w:pPr>
        <w:spacing w:after="0" w:line="21" w:lineRule="exact"/>
        <w:rPr>
          <w:sz w:val="20"/>
          <w:szCs w:val="20"/>
          <w:color w:val="auto"/>
        </w:rPr>
      </w:pPr>
    </w:p>
    <w:p>
      <w:pPr>
        <w:ind w:left="380" w:hanging="320"/>
        <w:spacing w:after="0"/>
        <w:tabs>
          <w:tab w:leader="none" w:pos="38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-- 37 -- -- -- -- 37</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380" w:hanging="321"/>
        <w:spacing w:after="0"/>
        <w:tabs>
          <w:tab w:leader="none" w:pos="38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800" w:hanging="425"/>
        <w:spacing w:after="0" w:line="238" w:lineRule="auto"/>
        <w:tabs>
          <w:tab w:leader="none" w:pos="80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BALANCE AS OF</w:t>
      </w:r>
    </w:p>
    <w:p>
      <w:pPr>
        <w:ind w:left="580"/>
        <w:spacing w:after="0"/>
        <w:rPr>
          <w:sz w:val="20"/>
          <w:szCs w:val="20"/>
          <w:color w:val="auto"/>
        </w:rPr>
      </w:pPr>
      <w:r>
        <w:rPr>
          <w:rFonts w:ascii="Courier New" w:cs="Courier New" w:eastAsia="Courier New" w:hAnsi="Courier New"/>
          <w:sz w:val="18"/>
          <w:szCs w:val="18"/>
          <w:color w:val="auto"/>
        </w:rPr>
        <w:t>SEPTEMBER 30,</w:t>
      </w:r>
    </w:p>
    <w:p>
      <w:pPr>
        <w:ind w:left="220"/>
        <w:spacing w:after="0" w:line="238" w:lineRule="auto"/>
        <w:rPr>
          <w:sz w:val="20"/>
          <w:szCs w:val="20"/>
          <w:color w:val="auto"/>
        </w:rPr>
      </w:pPr>
      <w:r>
        <w:rPr>
          <w:rFonts w:ascii="Courier New" w:cs="Courier New" w:eastAsia="Courier New" w:hAnsi="Courier New"/>
          <w:sz w:val="18"/>
          <w:szCs w:val="18"/>
          <w:color w:val="auto"/>
        </w:rPr>
        <w:t>2003................</w:t>
      </w:r>
    </w:p>
    <w:p>
      <w:pPr>
        <w:jc w:val="center"/>
        <w:ind w:right="7679"/>
        <w:spacing w:after="0"/>
        <w:rPr>
          <w:sz w:val="20"/>
          <w:szCs w:val="20"/>
          <w:color w:val="auto"/>
        </w:rPr>
      </w:pPr>
      <w:r>
        <w:rPr>
          <w:rFonts w:ascii="Courier New" w:cs="Courier New" w:eastAsia="Courier New" w:hAnsi="Courier New"/>
          <w:sz w:val="18"/>
          <w:szCs w:val="18"/>
          <w:color w:val="auto"/>
        </w:rPr>
        <w:t>216,058 $3,580</w:t>
      </w:r>
    </w:p>
    <w:p>
      <w:pPr>
        <w:jc w:val="center"/>
        <w:ind w:right="7679"/>
        <w:spacing w:after="0" w:line="238" w:lineRule="auto"/>
        <w:rPr>
          <w:sz w:val="20"/>
          <w:szCs w:val="20"/>
          <w:color w:val="auto"/>
        </w:rPr>
      </w:pPr>
      <w:r>
        <w:rPr>
          <w:rFonts w:ascii="Courier New" w:cs="Courier New" w:eastAsia="Courier New" w:hAnsi="Courier New"/>
          <w:sz w:val="18"/>
          <w:szCs w:val="18"/>
          <w:color w:val="auto"/>
        </w:rPr>
        <w:t>$1,820,956 $(109,281) $</w:t>
      </w:r>
    </w:p>
    <w:p>
      <w:pPr>
        <w:jc w:val="center"/>
        <w:ind w:right="7679"/>
        <w:spacing w:after="0"/>
        <w:rPr>
          <w:sz w:val="20"/>
          <w:szCs w:val="20"/>
          <w:color w:val="auto"/>
        </w:rPr>
      </w:pPr>
      <w:r>
        <w:rPr>
          <w:rFonts w:ascii="Courier New" w:cs="Courier New" w:eastAsia="Courier New" w:hAnsi="Courier New"/>
          <w:sz w:val="18"/>
          <w:szCs w:val="18"/>
          <w:color w:val="auto"/>
        </w:rPr>
        <w:t>3,715 $ -- $(127,370)</w:t>
      </w:r>
    </w:p>
    <w:p>
      <w:pPr>
        <w:jc w:val="center"/>
        <w:ind w:right="7679"/>
        <w:spacing w:after="0"/>
        <w:rPr>
          <w:sz w:val="20"/>
          <w:szCs w:val="20"/>
          <w:color w:val="auto"/>
        </w:rPr>
      </w:pPr>
      <w:r>
        <w:rPr>
          <w:rFonts w:ascii="Courier New" w:cs="Courier New" w:eastAsia="Courier New" w:hAnsi="Courier New"/>
          <w:sz w:val="18"/>
          <w:szCs w:val="18"/>
          <w:color w:val="auto"/>
        </w:rPr>
        <w:t>$1,591,600 =======</w:t>
      </w:r>
    </w:p>
    <w:p>
      <w:pPr>
        <w:sectPr>
          <w:pgSz w:w="11900" w:h="16838" w:orient="portrait"/>
          <w:cols w:equalWidth="0" w:num="1">
            <w:col w:w="10219"/>
          </w:cols>
          <w:pgMar w:left="240" w:top="110" w:right="1440" w:bottom="0" w:gutter="0" w:footer="0" w:header="0"/>
        </w:sectPr>
      </w:pPr>
    </w:p>
    <w:bookmarkStart w:id="77" w:name="page78"/>
    <w:bookmarkEnd w:id="77"/>
    <w:p>
      <w:pPr>
        <w:jc w:val="center"/>
        <w:ind w:right="7679"/>
        <w:spacing w:after="0"/>
        <w:rPr>
          <w:sz w:val="20"/>
          <w:szCs w:val="20"/>
          <w:color w:val="auto"/>
        </w:rPr>
      </w:pPr>
      <w:r>
        <w:rPr>
          <w:rFonts w:ascii="Courier New" w:cs="Courier New" w:eastAsia="Courier New" w:hAnsi="Courier New"/>
          <w:sz w:val="18"/>
          <w:szCs w:val="18"/>
          <w:color w:val="auto"/>
        </w:rPr>
        <w:t>====== ==========</w:t>
      </w:r>
    </w:p>
    <w:p>
      <w:pPr>
        <w:spacing w:after="0" w:line="29"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 =======</w:t>
      </w:r>
    </w:p>
    <w:p>
      <w:pPr>
        <w:jc w:val="center"/>
        <w:ind w:right="7679"/>
        <w:spacing w:after="0" w:line="238" w:lineRule="auto"/>
        <w:rPr>
          <w:sz w:val="20"/>
          <w:szCs w:val="20"/>
          <w:color w:val="auto"/>
        </w:rPr>
      </w:pPr>
      <w:r>
        <w:rPr>
          <w:rFonts w:ascii="Courier New" w:cs="Courier New" w:eastAsia="Courier New" w:hAnsi="Courier New"/>
          <w:sz w:val="18"/>
          <w:szCs w:val="18"/>
          <w:color w:val="auto"/>
        </w:rPr>
        <w:t>======= =========</w:t>
      </w:r>
    </w:p>
    <w:p>
      <w:pPr>
        <w:jc w:val="center"/>
        <w:ind w:right="7679"/>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As of September 30, 2003, 2002 and 2001, accumulated other comprehensive income (loss) is comprised of unrealized gain (loss) on derivatives, net of tax, of $3,683, $(5,220) and $(7,902) and unrealized gain on cash equivalents and short-term interest-bearing investments, net of tax, of $32, $5,112 and $1,520, as of September 30, 2003, 2002 and 2001, respectively.</w:t>
      </w:r>
    </w:p>
    <w:p>
      <w:pPr>
        <w:spacing w:after="0" w:line="90" w:lineRule="exact"/>
        <w:rPr>
          <w:sz w:val="20"/>
          <w:szCs w:val="20"/>
          <w:color w:val="auto"/>
        </w:rPr>
      </w:pPr>
    </w:p>
    <w:p>
      <w:pPr>
        <w:ind w:left="3580" w:right="1779" w:hanging="3054"/>
        <w:spacing w:after="0" w:line="347"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w:t>
      </w:r>
    </w:p>
    <w:p>
      <w:pPr>
        <w:sectPr>
          <w:pgSz w:w="11900" w:h="16838" w:orient="portrait"/>
          <w:cols w:equalWidth="0" w:num="1">
            <w:col w:w="10219"/>
          </w:cols>
          <w:pgMar w:left="240" w:top="110" w:right="1440" w:bottom="1440" w:gutter="0" w:footer="0" w:header="0"/>
        </w:sectPr>
      </w:pPr>
    </w:p>
    <w:bookmarkStart w:id="78" w:name="page79"/>
    <w:bookmarkEnd w:id="78"/>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5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169" w:lineRule="exact"/>
        <w:rPr>
          <w:sz w:val="20"/>
          <w:szCs w:val="20"/>
          <w:color w:val="auto"/>
        </w:rPr>
      </w:pPr>
    </w:p>
    <w:p>
      <w:pPr>
        <w:jc w:val="center"/>
        <w:ind w:right="4199"/>
        <w:spacing w:after="0" w:line="276" w:lineRule="auto"/>
        <w:rPr>
          <w:sz w:val="20"/>
          <w:szCs w:val="20"/>
          <w:color w:val="auto"/>
        </w:rPr>
      </w:pPr>
      <w:r>
        <w:rPr>
          <w:rFonts w:ascii="Courier New" w:cs="Courier New" w:eastAsia="Courier New" w:hAnsi="Courier New"/>
          <w:sz w:val="16"/>
          <w:szCs w:val="16"/>
          <w:color w:val="auto"/>
        </w:rPr>
        <w:t>YEAR ENDED SEPTEMBER 30, ------------------------------- -- 2003 2002 2001 --------- --------- --------- CASH FLOW FROM OPERATING ACTIVITIES: Net income (loss).......................................... $ 168,883 $ (5,061) $ 66,386 Reconciliation of net income</w:t>
      </w:r>
    </w:p>
    <w:p>
      <w:pPr>
        <w:spacing w:after="0" w:line="1"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8"/>
          <w:szCs w:val="18"/>
          <w:color w:val="auto"/>
        </w:rPr>
        <w:t>(loss) to net cash provided by operating activities:</w:t>
      </w:r>
    </w:p>
    <w:p>
      <w:pPr>
        <w:ind w:left="160"/>
        <w:spacing w:after="0" w:line="238" w:lineRule="auto"/>
        <w:rPr>
          <w:sz w:val="20"/>
          <w:szCs w:val="20"/>
          <w:color w:val="auto"/>
        </w:rPr>
      </w:pPr>
      <w:r>
        <w:rPr>
          <w:rFonts w:ascii="Courier New" w:cs="Courier New" w:eastAsia="Courier New" w:hAnsi="Courier New"/>
          <w:sz w:val="18"/>
          <w:szCs w:val="18"/>
          <w:color w:val="auto"/>
        </w:rPr>
        <w:t>Depreciation and amortization.........................</w:t>
      </w:r>
    </w:p>
    <w:p>
      <w:pPr>
        <w:ind w:left="420"/>
        <w:spacing w:after="0"/>
        <w:rPr>
          <w:sz w:val="20"/>
          <w:szCs w:val="20"/>
          <w:color w:val="auto"/>
        </w:rPr>
      </w:pPr>
      <w:r>
        <w:rPr>
          <w:rFonts w:ascii="Courier New" w:cs="Courier New" w:eastAsia="Courier New" w:hAnsi="Courier New"/>
          <w:sz w:val="18"/>
          <w:szCs w:val="18"/>
          <w:color w:val="auto"/>
        </w:rPr>
        <w:t>97,452 309,821 282,625 Adjustment to the basis of</w:t>
      </w:r>
    </w:p>
    <w:tbl>
      <w:tblPr>
        <w:tblLayout w:type="fixed"/>
        <w:tblInd w:w="100" w:type="dxa"/>
        <w:tblCellMar>
          <w:top w:w="0" w:type="dxa"/>
          <w:left w:w="0" w:type="dxa"/>
          <w:bottom w:w="0" w:type="dxa"/>
          <w:right w:w="0" w:type="dxa"/>
        </w:tblCellMar>
      </w:tblPr>
      <w:tr>
        <w:trPr>
          <w:trHeight w:val="171"/>
        </w:trPr>
        <w:tc>
          <w:tcPr>
            <w:tcW w:w="128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investments</w:t>
            </w:r>
          </w:p>
        </w:tc>
        <w:tc>
          <w:tcPr>
            <w:tcW w:w="4520" w:type="dxa"/>
            <w:vAlign w:val="bottom"/>
            <w:gridSpan w:val="2"/>
          </w:tcPr>
          <w:p>
            <w:pPr>
              <w:jc w:val="right"/>
              <w:ind w:right="12"/>
              <w:spacing w:after="0" w:line="170" w:lineRule="exact"/>
              <w:rPr>
                <w:sz w:val="20"/>
                <w:szCs w:val="20"/>
                <w:color w:val="auto"/>
              </w:rPr>
            </w:pPr>
            <w:r>
              <w:rPr>
                <w:rFonts w:ascii="Courier New" w:cs="Courier New" w:eastAsia="Courier New" w:hAnsi="Courier New"/>
                <w:sz w:val="18"/>
                <w:szCs w:val="18"/>
                <w:color w:val="auto"/>
                <w:w w:val="96"/>
              </w:rPr>
              <w:t>................ -- 5,500 6,750 In-process</w:t>
            </w:r>
          </w:p>
        </w:tc>
        <w:tc>
          <w:tcPr>
            <w:tcW w:w="0" w:type="dxa"/>
            <w:vAlign w:val="bottom"/>
          </w:tcPr>
          <w:p>
            <w:pPr>
              <w:spacing w:after="0"/>
              <w:rPr>
                <w:sz w:val="1"/>
                <w:szCs w:val="1"/>
                <w:color w:val="auto"/>
              </w:rPr>
            </w:pPr>
          </w:p>
        </w:tc>
      </w:tr>
      <w:tr>
        <w:trPr>
          <w:trHeight w:val="203"/>
        </w:trPr>
        <w:tc>
          <w:tcPr>
            <w:tcW w:w="58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research and development expenses and</w:t>
            </w:r>
          </w:p>
        </w:tc>
        <w:tc>
          <w:tcPr>
            <w:tcW w:w="0" w:type="dxa"/>
            <w:vAlign w:val="bottom"/>
          </w:tcPr>
          <w:p>
            <w:pPr>
              <w:spacing w:after="0"/>
              <w:rPr>
                <w:sz w:val="1"/>
                <w:szCs w:val="1"/>
                <w:color w:val="auto"/>
              </w:rPr>
            </w:pPr>
          </w:p>
        </w:tc>
      </w:tr>
      <w:tr>
        <w:trPr>
          <w:trHeight w:val="381"/>
        </w:trPr>
        <w:tc>
          <w:tcPr>
            <w:tcW w:w="1280" w:type="dxa"/>
            <w:vAlign w:val="bottom"/>
          </w:tcPr>
          <w:p>
            <w:pPr>
              <w:jc w:val="right"/>
              <w:spacing w:after="0"/>
              <w:rPr>
                <w:sz w:val="20"/>
                <w:szCs w:val="20"/>
                <w:color w:val="auto"/>
              </w:rPr>
            </w:pPr>
            <w:r>
              <w:rPr>
                <w:rFonts w:ascii="Courier New" w:cs="Courier New" w:eastAsia="Courier New" w:hAnsi="Courier New"/>
                <w:sz w:val="3"/>
                <w:szCs w:val="3"/>
                <w:color w:val="auto"/>
                <w:w w:val="77"/>
              </w:rPr>
              <w:t>other...............................................</w:t>
            </w:r>
            <w:r>
              <w:rPr>
                <w:rFonts w:ascii="Courier New" w:cs="Courier New" w:eastAsia="Courier New" w:hAnsi="Courier New"/>
                <w:sz w:val="6"/>
                <w:szCs w:val="6"/>
                <w:color w:val="auto"/>
                <w:w w:val="77"/>
                <w:vertAlign w:val="subscript"/>
              </w:rPr>
              <w:t>.............................</w:t>
            </w:r>
          </w:p>
        </w:tc>
        <w:tc>
          <w:tcPr>
            <w:tcW w:w="4520" w:type="dxa"/>
            <w:vAlign w:val="bottom"/>
            <w:gridSpan w:val="2"/>
            <w:vMerge w:val="restart"/>
          </w:tcPr>
          <w:p>
            <w:pPr>
              <w:jc w:val="center"/>
              <w:ind w:right="1172"/>
              <w:spacing w:after="0"/>
              <w:rPr>
                <w:sz w:val="20"/>
                <w:szCs w:val="20"/>
                <w:color w:val="auto"/>
              </w:rPr>
            </w:pPr>
            <w:r>
              <w:rPr>
                <w:rFonts w:ascii="Courier New" w:cs="Courier New" w:eastAsia="Courier New" w:hAnsi="Courier New"/>
                <w:sz w:val="18"/>
                <w:szCs w:val="18"/>
                <w:color w:val="auto"/>
                <w:w w:val="97"/>
              </w:rPr>
              <w:t>4,133 17,400 -- Loss on sale of</w:t>
            </w:r>
          </w:p>
        </w:tc>
        <w:tc>
          <w:tcPr>
            <w:tcW w:w="0" w:type="dxa"/>
            <w:vAlign w:val="bottom"/>
          </w:tcPr>
          <w:p>
            <w:pPr>
              <w:spacing w:after="0"/>
              <w:rPr>
                <w:sz w:val="1"/>
                <w:szCs w:val="1"/>
                <w:color w:val="auto"/>
              </w:rPr>
            </w:pPr>
          </w:p>
        </w:tc>
      </w:tr>
      <w:tr>
        <w:trPr>
          <w:trHeight w:val="24"/>
        </w:trPr>
        <w:tc>
          <w:tcPr>
            <w:tcW w:w="1280" w:type="dxa"/>
            <w:vAlign w:val="bottom"/>
            <w:vMerge w:val="restart"/>
          </w:tcPr>
          <w:p>
            <w:pPr>
              <w:spacing w:after="0"/>
              <w:rPr>
                <w:sz w:val="20"/>
                <w:szCs w:val="20"/>
                <w:color w:val="auto"/>
              </w:rPr>
            </w:pPr>
            <w:r>
              <w:rPr>
                <w:rFonts w:ascii="Courier New" w:cs="Courier New" w:eastAsia="Courier New" w:hAnsi="Courier New"/>
                <w:sz w:val="18"/>
                <w:szCs w:val="18"/>
                <w:color w:val="auto"/>
              </w:rPr>
              <w:t>equipment</w:t>
            </w:r>
          </w:p>
        </w:tc>
        <w:tc>
          <w:tcPr>
            <w:tcW w:w="45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80" w:type="dxa"/>
            <w:vAlign w:val="bottom"/>
            <w:vMerge w:val="continue"/>
          </w:tcPr>
          <w:p>
            <w:pPr>
              <w:spacing w:after="0"/>
              <w:rPr>
                <w:sz w:val="17"/>
                <w:szCs w:val="17"/>
                <w:color w:val="auto"/>
              </w:rPr>
            </w:pPr>
          </w:p>
        </w:tc>
        <w:tc>
          <w:tcPr>
            <w:tcW w:w="2320" w:type="dxa"/>
            <w:vAlign w:val="bottom"/>
          </w:tcPr>
          <w:p>
            <w:pPr>
              <w:spacing w:after="0"/>
              <w:rPr>
                <w:sz w:val="17"/>
                <w:szCs w:val="17"/>
                <w:color w:val="auto"/>
              </w:rPr>
            </w:pP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396 549 593 Gain</w:t>
            </w:r>
          </w:p>
        </w:tc>
        <w:tc>
          <w:tcPr>
            <w:tcW w:w="0" w:type="dxa"/>
            <w:vAlign w:val="bottom"/>
          </w:tcPr>
          <w:p>
            <w:pPr>
              <w:spacing w:after="0"/>
              <w:rPr>
                <w:sz w:val="1"/>
                <w:szCs w:val="1"/>
                <w:color w:val="auto"/>
              </w:rPr>
            </w:pPr>
          </w:p>
        </w:tc>
      </w:tr>
      <w:tr>
        <w:trPr>
          <w:trHeight w:val="203"/>
        </w:trPr>
        <w:tc>
          <w:tcPr>
            <w:tcW w:w="3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on repurchase of convertible notes</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(448)</w:t>
            </w:r>
          </w:p>
        </w:tc>
        <w:tc>
          <w:tcPr>
            <w:tcW w:w="0" w:type="dxa"/>
            <w:vAlign w:val="bottom"/>
          </w:tcPr>
          <w:p>
            <w:pPr>
              <w:spacing w:after="0"/>
              <w:rPr>
                <w:sz w:val="1"/>
                <w:szCs w:val="1"/>
                <w:color w:val="auto"/>
              </w:rPr>
            </w:pPr>
          </w:p>
        </w:tc>
      </w:tr>
      <w:tr>
        <w:trPr>
          <w:trHeight w:val="203"/>
        </w:trPr>
        <w:tc>
          <w:tcPr>
            <w:tcW w:w="12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8"/>
              </w:rPr>
              <w:t>taxes.................................</w:t>
            </w:r>
          </w:p>
        </w:tc>
        <w:tc>
          <w:tcPr>
            <w:tcW w:w="4520" w:type="dxa"/>
            <w:vAlign w:val="bottom"/>
            <w:gridSpan w:val="2"/>
          </w:tcPr>
          <w:p>
            <w:pPr>
              <w:jc w:val="center"/>
              <w:ind w:right="1172"/>
              <w:spacing w:after="0" w:line="203" w:lineRule="exact"/>
              <w:rPr>
                <w:sz w:val="20"/>
                <w:szCs w:val="20"/>
                <w:color w:val="auto"/>
              </w:rPr>
            </w:pPr>
            <w:r>
              <w:rPr>
                <w:rFonts w:ascii="Courier New" w:cs="Courier New" w:eastAsia="Courier New" w:hAnsi="Courier New"/>
                <w:sz w:val="18"/>
                <w:szCs w:val="18"/>
                <w:color w:val="auto"/>
                <w:w w:val="97"/>
              </w:rPr>
              <w:t>(6,012) -- Deferred income</w:t>
            </w:r>
          </w:p>
        </w:tc>
        <w:tc>
          <w:tcPr>
            <w:tcW w:w="0" w:type="dxa"/>
            <w:vAlign w:val="bottom"/>
          </w:tcPr>
          <w:p>
            <w:pPr>
              <w:spacing w:after="0"/>
              <w:rPr>
                <w:sz w:val="1"/>
                <w:szCs w:val="1"/>
                <w:color w:val="auto"/>
              </w:rPr>
            </w:pPr>
          </w:p>
        </w:tc>
      </w:tr>
      <w:tr>
        <w:trPr>
          <w:trHeight w:val="203"/>
        </w:trPr>
        <w:tc>
          <w:tcPr>
            <w:tcW w:w="1280" w:type="dxa"/>
            <w:vAlign w:val="bottom"/>
            <w:vMerge w:val="continue"/>
          </w:tcPr>
          <w:p>
            <w:pPr>
              <w:spacing w:after="0"/>
              <w:rPr>
                <w:sz w:val="17"/>
                <w:szCs w:val="17"/>
                <w:color w:val="auto"/>
              </w:rPr>
            </w:pPr>
          </w:p>
        </w:tc>
        <w:tc>
          <w:tcPr>
            <w:tcW w:w="2320" w:type="dxa"/>
            <w:vAlign w:val="bottom"/>
          </w:tcPr>
          <w:p>
            <w:pPr>
              <w:spacing w:after="0"/>
              <w:rPr>
                <w:sz w:val="17"/>
                <w:szCs w:val="17"/>
                <w:color w:val="auto"/>
              </w:rPr>
            </w:pPr>
          </w:p>
        </w:tc>
        <w:tc>
          <w:tcPr>
            <w:tcW w:w="2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4,001 (1,665)</w:t>
            </w:r>
          </w:p>
        </w:tc>
        <w:tc>
          <w:tcPr>
            <w:tcW w:w="0" w:type="dxa"/>
            <w:vAlign w:val="bottom"/>
          </w:tcPr>
          <w:p>
            <w:pPr>
              <w:spacing w:after="0"/>
              <w:rPr>
                <w:sz w:val="1"/>
                <w:szCs w:val="1"/>
                <w:color w:val="auto"/>
              </w:rPr>
            </w:pPr>
          </w:p>
        </w:tc>
      </w:tr>
      <w:tr>
        <w:trPr>
          <w:trHeight w:val="203"/>
        </w:trPr>
        <w:tc>
          <w:tcPr>
            <w:tcW w:w="58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5,018 Tax benefit of stock options</w:t>
            </w:r>
          </w:p>
        </w:tc>
        <w:tc>
          <w:tcPr>
            <w:tcW w:w="0" w:type="dxa"/>
            <w:vAlign w:val="bottom"/>
          </w:tcPr>
          <w:p>
            <w:pPr>
              <w:spacing w:after="0"/>
              <w:rPr>
                <w:sz w:val="1"/>
                <w:szCs w:val="1"/>
                <w:color w:val="auto"/>
              </w:rPr>
            </w:pPr>
          </w:p>
        </w:tc>
      </w:tr>
      <w:tr>
        <w:trPr>
          <w:trHeight w:val="203"/>
        </w:trPr>
        <w:tc>
          <w:tcPr>
            <w:tcW w:w="1280" w:type="dxa"/>
            <w:vAlign w:val="bottom"/>
          </w:tcPr>
          <w:p>
            <w:pPr>
              <w:jc w:val="right"/>
              <w:spacing w:after="0"/>
              <w:rPr>
                <w:sz w:val="20"/>
                <w:szCs w:val="20"/>
                <w:color w:val="auto"/>
              </w:rPr>
            </w:pPr>
            <w:r>
              <w:rPr>
                <w:rFonts w:ascii="Courier New" w:cs="Courier New" w:eastAsia="Courier New" w:hAnsi="Courier New"/>
                <w:sz w:val="11"/>
                <w:szCs w:val="11"/>
                <w:color w:val="auto"/>
                <w:w w:val="76"/>
              </w:rPr>
              <w:t>exercised................</w:t>
            </w:r>
          </w:p>
        </w:tc>
        <w:tc>
          <w:tcPr>
            <w:tcW w:w="4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262 6,808 7,345 Unrealized</w:t>
            </w:r>
          </w:p>
        </w:tc>
        <w:tc>
          <w:tcPr>
            <w:tcW w:w="0" w:type="dxa"/>
            <w:vAlign w:val="bottom"/>
          </w:tcPr>
          <w:p>
            <w:pPr>
              <w:spacing w:after="0"/>
              <w:rPr>
                <w:sz w:val="1"/>
                <w:szCs w:val="1"/>
                <w:color w:val="auto"/>
              </w:rPr>
            </w:pPr>
          </w:p>
        </w:tc>
      </w:tr>
      <w:tr>
        <w:trPr>
          <w:trHeight w:val="203"/>
        </w:trPr>
        <w:tc>
          <w:tcPr>
            <w:tcW w:w="3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7"/>
              </w:rPr>
              <w:t>other comprehensive income (loss)..........</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5,103 8,967</w:t>
            </w:r>
          </w:p>
        </w:tc>
        <w:tc>
          <w:tcPr>
            <w:tcW w:w="0" w:type="dxa"/>
            <w:vAlign w:val="bottom"/>
          </w:tcPr>
          <w:p>
            <w:pPr>
              <w:spacing w:after="0"/>
              <w:rPr>
                <w:sz w:val="1"/>
                <w:szCs w:val="1"/>
                <w:color w:val="auto"/>
              </w:rPr>
            </w:pPr>
          </w:p>
        </w:tc>
      </w:tr>
      <w:tr>
        <w:trPr>
          <w:trHeight w:val="203"/>
        </w:trPr>
        <w:tc>
          <w:tcPr>
            <w:tcW w:w="58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(10,773) Net changes in operating assets and</w:t>
            </w:r>
          </w:p>
        </w:tc>
        <w:tc>
          <w:tcPr>
            <w:tcW w:w="0" w:type="dxa"/>
            <w:vAlign w:val="bottom"/>
          </w:tcPr>
          <w:p>
            <w:pPr>
              <w:spacing w:after="0"/>
              <w:rPr>
                <w:sz w:val="1"/>
                <w:szCs w:val="1"/>
                <w:color w:val="auto"/>
              </w:rPr>
            </w:pPr>
          </w:p>
        </w:tc>
      </w:tr>
      <w:tr>
        <w:trPr>
          <w:trHeight w:val="203"/>
        </w:trPr>
        <w:tc>
          <w:tcPr>
            <w:tcW w:w="58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liabilities, net of amounts acquired: Accounts</w:t>
            </w:r>
          </w:p>
        </w:tc>
        <w:tc>
          <w:tcPr>
            <w:tcW w:w="0" w:type="dxa"/>
            <w:vAlign w:val="bottom"/>
          </w:tcPr>
          <w:p>
            <w:pPr>
              <w:spacing w:after="0"/>
              <w:rPr>
                <w:sz w:val="1"/>
                <w:szCs w:val="1"/>
                <w:color w:val="auto"/>
              </w:rPr>
            </w:pPr>
          </w:p>
        </w:tc>
      </w:tr>
      <w:tr>
        <w:trPr>
          <w:trHeight w:val="203"/>
        </w:trPr>
        <w:tc>
          <w:tcPr>
            <w:tcW w:w="3600" w:type="dxa"/>
            <w:vAlign w:val="bottom"/>
            <w:gridSpan w:val="2"/>
          </w:tcPr>
          <w:p>
            <w:pPr>
              <w:spacing w:after="0"/>
              <w:rPr>
                <w:sz w:val="20"/>
                <w:szCs w:val="20"/>
                <w:color w:val="auto"/>
              </w:rPr>
            </w:pPr>
            <w:r>
              <w:rPr>
                <w:rFonts w:ascii="Courier New" w:cs="Courier New" w:eastAsia="Courier New" w:hAnsi="Courier New"/>
                <w:sz w:val="16"/>
                <w:szCs w:val="16"/>
                <w:color w:val="auto"/>
                <w:w w:val="77"/>
              </w:rPr>
              <w:t>receivable......................................</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58,485</w:t>
            </w:r>
          </w:p>
        </w:tc>
        <w:tc>
          <w:tcPr>
            <w:tcW w:w="0" w:type="dxa"/>
            <w:vAlign w:val="bottom"/>
          </w:tcPr>
          <w:p>
            <w:pPr>
              <w:spacing w:after="0"/>
              <w:rPr>
                <w:sz w:val="1"/>
                <w:szCs w:val="1"/>
                <w:color w:val="auto"/>
              </w:rPr>
            </w:pPr>
          </w:p>
        </w:tc>
      </w:tr>
      <w:tr>
        <w:trPr>
          <w:trHeight w:val="203"/>
        </w:trPr>
        <w:tc>
          <w:tcPr>
            <w:tcW w:w="58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97,055 (121,751) Prepaid expenses and other current</w:t>
            </w:r>
          </w:p>
        </w:tc>
        <w:tc>
          <w:tcPr>
            <w:tcW w:w="0" w:type="dxa"/>
            <w:vAlign w:val="bottom"/>
          </w:tcPr>
          <w:p>
            <w:pPr>
              <w:spacing w:after="0"/>
              <w:rPr>
                <w:sz w:val="1"/>
                <w:szCs w:val="1"/>
                <w:color w:val="auto"/>
              </w:rPr>
            </w:pPr>
          </w:p>
        </w:tc>
      </w:tr>
      <w:tr>
        <w:trPr>
          <w:trHeight w:val="203"/>
        </w:trPr>
        <w:tc>
          <w:tcPr>
            <w:tcW w:w="1280" w:type="dxa"/>
            <w:vAlign w:val="bottom"/>
          </w:tcPr>
          <w:p>
            <w:pPr>
              <w:jc w:val="right"/>
              <w:spacing w:after="0"/>
              <w:rPr>
                <w:sz w:val="20"/>
                <w:szCs w:val="20"/>
                <w:color w:val="auto"/>
              </w:rPr>
            </w:pPr>
            <w:r>
              <w:rPr>
                <w:rFonts w:ascii="Courier New" w:cs="Courier New" w:eastAsia="Courier New" w:hAnsi="Courier New"/>
                <w:sz w:val="13"/>
                <w:szCs w:val="13"/>
                <w:color w:val="auto"/>
                <w:w w:val="73"/>
              </w:rPr>
              <w:t>assets................</w:t>
            </w:r>
          </w:p>
        </w:tc>
        <w:tc>
          <w:tcPr>
            <w:tcW w:w="4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(4,025) (22,992) (3,718) Other</w:t>
            </w:r>
          </w:p>
        </w:tc>
        <w:tc>
          <w:tcPr>
            <w:tcW w:w="0" w:type="dxa"/>
            <w:vAlign w:val="bottom"/>
          </w:tcPr>
          <w:p>
            <w:pPr>
              <w:spacing w:after="0"/>
              <w:rPr>
                <w:sz w:val="1"/>
                <w:szCs w:val="1"/>
                <w:color w:val="auto"/>
              </w:rPr>
            </w:pPr>
          </w:p>
        </w:tc>
      </w:tr>
      <w:tr>
        <w:trPr>
          <w:trHeight w:val="235"/>
        </w:trPr>
        <w:tc>
          <w:tcPr>
            <w:tcW w:w="580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noncurrent assets..................................</w:t>
            </w:r>
          </w:p>
        </w:tc>
        <w:tc>
          <w:tcPr>
            <w:tcW w:w="0" w:type="dxa"/>
            <w:vAlign w:val="bottom"/>
          </w:tcPr>
          <w:p>
            <w:pPr>
              <w:spacing w:after="0"/>
              <w:rPr>
                <w:sz w:val="1"/>
                <w:szCs w:val="1"/>
                <w:color w:val="auto"/>
              </w:rPr>
            </w:pPr>
          </w:p>
        </w:tc>
      </w:tr>
    </w:tbl>
    <w:p>
      <w:pPr>
        <w:ind w:left="220"/>
        <w:spacing w:after="0" w:line="238" w:lineRule="auto"/>
        <w:rPr>
          <w:sz w:val="20"/>
          <w:szCs w:val="20"/>
          <w:color w:val="auto"/>
        </w:rPr>
      </w:pPr>
      <w:r>
        <w:rPr>
          <w:rFonts w:ascii="Courier New" w:cs="Courier New" w:eastAsia="Courier New" w:hAnsi="Courier New"/>
          <w:sz w:val="18"/>
          <w:szCs w:val="18"/>
          <w:color w:val="auto"/>
        </w:rPr>
        <w:t>(26,882) (9,875) (7,826) Accounts payable and accrued</w:t>
      </w:r>
    </w:p>
    <w:tbl>
      <w:tblPr>
        <w:tblLayout w:type="fixed"/>
        <w:tblInd w:w="60" w:type="dxa"/>
        <w:tblCellMar>
          <w:top w:w="0" w:type="dxa"/>
          <w:left w:w="0" w:type="dxa"/>
          <w:bottom w:w="0" w:type="dxa"/>
          <w:right w:w="0" w:type="dxa"/>
        </w:tblCellMar>
      </w:tblPr>
      <w:tr>
        <w:trPr>
          <w:trHeight w:val="171"/>
        </w:trPr>
        <w:tc>
          <w:tcPr>
            <w:tcW w:w="110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expenses</w:t>
            </w:r>
          </w:p>
        </w:tc>
        <w:tc>
          <w:tcPr>
            <w:tcW w:w="4800" w:type="dxa"/>
            <w:vAlign w:val="bottom"/>
          </w:tcPr>
          <w:p>
            <w:pPr>
              <w:jc w:val="right"/>
              <w:ind w:right="172"/>
              <w:spacing w:after="0" w:line="171" w:lineRule="exact"/>
              <w:rPr>
                <w:sz w:val="20"/>
                <w:szCs w:val="20"/>
                <w:color w:val="auto"/>
              </w:rPr>
            </w:pPr>
            <w:r>
              <w:rPr>
                <w:rFonts w:ascii="Courier New" w:cs="Courier New" w:eastAsia="Courier New" w:hAnsi="Courier New"/>
                <w:sz w:val="18"/>
                <w:szCs w:val="18"/>
                <w:color w:val="auto"/>
                <w:w w:val="97"/>
              </w:rPr>
              <w:t>.................... (5,429) (2,461) 71,772</w:t>
            </w:r>
          </w:p>
        </w:tc>
        <w:tc>
          <w:tcPr>
            <w:tcW w:w="0" w:type="dxa"/>
            <w:vAlign w:val="bottom"/>
          </w:tcPr>
          <w:p>
            <w:pPr>
              <w:spacing w:after="0"/>
              <w:rPr>
                <w:sz w:val="1"/>
                <w:szCs w:val="1"/>
                <w:color w:val="auto"/>
              </w:rPr>
            </w:pPr>
          </w:p>
        </w:tc>
      </w:tr>
      <w:tr>
        <w:trPr>
          <w:trHeight w:val="203"/>
        </w:trPr>
        <w:tc>
          <w:tcPr>
            <w:tcW w:w="1100" w:type="dxa"/>
            <w:vAlign w:val="bottom"/>
            <w:vMerge w:val="restart"/>
          </w:tcPr>
          <w:p>
            <w:pPr>
              <w:jc w:val="right"/>
              <w:spacing w:after="0"/>
              <w:rPr>
                <w:sz w:val="20"/>
                <w:szCs w:val="20"/>
                <w:color w:val="auto"/>
              </w:rPr>
            </w:pPr>
            <w:r>
              <w:rPr>
                <w:rFonts w:ascii="Courier New" w:cs="Courier New" w:eastAsia="Courier New" w:hAnsi="Courier New"/>
                <w:sz w:val="5"/>
                <w:szCs w:val="5"/>
                <w:color w:val="auto"/>
                <w:w w:val="74"/>
              </w:rPr>
              <w:t>revenue.........................................</w:t>
            </w:r>
          </w:p>
        </w:tc>
        <w:tc>
          <w:tcPr>
            <w:tcW w:w="4800" w:type="dxa"/>
            <w:vAlign w:val="bottom"/>
          </w:tcPr>
          <w:p>
            <w:pPr>
              <w:jc w:val="center"/>
              <w:ind w:right="1032"/>
              <w:spacing w:after="0" w:line="203" w:lineRule="exact"/>
              <w:rPr>
                <w:sz w:val="20"/>
                <w:szCs w:val="20"/>
                <w:color w:val="auto"/>
              </w:rPr>
            </w:pPr>
            <w:r>
              <w:rPr>
                <w:rFonts w:ascii="Courier New" w:cs="Courier New" w:eastAsia="Courier New" w:hAnsi="Courier New"/>
                <w:sz w:val="18"/>
                <w:szCs w:val="18"/>
                <w:color w:val="auto"/>
                <w:w w:val="97"/>
              </w:rPr>
              <w:t>Deferred</w:t>
            </w: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4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53,294</w:t>
            </w:r>
          </w:p>
        </w:tc>
        <w:tc>
          <w:tcPr>
            <w:tcW w:w="0" w:type="dxa"/>
            <w:vAlign w:val="bottom"/>
          </w:tcPr>
          <w:p>
            <w:pPr>
              <w:spacing w:after="0"/>
              <w:rPr>
                <w:sz w:val="1"/>
                <w:szCs w:val="1"/>
                <w:color w:val="auto"/>
              </w:rPr>
            </w:pPr>
          </w:p>
        </w:tc>
      </w:tr>
      <w:tr>
        <w:trPr>
          <w:trHeight w:val="203"/>
        </w:trPr>
        <w:tc>
          <w:tcPr>
            <w:tcW w:w="1100" w:type="dxa"/>
            <w:vAlign w:val="bottom"/>
            <w:vMerge w:val="restart"/>
          </w:tcPr>
          <w:p>
            <w:pPr>
              <w:jc w:val="right"/>
              <w:spacing w:after="0"/>
              <w:rPr>
                <w:sz w:val="20"/>
                <w:szCs w:val="20"/>
                <w:color w:val="auto"/>
              </w:rPr>
            </w:pPr>
            <w:r>
              <w:rPr>
                <w:rFonts w:ascii="Courier New" w:cs="Courier New" w:eastAsia="Courier New" w:hAnsi="Courier New"/>
                <w:sz w:val="5"/>
                <w:szCs w:val="5"/>
                <w:color w:val="auto"/>
                <w:w w:val="81"/>
              </w:rPr>
              <w:t>payable.....................................</w:t>
            </w:r>
          </w:p>
        </w:tc>
        <w:tc>
          <w:tcPr>
            <w:tcW w:w="4800" w:type="dxa"/>
            <w:vAlign w:val="bottom"/>
          </w:tcPr>
          <w:p>
            <w:pPr>
              <w:jc w:val="center"/>
              <w:ind w:right="1032"/>
              <w:spacing w:after="0" w:line="203" w:lineRule="exact"/>
              <w:rPr>
                <w:sz w:val="20"/>
                <w:szCs w:val="20"/>
                <w:color w:val="auto"/>
              </w:rPr>
            </w:pPr>
            <w:r>
              <w:rPr>
                <w:rFonts w:ascii="Courier New" w:cs="Courier New" w:eastAsia="Courier New" w:hAnsi="Courier New"/>
                <w:sz w:val="18"/>
                <w:szCs w:val="18"/>
                <w:color w:val="auto"/>
                <w:w w:val="97"/>
              </w:rPr>
              <w:t>(21,253) 6,487 Income taxes</w:t>
            </w: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4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21,854</w:t>
            </w:r>
          </w:p>
        </w:tc>
        <w:tc>
          <w:tcPr>
            <w:tcW w:w="0" w:type="dxa"/>
            <w:vAlign w:val="bottom"/>
          </w:tcPr>
          <w:p>
            <w:pPr>
              <w:spacing w:after="0"/>
              <w:rPr>
                <w:sz w:val="1"/>
                <w:szCs w:val="1"/>
                <w:color w:val="auto"/>
              </w:rPr>
            </w:pPr>
          </w:p>
        </w:tc>
      </w:tr>
      <w:tr>
        <w:trPr>
          <w:trHeight w:val="203"/>
        </w:trPr>
        <w:tc>
          <w:tcPr>
            <w:tcW w:w="5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(4,798) 20,703 Noncurrent liabilities and</w:t>
            </w:r>
          </w:p>
        </w:tc>
        <w:tc>
          <w:tcPr>
            <w:tcW w:w="0" w:type="dxa"/>
            <w:vAlign w:val="bottom"/>
          </w:tcPr>
          <w:p>
            <w:pPr>
              <w:spacing w:after="0"/>
              <w:rPr>
                <w:sz w:val="1"/>
                <w:szCs w:val="1"/>
                <w:color w:val="auto"/>
              </w:rPr>
            </w:pPr>
          </w:p>
        </w:tc>
      </w:tr>
      <w:tr>
        <w:trPr>
          <w:trHeight w:val="0"/>
        </w:trPr>
        <w:tc>
          <w:tcPr>
            <w:tcW w:w="1100" w:type="dxa"/>
            <w:vAlign w:val="bottom"/>
          </w:tcPr>
          <w:p>
            <w:pPr>
              <w:jc w:val="right"/>
              <w:spacing w:after="0"/>
              <w:rPr>
                <w:sz w:val="20"/>
                <w:szCs w:val="20"/>
                <w:color w:val="auto"/>
              </w:rPr>
            </w:pPr>
            <w:r>
              <w:rPr>
                <w:rFonts w:ascii="Courier New" w:cs="Courier New" w:eastAsia="Courier New" w:hAnsi="Courier New"/>
                <w:sz w:val="8"/>
                <w:szCs w:val="8"/>
                <w:color w:val="auto"/>
                <w:w w:val="74"/>
              </w:rPr>
              <w:t>other.........................</w:t>
            </w:r>
          </w:p>
        </w:tc>
        <w:tc>
          <w:tcPr>
            <w:tcW w:w="4800" w:type="dxa"/>
            <w:vAlign w:val="bottom"/>
          </w:tcPr>
          <w:p>
            <w:pPr>
              <w:jc w:val="right"/>
              <w:spacing w:after="0"/>
              <w:rPr>
                <w:sz w:val="20"/>
                <w:szCs w:val="20"/>
                <w:color w:val="auto"/>
              </w:rPr>
            </w:pPr>
            <w:r>
              <w:rPr>
                <w:rFonts w:ascii="Courier New" w:cs="Courier New" w:eastAsia="Courier New" w:hAnsi="Courier New"/>
                <w:sz w:val="18"/>
                <w:szCs w:val="18"/>
                <w:color w:val="auto"/>
              </w:rPr>
              <w:t>4,892 40,293 14,376 -----</w:t>
            </w: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60" w:right="4259" w:firstLine="53"/>
        <w:spacing w:after="0" w:line="245" w:lineRule="auto"/>
        <w:rPr>
          <w:sz w:val="20"/>
          <w:szCs w:val="20"/>
          <w:color w:val="auto"/>
        </w:rPr>
      </w:pPr>
      <w:r>
        <w:rPr>
          <w:rFonts w:ascii="Courier New" w:cs="Courier New" w:eastAsia="Courier New" w:hAnsi="Courier New"/>
          <w:sz w:val="18"/>
          <w:szCs w:val="18"/>
          <w:color w:val="auto"/>
        </w:rPr>
        <w:t>---- --------- --------- Net cash provided by operating activities.................. 381,971 412,276 337,987 --- ------ --------- --------- CASH FLOW FROM INVESTING ACTIVITIES: Proceeds from sale of equipment, vehicles and leasehold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improvements.............................................</w:t>
      </w:r>
    </w:p>
    <w:p>
      <w:pPr>
        <w:spacing w:after="0" w:line="20"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8"/>
          <w:szCs w:val="18"/>
          <w:color w:val="auto"/>
        </w:rPr>
        <w:t>2,532 1,795 2,062 Payments for purchase of equipment,</w:t>
      </w:r>
    </w:p>
    <w:p>
      <w:pPr>
        <w:jc w:val="center"/>
        <w:ind w:right="4219"/>
        <w:spacing w:after="0" w:line="238" w:lineRule="auto"/>
        <w:rPr>
          <w:sz w:val="20"/>
          <w:szCs w:val="20"/>
          <w:color w:val="auto"/>
        </w:rPr>
      </w:pPr>
      <w:r>
        <w:rPr>
          <w:rFonts w:ascii="Courier New" w:cs="Courier New" w:eastAsia="Courier New" w:hAnsi="Courier New"/>
          <w:sz w:val="18"/>
          <w:szCs w:val="18"/>
          <w:color w:val="auto"/>
        </w:rPr>
        <w:t>vehicles, leasehold improvements and</w:t>
      </w:r>
    </w:p>
    <w:tbl>
      <w:tblPr>
        <w:tblLayout w:type="fixed"/>
        <w:tblInd w:w="60" w:type="dxa"/>
        <w:tblCellMar>
          <w:top w:w="0" w:type="dxa"/>
          <w:left w:w="0" w:type="dxa"/>
          <w:bottom w:w="0" w:type="dxa"/>
          <w:right w:w="0" w:type="dxa"/>
        </w:tblCellMar>
      </w:tblPr>
      <w:tr>
        <w:trPr>
          <w:trHeight w:val="171"/>
        </w:trPr>
        <w:tc>
          <w:tcPr>
            <w:tcW w:w="3900" w:type="dxa"/>
            <w:vAlign w:val="bottom"/>
            <w:gridSpan w:val="2"/>
          </w:tcPr>
          <w:p>
            <w:pPr>
              <w:jc w:val="right"/>
              <w:spacing w:after="0" w:line="171" w:lineRule="exact"/>
              <w:rPr>
                <w:sz w:val="20"/>
                <w:szCs w:val="20"/>
                <w:color w:val="auto"/>
              </w:rPr>
            </w:pPr>
            <w:r>
              <w:rPr>
                <w:rFonts w:ascii="Courier New" w:cs="Courier New" w:eastAsia="Courier New" w:hAnsi="Courier New"/>
                <w:sz w:val="18"/>
                <w:szCs w:val="18"/>
                <w:color w:val="auto"/>
                <w:w w:val="89"/>
              </w:rPr>
              <w:t>other...................................</w:t>
            </w:r>
          </w:p>
        </w:tc>
        <w:tc>
          <w:tcPr>
            <w:tcW w:w="2000" w:type="dxa"/>
            <w:vAlign w:val="bottom"/>
            <w:gridSpan w:val="2"/>
          </w:tcPr>
          <w:p>
            <w:pPr>
              <w:jc w:val="right"/>
              <w:ind w:right="292"/>
              <w:spacing w:after="0" w:line="171" w:lineRule="exact"/>
              <w:rPr>
                <w:sz w:val="20"/>
                <w:szCs w:val="20"/>
                <w:color w:val="auto"/>
              </w:rPr>
            </w:pPr>
            <w:r>
              <w:rPr>
                <w:rFonts w:ascii="Courier New" w:cs="Courier New" w:eastAsia="Courier New" w:hAnsi="Courier New"/>
                <w:sz w:val="18"/>
                <w:szCs w:val="18"/>
                <w:color w:val="auto"/>
              </w:rPr>
              <w:t>(62,410)</w:t>
            </w:r>
          </w:p>
        </w:tc>
        <w:tc>
          <w:tcPr>
            <w:tcW w:w="0" w:type="dxa"/>
            <w:vAlign w:val="bottom"/>
          </w:tcPr>
          <w:p>
            <w:pPr>
              <w:spacing w:after="0"/>
              <w:rPr>
                <w:sz w:val="1"/>
                <w:szCs w:val="1"/>
                <w:color w:val="auto"/>
              </w:rPr>
            </w:pPr>
          </w:p>
        </w:tc>
      </w:tr>
      <w:tr>
        <w:trPr>
          <w:trHeight w:val="203"/>
        </w:trPr>
        <w:tc>
          <w:tcPr>
            <w:tcW w:w="59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(58,562) (91,891) Proceeds from sale (purchase) of</w:t>
            </w:r>
          </w:p>
        </w:tc>
        <w:tc>
          <w:tcPr>
            <w:tcW w:w="0" w:type="dxa"/>
            <w:vAlign w:val="bottom"/>
          </w:tcPr>
          <w:p>
            <w:pPr>
              <w:spacing w:after="0"/>
              <w:rPr>
                <w:sz w:val="1"/>
                <w:szCs w:val="1"/>
                <w:color w:val="auto"/>
              </w:rPr>
            </w:pPr>
          </w:p>
        </w:tc>
      </w:tr>
      <w:tr>
        <w:trPr>
          <w:trHeight w:val="203"/>
        </w:trPr>
        <w:tc>
          <w:tcPr>
            <w:tcW w:w="5100" w:type="dxa"/>
            <w:vAlign w:val="bottom"/>
            <w:gridSpan w:val="3"/>
          </w:tcPr>
          <w:p>
            <w:pPr>
              <w:jc w:val="center"/>
              <w:ind w:left="717"/>
              <w:spacing w:after="0" w:line="203" w:lineRule="exact"/>
              <w:rPr>
                <w:sz w:val="20"/>
                <w:szCs w:val="20"/>
                <w:color w:val="auto"/>
              </w:rPr>
            </w:pPr>
            <w:r>
              <w:rPr>
                <w:rFonts w:ascii="Courier New" w:cs="Courier New" w:eastAsia="Courier New" w:hAnsi="Courier New"/>
                <w:sz w:val="18"/>
                <w:szCs w:val="18"/>
                <w:color w:val="auto"/>
                <w:w w:val="97"/>
              </w:rPr>
              <w:t>short-term interest-bearing investments,</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w w:val="72"/>
              </w:rPr>
              <w:t>net........................</w:t>
            </w:r>
          </w:p>
        </w:tc>
        <w:tc>
          <w:tcPr>
            <w:tcW w:w="4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137,872 (344,095) (237,069)</w:t>
            </w:r>
          </w:p>
        </w:tc>
        <w:tc>
          <w:tcPr>
            <w:tcW w:w="0" w:type="dxa"/>
            <w:vAlign w:val="bottom"/>
          </w:tcPr>
          <w:p>
            <w:pPr>
              <w:spacing w:after="0"/>
              <w:rPr>
                <w:sz w:val="1"/>
                <w:szCs w:val="1"/>
                <w:color w:val="auto"/>
              </w:rPr>
            </w:pPr>
          </w:p>
        </w:tc>
      </w:tr>
      <w:tr>
        <w:trPr>
          <w:trHeight w:val="203"/>
        </w:trPr>
        <w:tc>
          <w:tcPr>
            <w:tcW w:w="5100" w:type="dxa"/>
            <w:vAlign w:val="bottom"/>
            <w:gridSpan w:val="3"/>
          </w:tcPr>
          <w:p>
            <w:pPr>
              <w:jc w:val="center"/>
              <w:ind w:left="717"/>
              <w:spacing w:after="0" w:line="203" w:lineRule="exact"/>
              <w:rPr>
                <w:sz w:val="20"/>
                <w:szCs w:val="20"/>
                <w:color w:val="auto"/>
              </w:rPr>
            </w:pPr>
            <w:r>
              <w:rPr>
                <w:rFonts w:ascii="Courier New" w:cs="Courier New" w:eastAsia="Courier New" w:hAnsi="Courier New"/>
                <w:sz w:val="18"/>
                <w:szCs w:val="18"/>
                <w:color w:val="auto"/>
                <w:w w:val="97"/>
              </w:rPr>
              <w:t>Investment in noncurrent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3"/>
                <w:szCs w:val="13"/>
                <w:color w:val="auto"/>
                <w:w w:val="70"/>
              </w:rPr>
              <w:t>assets............................</w:t>
            </w:r>
          </w:p>
        </w:tc>
        <w:tc>
          <w:tcPr>
            <w:tcW w:w="4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(39,584) (12,291)</w:t>
            </w:r>
          </w:p>
        </w:tc>
        <w:tc>
          <w:tcPr>
            <w:tcW w:w="0" w:type="dxa"/>
            <w:vAlign w:val="bottom"/>
          </w:tcPr>
          <w:p>
            <w:pPr>
              <w:spacing w:after="0"/>
              <w:rPr>
                <w:sz w:val="1"/>
                <w:szCs w:val="1"/>
                <w:color w:val="auto"/>
              </w:rPr>
            </w:pPr>
          </w:p>
        </w:tc>
      </w:tr>
      <w:tr>
        <w:trPr>
          <w:trHeight w:val="203"/>
        </w:trPr>
        <w:tc>
          <w:tcPr>
            <w:tcW w:w="190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4"/>
              </w:rPr>
              <w:t>acquisitions..........................</w:t>
            </w:r>
          </w:p>
        </w:tc>
        <w:tc>
          <w:tcPr>
            <w:tcW w:w="3200" w:type="dxa"/>
            <w:vAlign w:val="bottom"/>
            <w:gridSpan w:val="2"/>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Net cash paid for in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20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(30,980)</w:t>
            </w:r>
          </w:p>
        </w:tc>
        <w:tc>
          <w:tcPr>
            <w:tcW w:w="0" w:type="dxa"/>
            <w:vAlign w:val="bottom"/>
          </w:tcPr>
          <w:p>
            <w:pPr>
              <w:spacing w:after="0"/>
              <w:rPr>
                <w:sz w:val="1"/>
                <w:szCs w:val="1"/>
                <w:color w:val="auto"/>
              </w:rPr>
            </w:pPr>
          </w:p>
        </w:tc>
      </w:tr>
      <w:tr>
        <w:trPr>
          <w:trHeight w:val="203"/>
        </w:trPr>
        <w:tc>
          <w:tcPr>
            <w:tcW w:w="59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(213,180) -- --------- --------- --------- Net cash</w:t>
            </w:r>
          </w:p>
        </w:tc>
        <w:tc>
          <w:tcPr>
            <w:tcW w:w="0" w:type="dxa"/>
            <w:vAlign w:val="bottom"/>
          </w:tcPr>
          <w:p>
            <w:pPr>
              <w:spacing w:after="0"/>
              <w:rPr>
                <w:sz w:val="1"/>
                <w:szCs w:val="1"/>
                <w:color w:val="auto"/>
              </w:rPr>
            </w:pPr>
          </w:p>
        </w:tc>
      </w:tr>
      <w:tr>
        <w:trPr>
          <w:trHeight w:val="203"/>
        </w:trPr>
        <w:tc>
          <w:tcPr>
            <w:tcW w:w="59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provided by (used in) investing activities........</w:t>
            </w:r>
          </w:p>
        </w:tc>
        <w:tc>
          <w:tcPr>
            <w:tcW w:w="0" w:type="dxa"/>
            <w:vAlign w:val="bottom"/>
          </w:tcPr>
          <w:p>
            <w:pPr>
              <w:spacing w:after="0"/>
              <w:rPr>
                <w:sz w:val="1"/>
                <w:szCs w:val="1"/>
                <w:color w:val="auto"/>
              </w:rPr>
            </w:pPr>
          </w:p>
        </w:tc>
      </w:tr>
      <w:tr>
        <w:trPr>
          <w:trHeight w:val="203"/>
        </w:trPr>
        <w:tc>
          <w:tcPr>
            <w:tcW w:w="3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47,014 (653,626) (339,189) ---------</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203"/>
        </w:trPr>
        <w:tc>
          <w:tcPr>
            <w:tcW w:w="59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CASH FLOW FROM FINANCING ACTIVITIES: Proceeds from</w:t>
            </w:r>
          </w:p>
        </w:tc>
        <w:tc>
          <w:tcPr>
            <w:tcW w:w="0" w:type="dxa"/>
            <w:vAlign w:val="bottom"/>
          </w:tcPr>
          <w:p>
            <w:pPr>
              <w:spacing w:after="0"/>
              <w:rPr>
                <w:sz w:val="1"/>
                <w:szCs w:val="1"/>
                <w:color w:val="auto"/>
              </w:rPr>
            </w:pPr>
          </w:p>
        </w:tc>
      </w:tr>
      <w:tr>
        <w:trPr>
          <w:trHeight w:val="203"/>
        </w:trPr>
        <w:tc>
          <w:tcPr>
            <w:tcW w:w="51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employee stock options exercised.............</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2,320</w:t>
            </w:r>
          </w:p>
        </w:tc>
        <w:tc>
          <w:tcPr>
            <w:tcW w:w="0" w:type="dxa"/>
            <w:vAlign w:val="bottom"/>
          </w:tcPr>
          <w:p>
            <w:pPr>
              <w:spacing w:after="0"/>
              <w:rPr>
                <w:sz w:val="1"/>
                <w:szCs w:val="1"/>
                <w:color w:val="auto"/>
              </w:rPr>
            </w:pPr>
          </w:p>
        </w:tc>
      </w:tr>
      <w:tr>
        <w:trPr>
          <w:trHeight w:val="203"/>
        </w:trPr>
        <w:tc>
          <w:tcPr>
            <w:tcW w:w="5100" w:type="dxa"/>
            <w:vAlign w:val="bottom"/>
            <w:gridSpan w:val="3"/>
          </w:tcPr>
          <w:p>
            <w:pPr>
              <w:jc w:val="right"/>
              <w:spacing w:after="0" w:line="202" w:lineRule="exact"/>
              <w:rPr>
                <w:sz w:val="20"/>
                <w:szCs w:val="20"/>
                <w:color w:val="auto"/>
              </w:rPr>
            </w:pPr>
            <w:r>
              <w:rPr>
                <w:rFonts w:ascii="Courier New" w:cs="Courier New" w:eastAsia="Courier New" w:hAnsi="Courier New"/>
                <w:sz w:val="13"/>
                <w:szCs w:val="13"/>
                <w:color w:val="auto"/>
                <w:w w:val="98"/>
              </w:rPr>
              <w:t>.......................................</w:t>
            </w:r>
            <w:r>
              <w:rPr>
                <w:rFonts w:ascii="Courier New" w:cs="Courier New" w:eastAsia="Courier New" w:hAnsi="Courier New"/>
                <w:sz w:val="23"/>
                <w:szCs w:val="23"/>
                <w:color w:val="auto"/>
                <w:w w:val="98"/>
                <w:vertAlign w:val="superscript"/>
              </w:rPr>
              <w:t>5,16113,967Repurchaseof</w:t>
            </w:r>
          </w:p>
        </w:tc>
        <w:tc>
          <w:tcPr>
            <w:tcW w:w="8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900" w:type="dxa"/>
            <w:vAlign w:val="bottom"/>
          </w:tcPr>
          <w:p>
            <w:pPr>
              <w:jc w:val="right"/>
              <w:ind w:right="777"/>
              <w:spacing w:after="0" w:line="203" w:lineRule="exact"/>
              <w:rPr>
                <w:sz w:val="20"/>
                <w:szCs w:val="20"/>
                <w:color w:val="auto"/>
              </w:rPr>
            </w:pPr>
            <w:r>
              <w:rPr>
                <w:rFonts w:ascii="Courier New" w:cs="Courier New" w:eastAsia="Courier New" w:hAnsi="Courier New"/>
                <w:sz w:val="18"/>
                <w:szCs w:val="18"/>
                <w:color w:val="auto"/>
              </w:rPr>
              <w:t>shares</w:t>
            </w:r>
          </w:p>
        </w:tc>
        <w:tc>
          <w:tcPr>
            <w:tcW w:w="2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gridSpan w:val="3"/>
          </w:tcPr>
          <w:p>
            <w:pPr>
              <w:jc w:val="center"/>
              <w:ind w:left="697"/>
              <w:spacing w:after="0" w:line="203" w:lineRule="exact"/>
              <w:rPr>
                <w:sz w:val="20"/>
                <w:szCs w:val="20"/>
                <w:color w:val="auto"/>
              </w:rPr>
            </w:pPr>
            <w:r>
              <w:rPr>
                <w:rFonts w:ascii="Courier New" w:cs="Courier New" w:eastAsia="Courier New" w:hAnsi="Courier New"/>
                <w:sz w:val="18"/>
                <w:szCs w:val="18"/>
                <w:color w:val="auto"/>
                <w:w w:val="97"/>
              </w:rPr>
              <w:t>(109,281) -- Repurchase of convertible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3"/>
                <w:szCs w:val="13"/>
                <w:color w:val="auto"/>
                <w:w w:val="73"/>
              </w:rPr>
              <w:t>notes............................</w:t>
            </w:r>
          </w:p>
        </w:tc>
        <w:tc>
          <w:tcPr>
            <w:tcW w:w="40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(44,153) (48,934) --</w:t>
            </w:r>
          </w:p>
        </w:tc>
        <w:tc>
          <w:tcPr>
            <w:tcW w:w="0" w:type="dxa"/>
            <w:vAlign w:val="bottom"/>
          </w:tcPr>
          <w:p>
            <w:pPr>
              <w:spacing w:after="0"/>
              <w:rPr>
                <w:sz w:val="1"/>
                <w:szCs w:val="1"/>
                <w:color w:val="auto"/>
              </w:rPr>
            </w:pPr>
          </w:p>
        </w:tc>
      </w:tr>
      <w:tr>
        <w:trPr>
          <w:trHeight w:val="203"/>
        </w:trPr>
        <w:tc>
          <w:tcPr>
            <w:tcW w:w="5100" w:type="dxa"/>
            <w:vAlign w:val="bottom"/>
            <w:gridSpan w:val="3"/>
          </w:tcPr>
          <w:p>
            <w:pPr>
              <w:jc w:val="center"/>
              <w:ind w:left="697"/>
              <w:spacing w:after="0" w:line="203" w:lineRule="exact"/>
              <w:rPr>
                <w:sz w:val="20"/>
                <w:szCs w:val="20"/>
                <w:color w:val="auto"/>
              </w:rPr>
            </w:pPr>
            <w:r>
              <w:rPr>
                <w:rFonts w:ascii="Courier New" w:cs="Courier New" w:eastAsia="Courier New" w:hAnsi="Courier New"/>
                <w:sz w:val="18"/>
                <w:szCs w:val="18"/>
                <w:color w:val="auto"/>
                <w:w w:val="97"/>
              </w:rPr>
              <w:t>Payments under short-term finance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w w:val="78"/>
              </w:rPr>
              <w:t>arrangements.............</w:t>
            </w:r>
          </w:p>
        </w:tc>
        <w:tc>
          <w:tcPr>
            <w:tcW w:w="40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 -- (20,000) Net proceeds</w:t>
            </w:r>
          </w:p>
        </w:tc>
        <w:tc>
          <w:tcPr>
            <w:tcW w:w="0" w:type="dxa"/>
            <w:vAlign w:val="bottom"/>
          </w:tcPr>
          <w:p>
            <w:pPr>
              <w:spacing w:after="0"/>
              <w:rPr>
                <w:sz w:val="1"/>
                <w:szCs w:val="1"/>
                <w:color w:val="auto"/>
              </w:rPr>
            </w:pPr>
          </w:p>
        </w:tc>
      </w:tr>
      <w:tr>
        <w:trPr>
          <w:trHeight w:val="203"/>
        </w:trPr>
        <w:tc>
          <w:tcPr>
            <w:tcW w:w="5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from issue of long-term convertible notes.....</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5100" w:type="dxa"/>
            <w:vAlign w:val="bottom"/>
            <w:gridSpan w:val="3"/>
          </w:tcPr>
          <w:p>
            <w:pPr>
              <w:jc w:val="center"/>
              <w:ind w:left="717"/>
              <w:spacing w:after="0" w:line="203" w:lineRule="exact"/>
              <w:rPr>
                <w:sz w:val="20"/>
                <w:szCs w:val="20"/>
                <w:color w:val="auto"/>
              </w:rPr>
            </w:pPr>
            <w:r>
              <w:rPr>
                <w:rFonts w:ascii="Courier New" w:cs="Courier New" w:eastAsia="Courier New" w:hAnsi="Courier New"/>
                <w:sz w:val="18"/>
                <w:szCs w:val="18"/>
                <w:color w:val="auto"/>
                <w:w w:val="97"/>
              </w:rPr>
              <w:t>488,000 Borrowings under financing</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3"/>
                <w:szCs w:val="13"/>
                <w:color w:val="auto"/>
                <w:w w:val="75"/>
              </w:rPr>
              <w:t>arrangement.....................</w:t>
            </w:r>
          </w:p>
        </w:tc>
        <w:tc>
          <w:tcPr>
            <w:tcW w:w="40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3,345 -- -- Principal</w:t>
            </w:r>
          </w:p>
        </w:tc>
        <w:tc>
          <w:tcPr>
            <w:tcW w:w="0" w:type="dxa"/>
            <w:vAlign w:val="bottom"/>
          </w:tcPr>
          <w:p>
            <w:pPr>
              <w:spacing w:after="0"/>
              <w:rPr>
                <w:sz w:val="1"/>
                <w:szCs w:val="1"/>
                <w:color w:val="auto"/>
              </w:rPr>
            </w:pPr>
          </w:p>
        </w:tc>
      </w:tr>
      <w:tr>
        <w:trPr>
          <w:trHeight w:val="203"/>
        </w:trPr>
        <w:tc>
          <w:tcPr>
            <w:tcW w:w="5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payments under financing arrangement.............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(595)</w:t>
            </w:r>
          </w:p>
        </w:tc>
        <w:tc>
          <w:tcPr>
            <w:tcW w:w="0" w:type="dxa"/>
            <w:vAlign w:val="bottom"/>
          </w:tcPr>
          <w:p>
            <w:pPr>
              <w:spacing w:after="0"/>
              <w:rPr>
                <w:sz w:val="1"/>
                <w:szCs w:val="1"/>
                <w:color w:val="auto"/>
              </w:rPr>
            </w:pPr>
          </w:p>
        </w:tc>
      </w:tr>
      <w:tr>
        <w:trPr>
          <w:trHeight w:val="203"/>
        </w:trPr>
        <w:tc>
          <w:tcPr>
            <w:tcW w:w="5100" w:type="dxa"/>
            <w:vAlign w:val="bottom"/>
            <w:gridSpan w:val="3"/>
          </w:tcPr>
          <w:p>
            <w:pPr>
              <w:jc w:val="center"/>
              <w:ind w:left="717"/>
              <w:spacing w:after="0" w:line="203" w:lineRule="exact"/>
              <w:rPr>
                <w:sz w:val="20"/>
                <w:szCs w:val="20"/>
                <w:color w:val="auto"/>
              </w:rPr>
            </w:pPr>
            <w:r>
              <w:rPr>
                <w:rFonts w:ascii="Courier New" w:cs="Courier New" w:eastAsia="Courier New" w:hAnsi="Courier New"/>
                <w:sz w:val="18"/>
                <w:szCs w:val="18"/>
                <w:color w:val="auto"/>
                <w:w w:val="97"/>
              </w:rPr>
              <w:t>-- -- Proceeds from sale-leaseback</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w w:val="74"/>
              </w:rPr>
              <w:t>transaction...................</w:t>
            </w:r>
          </w:p>
        </w:tc>
        <w:tc>
          <w:tcPr>
            <w:tcW w:w="40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8,076 -- -- Principal</w:t>
            </w:r>
          </w:p>
        </w:tc>
        <w:tc>
          <w:tcPr>
            <w:tcW w:w="0" w:type="dxa"/>
            <w:vAlign w:val="bottom"/>
          </w:tcPr>
          <w:p>
            <w:pPr>
              <w:spacing w:after="0"/>
              <w:rPr>
                <w:sz w:val="1"/>
                <w:szCs w:val="1"/>
                <w:color w:val="auto"/>
              </w:rPr>
            </w:pPr>
          </w:p>
        </w:tc>
      </w:tr>
      <w:tr>
        <w:trPr>
          <w:trHeight w:val="203"/>
        </w:trPr>
        <w:tc>
          <w:tcPr>
            <w:tcW w:w="59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payments on capital lease obligations............</w:t>
            </w:r>
          </w:p>
        </w:tc>
        <w:tc>
          <w:tcPr>
            <w:tcW w:w="0" w:type="dxa"/>
            <w:vAlign w:val="bottom"/>
          </w:tcPr>
          <w:p>
            <w:pPr>
              <w:spacing w:after="0"/>
              <w:rPr>
                <w:sz w:val="1"/>
                <w:szCs w:val="1"/>
                <w:color w:val="auto"/>
              </w:rPr>
            </w:pPr>
          </w:p>
        </w:tc>
      </w:tr>
      <w:tr>
        <w:trPr>
          <w:trHeight w:val="203"/>
        </w:trPr>
        <w:tc>
          <w:tcPr>
            <w:tcW w:w="3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(17,033) (11,939) (10,067) ---------</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203"/>
        </w:trPr>
        <w:tc>
          <w:tcPr>
            <w:tcW w:w="5100" w:type="dxa"/>
            <w:vAlign w:val="bottom"/>
            <w:gridSpan w:val="3"/>
          </w:tcPr>
          <w:p>
            <w:pPr>
              <w:jc w:val="center"/>
              <w:ind w:left="717"/>
              <w:spacing w:after="0" w:line="203" w:lineRule="exact"/>
              <w:rPr>
                <w:sz w:val="20"/>
                <w:szCs w:val="20"/>
                <w:color w:val="auto"/>
              </w:rPr>
            </w:pPr>
            <w:r>
              <w:rPr>
                <w:rFonts w:ascii="Courier New" w:cs="Courier New" w:eastAsia="Courier New" w:hAnsi="Courier New"/>
                <w:sz w:val="18"/>
                <w:szCs w:val="18"/>
                <w:color w:val="auto"/>
                <w:w w:val="97"/>
              </w:rPr>
              <w:t>Net cash (used in) provided by financing</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activities........</w:t>
            </w:r>
          </w:p>
        </w:tc>
        <w:tc>
          <w:tcPr>
            <w:tcW w:w="4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(48,040) (164,993) 471,900 ---------</w:t>
            </w:r>
          </w:p>
        </w:tc>
        <w:tc>
          <w:tcPr>
            <w:tcW w:w="0" w:type="dxa"/>
            <w:vAlign w:val="bottom"/>
          </w:tcPr>
          <w:p>
            <w:pPr>
              <w:spacing w:after="0"/>
              <w:rPr>
                <w:sz w:val="1"/>
                <w:szCs w:val="1"/>
                <w:color w:val="auto"/>
              </w:rPr>
            </w:pPr>
          </w:p>
        </w:tc>
      </w:tr>
      <w:tr>
        <w:trPr>
          <w:trHeight w:val="203"/>
        </w:trPr>
        <w:tc>
          <w:tcPr>
            <w:tcW w:w="59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 Net increase (decrease) in cash and</w:t>
            </w:r>
          </w:p>
        </w:tc>
        <w:tc>
          <w:tcPr>
            <w:tcW w:w="0" w:type="dxa"/>
            <w:vAlign w:val="bottom"/>
          </w:tcPr>
          <w:p>
            <w:pPr>
              <w:spacing w:after="0"/>
              <w:rPr>
                <w:sz w:val="1"/>
                <w:szCs w:val="1"/>
                <w:color w:val="auto"/>
              </w:rPr>
            </w:pP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cash equivalents.......</w:t>
            </w:r>
          </w:p>
        </w:tc>
        <w:tc>
          <w:tcPr>
            <w:tcW w:w="40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380,945 (406,343) 470,698 Cash</w:t>
            </w:r>
          </w:p>
        </w:tc>
        <w:tc>
          <w:tcPr>
            <w:tcW w:w="0" w:type="dxa"/>
            <w:vAlign w:val="bottom"/>
          </w:tcPr>
          <w:p>
            <w:pPr>
              <w:spacing w:after="0"/>
              <w:rPr>
                <w:sz w:val="1"/>
                <w:szCs w:val="1"/>
                <w:color w:val="auto"/>
              </w:rPr>
            </w:pPr>
          </w:p>
        </w:tc>
      </w:tr>
      <w:tr>
        <w:trPr>
          <w:trHeight w:val="296"/>
        </w:trPr>
        <w:tc>
          <w:tcPr>
            <w:tcW w:w="5900" w:type="dxa"/>
            <w:vAlign w:val="bottom"/>
            <w:gridSpan w:val="4"/>
          </w:tcPr>
          <w:p>
            <w:pPr>
              <w:jc w:val="center"/>
              <w:spacing w:after="0"/>
              <w:rPr>
                <w:sz w:val="20"/>
                <w:szCs w:val="20"/>
                <w:color w:val="auto"/>
              </w:rPr>
            </w:pPr>
            <w:r>
              <w:rPr>
                <w:rFonts w:ascii="Courier New" w:cs="Courier New" w:eastAsia="Courier New" w:hAnsi="Courier New"/>
                <w:sz w:val="18"/>
                <w:szCs w:val="18"/>
                <w:color w:val="auto"/>
                <w:w w:val="97"/>
              </w:rPr>
              <w:t>and cash equivalents at beginning of year.............</w:t>
            </w:r>
          </w:p>
        </w:tc>
        <w:tc>
          <w:tcPr>
            <w:tcW w:w="0" w:type="dxa"/>
            <w:vAlign w:val="bottom"/>
          </w:tcPr>
          <w:p>
            <w:pPr>
              <w:spacing w:after="0"/>
              <w:rPr>
                <w:sz w:val="1"/>
                <w:szCs w:val="1"/>
                <w:color w:val="auto"/>
              </w:rPr>
            </w:pPr>
          </w:p>
        </w:tc>
      </w:tr>
    </w:tbl>
    <w:p>
      <w:pPr>
        <w:sectPr>
          <w:pgSz w:w="11900" w:h="16838" w:orient="portrait"/>
          <w:cols w:equalWidth="0" w:num="1">
            <w:col w:w="10219"/>
          </w:cols>
          <w:pgMar w:left="240" w:top="690" w:right="1440" w:bottom="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466,655 872,998 402,300</w:t>
            </w:r>
          </w:p>
        </w:tc>
        <w:tc>
          <w:tcPr>
            <w:tcW w:w="31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 --------- ---------</w:t>
            </w:r>
          </w:p>
        </w:tc>
        <w:tc>
          <w:tcPr>
            <w:tcW w:w="0" w:type="dxa"/>
            <w:vAlign w:val="bottom"/>
          </w:tcPr>
          <w:p>
            <w:pPr>
              <w:spacing w:after="0"/>
              <w:rPr>
                <w:sz w:val="1"/>
                <w:szCs w:val="1"/>
                <w:color w:val="auto"/>
              </w:rPr>
            </w:pPr>
          </w:p>
        </w:tc>
      </w:tr>
      <w:tr>
        <w:trPr>
          <w:trHeight w:val="203"/>
        </w:trPr>
        <w:tc>
          <w:tcPr>
            <w:tcW w:w="4620" w:type="dxa"/>
            <w:vAlign w:val="bottom"/>
            <w:gridSpan w:val="2"/>
          </w:tcPr>
          <w:p>
            <w:pPr>
              <w:jc w:val="center"/>
              <w:ind w:left="852"/>
              <w:spacing w:after="0" w:line="203" w:lineRule="exact"/>
              <w:rPr>
                <w:sz w:val="20"/>
                <w:szCs w:val="20"/>
                <w:color w:val="auto"/>
              </w:rPr>
            </w:pPr>
            <w:r>
              <w:rPr>
                <w:rFonts w:ascii="Courier New" w:cs="Courier New" w:eastAsia="Courier New" w:hAnsi="Courier New"/>
                <w:sz w:val="18"/>
                <w:szCs w:val="18"/>
                <w:color w:val="auto"/>
                <w:w w:val="97"/>
              </w:rPr>
              <w:t>Cash and cash equivalents at end of</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$ 872,998</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year...................</w:t>
            </w:r>
          </w:p>
        </w:tc>
        <w:tc>
          <w:tcPr>
            <w:tcW w:w="2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$ 847,600 $ 466,655</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62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 ========= =========</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53"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statements.</w:t>
      </w:r>
    </w:p>
    <w:p>
      <w:pPr>
        <w:spacing w:after="0" w:line="1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9999"/>
          </w:cols>
          <w:pgMar w:left="460" w:top="109" w:right="144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96"/>
        </w:trPr>
        <w:tc>
          <w:tcPr>
            <w:tcW w:w="1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60" w:type="dxa"/>
            <w:vAlign w:val="bottom"/>
          </w:tcPr>
          <w:p>
            <w:pPr>
              <w:jc w:val="center"/>
              <w:ind w:right="1732"/>
              <w:spacing w:after="0"/>
              <w:rPr>
                <w:sz w:val="20"/>
                <w:szCs w:val="20"/>
                <w:color w:val="auto"/>
              </w:rPr>
            </w:pPr>
            <w:r>
              <w:rPr>
                <w:rFonts w:ascii="Courier New" w:cs="Courier New" w:eastAsia="Courier New" w:hAnsi="Courier New"/>
                <w:sz w:val="18"/>
                <w:szCs w:val="18"/>
                <w:color w:val="auto"/>
                <w:w w:val="97"/>
              </w:rPr>
              <w:t>AMDOCS LIMITED</w:t>
            </w:r>
          </w:p>
        </w:tc>
        <w:tc>
          <w:tcPr>
            <w:tcW w:w="0" w:type="dxa"/>
            <w:vAlign w:val="bottom"/>
          </w:tcPr>
          <w:p>
            <w:pPr>
              <w:spacing w:after="0"/>
              <w:rPr>
                <w:sz w:val="1"/>
                <w:szCs w:val="1"/>
                <w:color w:val="auto"/>
              </w:rPr>
            </w:pPr>
          </w:p>
        </w:tc>
      </w:tr>
      <w:tr>
        <w:trPr>
          <w:trHeight w:val="405"/>
        </w:trPr>
        <w:tc>
          <w:tcPr>
            <w:tcW w:w="6960" w:type="dxa"/>
            <w:vAlign w:val="bottom"/>
            <w:gridSpan w:val="3"/>
          </w:tcPr>
          <w:p>
            <w:pPr>
              <w:jc w:val="center"/>
              <w:ind w:left="1402"/>
              <w:spacing w:after="0"/>
              <w:rPr>
                <w:sz w:val="20"/>
                <w:szCs w:val="20"/>
                <w:color w:val="auto"/>
              </w:rPr>
            </w:pPr>
            <w:r>
              <w:rPr>
                <w:rFonts w:ascii="Courier New" w:cs="Courier New" w:eastAsia="Courier New" w:hAnsi="Courier New"/>
                <w:sz w:val="18"/>
                <w:szCs w:val="18"/>
                <w:color w:val="auto"/>
                <w:w w:val="97"/>
              </w:rPr>
              <w:t>CONSOLIDATED STATEMENTS OF CASH FLOWS -- (CONTINUED)</w:t>
            </w:r>
          </w:p>
        </w:tc>
        <w:tc>
          <w:tcPr>
            <w:tcW w:w="0" w:type="dxa"/>
            <w:vAlign w:val="bottom"/>
          </w:tcPr>
          <w:p>
            <w:pPr>
              <w:spacing w:after="0"/>
              <w:rPr>
                <w:sz w:val="1"/>
                <w:szCs w:val="1"/>
                <w:color w:val="auto"/>
              </w:rPr>
            </w:pPr>
          </w:p>
        </w:tc>
      </w:tr>
      <w:tr>
        <w:trPr>
          <w:trHeight w:val="311"/>
        </w:trPr>
        <w:tc>
          <w:tcPr>
            <w:tcW w:w="6960" w:type="dxa"/>
            <w:vAlign w:val="bottom"/>
            <w:gridSpan w:val="3"/>
          </w:tcPr>
          <w:p>
            <w:pPr>
              <w:jc w:val="center"/>
              <w:ind w:right="1072"/>
              <w:spacing w:after="0"/>
              <w:rPr>
                <w:sz w:val="20"/>
                <w:szCs w:val="20"/>
                <w:color w:val="auto"/>
              </w:rPr>
            </w:pPr>
            <w:r>
              <w:rPr>
                <w:rFonts w:ascii="Courier New" w:cs="Courier New" w:eastAsia="Courier New" w:hAnsi="Courier New"/>
                <w:sz w:val="18"/>
                <w:szCs w:val="18"/>
                <w:color w:val="auto"/>
                <w:w w:val="97"/>
              </w:rPr>
              <w:t>YEAR ENDED SEPTEMBER 30, ---------------------------</w:t>
            </w:r>
          </w:p>
        </w:tc>
        <w:tc>
          <w:tcPr>
            <w:tcW w:w="0" w:type="dxa"/>
            <w:vAlign w:val="bottom"/>
          </w:tcPr>
          <w:p>
            <w:pPr>
              <w:spacing w:after="0"/>
              <w:rPr>
                <w:sz w:val="1"/>
                <w:szCs w:val="1"/>
                <w:color w:val="auto"/>
              </w:rPr>
            </w:pPr>
          </w:p>
        </w:tc>
      </w:tr>
      <w:tr>
        <w:trPr>
          <w:trHeight w:val="203"/>
        </w:trPr>
        <w:tc>
          <w:tcPr>
            <w:tcW w:w="1740" w:type="dxa"/>
            <w:vAlign w:val="bottom"/>
          </w:tcPr>
          <w:p>
            <w:pPr>
              <w:jc w:val="right"/>
              <w:ind w:right="22"/>
              <w:spacing w:after="0" w:line="203" w:lineRule="exact"/>
              <w:rPr>
                <w:sz w:val="20"/>
                <w:szCs w:val="20"/>
                <w:color w:val="auto"/>
              </w:rPr>
            </w:pPr>
            <w:r>
              <w:rPr>
                <w:rFonts w:ascii="Courier New" w:cs="Courier New" w:eastAsia="Courier New" w:hAnsi="Courier New"/>
                <w:sz w:val="18"/>
                <w:szCs w:val="18"/>
                <w:color w:val="auto"/>
              </w:rPr>
              <w:t>2003 2002 2001</w:t>
            </w:r>
          </w:p>
        </w:tc>
        <w:tc>
          <w:tcPr>
            <w:tcW w:w="5220" w:type="dxa"/>
            <w:vAlign w:val="bottom"/>
            <w:gridSpan w:val="2"/>
          </w:tcPr>
          <w:p>
            <w:pPr>
              <w:jc w:val="right"/>
              <w:ind w:right="1232"/>
              <w:spacing w:after="0" w:line="203" w:lineRule="exact"/>
              <w:rPr>
                <w:sz w:val="20"/>
                <w:szCs w:val="20"/>
                <w:color w:val="auto"/>
              </w:rPr>
            </w:pPr>
            <w:r>
              <w:rPr>
                <w:rFonts w:ascii="Courier New" w:cs="Courier New" w:eastAsia="Courier New" w:hAnsi="Courier New"/>
                <w:sz w:val="18"/>
                <w:szCs w:val="18"/>
                <w:color w:val="auto"/>
                <w:w w:val="97"/>
              </w:rPr>
              <w:t>------- ------- ------- SUPPLEMENTARY</w:t>
            </w:r>
          </w:p>
        </w:tc>
        <w:tc>
          <w:tcPr>
            <w:tcW w:w="0" w:type="dxa"/>
            <w:vAlign w:val="bottom"/>
          </w:tcPr>
          <w:p>
            <w:pPr>
              <w:spacing w:after="0"/>
              <w:rPr>
                <w:sz w:val="1"/>
                <w:szCs w:val="1"/>
                <w:color w:val="auto"/>
              </w:rPr>
            </w:pPr>
          </w:p>
        </w:tc>
      </w:tr>
      <w:tr>
        <w:trPr>
          <w:trHeight w:val="203"/>
        </w:trPr>
        <w:tc>
          <w:tcPr>
            <w:tcW w:w="6960" w:type="dxa"/>
            <w:vAlign w:val="bottom"/>
            <w:gridSpan w:val="3"/>
          </w:tcPr>
          <w:p>
            <w:pPr>
              <w:jc w:val="center"/>
              <w:ind w:right="1072"/>
              <w:spacing w:after="0" w:line="203" w:lineRule="exact"/>
              <w:rPr>
                <w:sz w:val="20"/>
                <w:szCs w:val="20"/>
                <w:color w:val="auto"/>
              </w:rPr>
            </w:pPr>
            <w:r>
              <w:rPr>
                <w:rFonts w:ascii="Courier New" w:cs="Courier New" w:eastAsia="Courier New" w:hAnsi="Courier New"/>
                <w:sz w:val="18"/>
                <w:szCs w:val="18"/>
                <w:color w:val="auto"/>
                <w:w w:val="97"/>
              </w:rPr>
              <w:t>CASH FLOW INFORMATION Interest and Income Taxes Paid</w:t>
            </w:r>
          </w:p>
        </w:tc>
        <w:tc>
          <w:tcPr>
            <w:tcW w:w="0" w:type="dxa"/>
            <w:vAlign w:val="bottom"/>
          </w:tcPr>
          <w:p>
            <w:pPr>
              <w:spacing w:after="0"/>
              <w:rPr>
                <w:sz w:val="1"/>
                <w:szCs w:val="1"/>
                <w:color w:val="auto"/>
              </w:rPr>
            </w:pPr>
          </w:p>
        </w:tc>
      </w:tr>
      <w:tr>
        <w:trPr>
          <w:trHeight w:val="203"/>
        </w:trPr>
        <w:tc>
          <w:tcPr>
            <w:tcW w:w="6960" w:type="dxa"/>
            <w:vAlign w:val="bottom"/>
            <w:gridSpan w:val="3"/>
          </w:tcPr>
          <w:p>
            <w:pPr>
              <w:jc w:val="center"/>
              <w:ind w:right="1072"/>
              <w:spacing w:after="0" w:line="203" w:lineRule="exact"/>
              <w:rPr>
                <w:sz w:val="20"/>
                <w:szCs w:val="20"/>
                <w:color w:val="auto"/>
              </w:rPr>
            </w:pPr>
            <w:r>
              <w:rPr>
                <w:rFonts w:ascii="Courier New" w:cs="Courier New" w:eastAsia="Courier New" w:hAnsi="Courier New"/>
                <w:sz w:val="18"/>
                <w:szCs w:val="18"/>
                <w:color w:val="auto"/>
                <w:w w:val="97"/>
              </w:rPr>
              <w:t>Cash paid for: Income taxes, net of</w:t>
            </w:r>
          </w:p>
        </w:tc>
        <w:tc>
          <w:tcPr>
            <w:tcW w:w="0" w:type="dxa"/>
            <w:vAlign w:val="bottom"/>
          </w:tcPr>
          <w:p>
            <w:pPr>
              <w:spacing w:after="0"/>
              <w:rPr>
                <w:sz w:val="1"/>
                <w:szCs w:val="1"/>
                <w:color w:val="auto"/>
              </w:rPr>
            </w:pPr>
          </w:p>
        </w:tc>
      </w:tr>
      <w:tr>
        <w:trPr>
          <w:trHeight w:val="381"/>
        </w:trPr>
        <w:tc>
          <w:tcPr>
            <w:tcW w:w="1740" w:type="dxa"/>
            <w:vAlign w:val="bottom"/>
          </w:tcPr>
          <w:p>
            <w:pPr>
              <w:jc w:val="right"/>
              <w:spacing w:after="0"/>
              <w:rPr>
                <w:sz w:val="20"/>
                <w:szCs w:val="20"/>
                <w:color w:val="auto"/>
              </w:rPr>
            </w:pPr>
            <w:r>
              <w:rPr>
                <w:rFonts w:ascii="Courier New" w:cs="Courier New" w:eastAsia="Courier New" w:hAnsi="Courier New"/>
                <w:sz w:val="8"/>
                <w:szCs w:val="8"/>
                <w:color w:val="auto"/>
                <w:w w:val="77"/>
                <w:vertAlign w:val="superscript"/>
              </w:rPr>
              <w:t>refunds</w:t>
            </w:r>
            <w:r>
              <w:rPr>
                <w:rFonts w:ascii="Courier New" w:cs="Courier New" w:eastAsia="Courier New" w:hAnsi="Courier New"/>
                <w:sz w:val="4"/>
                <w:szCs w:val="4"/>
                <w:color w:val="auto"/>
                <w:w w:val="77"/>
              </w:rPr>
              <w:t>...............................................</w:t>
            </w:r>
            <w:r>
              <w:rPr>
                <w:rFonts w:ascii="Courier New" w:cs="Courier New" w:eastAsia="Courier New" w:hAnsi="Courier New"/>
                <w:sz w:val="8"/>
                <w:szCs w:val="8"/>
                <w:color w:val="auto"/>
                <w:w w:val="77"/>
                <w:vertAlign w:val="superscript"/>
              </w:rPr>
              <w:t>...........................</w:t>
            </w:r>
          </w:p>
        </w:tc>
        <w:tc>
          <w:tcPr>
            <w:tcW w:w="1560" w:type="dxa"/>
            <w:vAlign w:val="bottom"/>
            <w:vMerge w:val="restart"/>
          </w:tcPr>
          <w:p>
            <w:pPr>
              <w:jc w:val="center"/>
              <w:ind w:left="692"/>
              <w:spacing w:after="0"/>
              <w:rPr>
                <w:sz w:val="20"/>
                <w:szCs w:val="20"/>
                <w:color w:val="auto"/>
              </w:rPr>
            </w:pPr>
            <w:r>
              <w:rPr>
                <w:rFonts w:ascii="Courier New" w:cs="Courier New" w:eastAsia="Courier New" w:hAnsi="Courier New"/>
                <w:sz w:val="18"/>
                <w:szCs w:val="18"/>
                <w:color w:val="auto"/>
                <w:w w:val="97"/>
              </w:rPr>
              <w:t>$77,429</w:t>
            </w:r>
          </w:p>
        </w:tc>
        <w:tc>
          <w:tcPr>
            <w:tcW w:w="366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$30,823 $75,371</w:t>
            </w:r>
          </w:p>
        </w:tc>
        <w:tc>
          <w:tcPr>
            <w:tcW w:w="0" w:type="dxa"/>
            <w:vAlign w:val="bottom"/>
          </w:tcPr>
          <w:p>
            <w:pPr>
              <w:spacing w:after="0"/>
              <w:rPr>
                <w:sz w:val="1"/>
                <w:szCs w:val="1"/>
                <w:color w:val="auto"/>
              </w:rPr>
            </w:pPr>
          </w:p>
        </w:tc>
      </w:tr>
      <w:tr>
        <w:trPr>
          <w:trHeight w:val="118"/>
        </w:trPr>
        <w:tc>
          <w:tcPr>
            <w:tcW w:w="1740" w:type="dxa"/>
            <w:vAlign w:val="bottom"/>
            <w:vMerge w:val="restart"/>
          </w:tcPr>
          <w:p>
            <w:pPr>
              <w:jc w:val="right"/>
              <w:ind w:right="802"/>
              <w:spacing w:after="0"/>
              <w:rPr>
                <w:sz w:val="20"/>
                <w:szCs w:val="20"/>
                <w:color w:val="auto"/>
              </w:rPr>
            </w:pPr>
            <w:r>
              <w:rPr>
                <w:rFonts w:ascii="Courier New" w:cs="Courier New" w:eastAsia="Courier New" w:hAnsi="Courier New"/>
                <w:sz w:val="18"/>
                <w:szCs w:val="18"/>
                <w:color w:val="auto"/>
                <w:w w:val="97"/>
              </w:rPr>
              <w:t>Interest</w:t>
            </w:r>
          </w:p>
        </w:tc>
        <w:tc>
          <w:tcPr>
            <w:tcW w:w="1560" w:type="dxa"/>
            <w:vAlign w:val="bottom"/>
            <w:vMerge w:val="continue"/>
          </w:tcPr>
          <w:p>
            <w:pPr>
              <w:spacing w:after="0"/>
              <w:rPr>
                <w:sz w:val="10"/>
                <w:szCs w:val="10"/>
                <w:color w:val="auto"/>
              </w:rPr>
            </w:pPr>
          </w:p>
        </w:tc>
        <w:tc>
          <w:tcPr>
            <w:tcW w:w="3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740" w:type="dxa"/>
            <w:vAlign w:val="bottom"/>
            <w:vMerge w:val="continue"/>
          </w:tcPr>
          <w:p>
            <w:pPr>
              <w:spacing w:after="0"/>
              <w:rPr>
                <w:sz w:val="17"/>
                <w:szCs w:val="17"/>
                <w:color w:val="auto"/>
              </w:rPr>
            </w:pPr>
          </w:p>
        </w:tc>
        <w:tc>
          <w:tcPr>
            <w:tcW w:w="15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9,690 11,221</w:t>
            </w:r>
          </w:p>
        </w:tc>
        <w:tc>
          <w:tcPr>
            <w:tcW w:w="3660" w:type="dxa"/>
            <w:vAlign w:val="bottom"/>
            <w:vMerge w:val="restart"/>
          </w:tcPr>
          <w:p>
            <w:pPr>
              <w:jc w:val="right"/>
              <w:ind w:right="3012"/>
              <w:spacing w:after="0"/>
              <w:rPr>
                <w:sz w:val="20"/>
                <w:szCs w:val="20"/>
                <w:color w:val="auto"/>
              </w:rPr>
            </w:pPr>
            <w:r>
              <w:rPr>
                <w:rFonts w:ascii="Courier New" w:cs="Courier New" w:eastAsia="Courier New" w:hAnsi="Courier New"/>
                <w:sz w:val="18"/>
                <w:szCs w:val="18"/>
                <w:color w:val="auto"/>
                <w:w w:val="99"/>
              </w:rPr>
              <w:t>2,901</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3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NON-CASH INVESTING AND FINANCING ACTIVITIES</w:t>
      </w:r>
    </w:p>
    <w:p>
      <w:pPr>
        <w:spacing w:after="0" w:line="201" w:lineRule="exact"/>
        <w:rPr>
          <w:sz w:val="20"/>
          <w:szCs w:val="20"/>
          <w:color w:val="auto"/>
        </w:rPr>
      </w:pPr>
    </w:p>
    <w:p>
      <w:pPr>
        <w:ind w:right="2099" w:firstLine="527"/>
        <w:spacing w:after="0" w:line="344" w:lineRule="auto"/>
        <w:rPr>
          <w:sz w:val="20"/>
          <w:szCs w:val="20"/>
          <w:color w:val="auto"/>
        </w:rPr>
      </w:pPr>
      <w:r>
        <w:rPr>
          <w:rFonts w:ascii="Courier New" w:cs="Courier New" w:eastAsia="Courier New" w:hAnsi="Courier New"/>
          <w:sz w:val="16"/>
          <w:szCs w:val="16"/>
          <w:color w:val="auto"/>
        </w:rPr>
        <w:t>Capital lease obligations of $0, $2,245 and $13,116 were incurred during the years ended September 30, 2003, 2002 and 2001, respectively, when the Company (as defined below) entered into lease agreements for vehicles.</w:t>
      </w:r>
    </w:p>
    <w:p>
      <w:pPr>
        <w:spacing w:after="0" w:line="31" w:lineRule="exact"/>
        <w:rPr>
          <w:sz w:val="20"/>
          <w:szCs w:val="20"/>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Accrued transaction costs of $3,283 related to an acquisition made in the fourth quarter of the year ended September 30, 2003 will be paid over the next fiscal year.</w:t>
      </w:r>
    </w:p>
    <w:p>
      <w:pPr>
        <w:spacing w:after="0" w:line="66" w:lineRule="exact"/>
        <w:rPr>
          <w:sz w:val="20"/>
          <w:szCs w:val="20"/>
          <w:color w:val="auto"/>
        </w:rPr>
      </w:pPr>
    </w:p>
    <w:p>
      <w:pPr>
        <w:ind w:left="3580" w:right="1779" w:hanging="3054"/>
        <w:spacing w:after="0" w:line="347"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488" w:right="1440" w:bottom="1440" w:gutter="0" w:footer="0" w:header="0"/>
        </w:sectPr>
      </w:pPr>
    </w:p>
    <w:bookmarkStart w:id="81" w:name="page82"/>
    <w:bookmarkEnd w:id="8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779"/>
        <w:spacing w:after="0" w:line="292" w:lineRule="auto"/>
        <w:rPr>
          <w:sz w:val="20"/>
          <w:szCs w:val="20"/>
          <w:color w:val="auto"/>
        </w:rPr>
      </w:pPr>
      <w:r>
        <w:rPr>
          <w:rFonts w:ascii="Courier New" w:cs="Courier New" w:eastAsia="Courier New" w:hAnsi="Courier New"/>
          <w:sz w:val="18"/>
          <w:szCs w:val="18"/>
          <w:color w:val="auto"/>
        </w:rPr>
        <w:t>NOTES TO CONSOLIDATED FINANCIAL STATEMENTS (DOLLAR AND SHARE AMOUNTS IN THOUSANDS, EXCEPT PER SHARE DATA) SEPTEMBER 30, 2003</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 NATURE OF ENTITY</w:t>
      </w:r>
    </w:p>
    <w:p>
      <w:pPr>
        <w:spacing w:after="0" w:line="201"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Amdocs Limited (the "Company") is a leading provider of software products and services to the communications industry. The Company and its subsidiaries operate in one operating segment, providing integrated customer management systems and related services primarily for the communications industry. The Company designs, develops, markets, supports, operates and provides Managed Services for information system solutions primarily to leading communications companies throughout the world.</w:t>
      </w:r>
    </w:p>
    <w:p>
      <w:pPr>
        <w:spacing w:after="0" w:line="98"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The Company is a Guernsey corporation, which directly or indirectly holds several wholly owned subsidiaries in the Asia-Pacific region, Europe, Israel, Latin America and North America. The majority of the Company's customers are in North America, Europe, Latin America and the Asia-Pacific region. The Company's main production and operating facilities are located in Israel, the United States (U.S.), Cyprus, Canada and Ireland.</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 SUMMARY OF SIGNIFICANT ACCOUNTING POLICIES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BASIS OF PRESENTATION</w:t>
      </w:r>
    </w:p>
    <w:p>
      <w:pPr>
        <w:spacing w:after="0" w:line="201"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The consolidated financial statements are prepared in accordance with accounting principles generally accepted in the United States.</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CONSOLIDATION</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financial statements include the accounts of the Company and its wholly owned subsidiaries. All intercompany transactions and balances have been eliminated in consolidation.</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FUNCTIONAL CURRENCY</w:t>
      </w:r>
    </w:p>
    <w:p>
      <w:pPr>
        <w:spacing w:after="0" w:line="201" w:lineRule="exact"/>
        <w:rPr>
          <w:sz w:val="20"/>
          <w:szCs w:val="20"/>
          <w:color w:val="auto"/>
        </w:rPr>
      </w:pPr>
    </w:p>
    <w:p>
      <w:pPr>
        <w:ind w:right="1879" w:firstLine="527"/>
        <w:spacing w:after="0" w:line="249" w:lineRule="auto"/>
        <w:rPr>
          <w:sz w:val="20"/>
          <w:szCs w:val="20"/>
          <w:color w:val="auto"/>
        </w:rPr>
      </w:pPr>
      <w:r>
        <w:rPr>
          <w:rFonts w:ascii="Courier New" w:cs="Courier New" w:eastAsia="Courier New" w:hAnsi="Courier New"/>
          <w:sz w:val="18"/>
          <w:szCs w:val="18"/>
          <w:color w:val="auto"/>
        </w:rPr>
        <w:t>The Company manages its foreign subsidiaries as integral direct components of its operations. According to the salient economic factors indicated in Statement of Financial Accounting Standards ("SFAS") No. 52, "Foreign Currency Translation", the Company's cash flow, sale price, sales market, expense, financing and intercompany transactions and arrangement indicators are denominated in the U.S. dollar. The operations of the Company's foreign subsidiaries provide the same type of services with the same type of expenditures throughout Amdocs' group. Accordingly, the Company has determined that its functional currency is the U.S. dollar. The Company periodically assesses the applicability of the U.S. dollar as the Company's functional currency by reviewing the salient indicators.</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AND CASH EQUIVALENTS</w:t>
      </w:r>
    </w:p>
    <w:p>
      <w:pPr>
        <w:spacing w:after="0" w:line="20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Cash and cash equivalents consist of cash and interest-bearing investments with insignificant interest rate risk and original maturities of 90 days or less.</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INVESTMENTS</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When excess funds are available, the Company invests in short-term interest-bearing investments. The Company classifies all of its short-term interest-bearing investments as available-for-sale securities. Such short-term interest-bearing investments consist primarily of commercial paper, Treasury notes, Federal agency securities, corporate bonds, corporate backed obligations, mortgages and money market funds, which are stated at market value. Unrealized gains and losses are comprised of the difference between market value and amortized costs of such securities and are reflected, net of tax, as "accumulated other comprehensive income (loss)" in shareholders' equity. Realized gains and losses on short-term interest-</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691" w:right="1440" w:bottom="1440" w:gutter="0" w:footer="0" w:header="0"/>
        </w:sectPr>
      </w:pPr>
    </w:p>
    <w:bookmarkStart w:id="82" w:name="page83"/>
    <w:bookmarkEnd w:id="8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bearing investments are included in earnings and are derived using the specific identification method for determining the cost of securities.</w:t>
      </w:r>
    </w:p>
    <w:p>
      <w:pPr>
        <w:spacing w:after="0" w:line="18"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From time to time the Company also makes certain investments in non-publicly traded companies. Such investments are included in other noncurrent assets in the Company's consolidated balance sheet and are generally carried at cost. The Company monitors such investments for impairment and makes appropriate reductions in carrying values if necessary.</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EQUIPMENT, VEHICLES AND LEASEHOLD IMPROVEMENTS</w:t>
      </w:r>
    </w:p>
    <w:p>
      <w:pPr>
        <w:spacing w:after="0" w:line="201" w:lineRule="exact"/>
        <w:rPr>
          <w:sz w:val="20"/>
          <w:szCs w:val="20"/>
          <w:color w:val="auto"/>
        </w:rPr>
      </w:pPr>
    </w:p>
    <w:p>
      <w:pPr>
        <w:ind w:right="1999" w:firstLine="527"/>
        <w:spacing w:after="0" w:line="250" w:lineRule="auto"/>
        <w:rPr>
          <w:sz w:val="20"/>
          <w:szCs w:val="20"/>
          <w:color w:val="auto"/>
        </w:rPr>
      </w:pPr>
      <w:r>
        <w:rPr>
          <w:rFonts w:ascii="Courier New" w:cs="Courier New" w:eastAsia="Courier New" w:hAnsi="Courier New"/>
          <w:sz w:val="18"/>
          <w:szCs w:val="18"/>
          <w:color w:val="auto"/>
        </w:rPr>
        <w:t>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ranges from 2 to 10 years and includes the amortization of assets under capitalized leases. Leasehold improvements are amortized over the shorter of the estimated useful lives or the term of the related lease. Management reviews property and equipment and other long-lived assets on a periodic basis to determine whether events or changes in circumstances indicate that the carrying amount of such assets may not be recoverable.</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 AND OTHER INTANGIBLE ASSETS</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total purchase price of product line or business acquisitions accounted for using the purchase method is allocated first to identifiable assets and liabilities based on estimated fair values. The excess of the purchase price over the fair value of net assets of purchased businesses is recorded as goodwill. Goodwill associated with acquisitions completed prior to July 1, 2001 was amortized on a straight-line basis over its estimated useful life. Commencing October 1, 2002 goodwill is no longer amortized, but is subject to periodical impairment tests. See the discussion below under the caption "Adoption of New Accounting Standards".</w:t>
      </w:r>
    </w:p>
    <w:p>
      <w:pPr>
        <w:spacing w:after="0" w:line="99" w:lineRule="exact"/>
        <w:rPr>
          <w:sz w:val="20"/>
          <w:szCs w:val="20"/>
          <w:color w:val="auto"/>
        </w:rPr>
      </w:pPr>
    </w:p>
    <w:p>
      <w:pPr>
        <w:ind w:right="1999" w:firstLine="527"/>
        <w:spacing w:after="0" w:line="402" w:lineRule="auto"/>
        <w:rPr>
          <w:sz w:val="20"/>
          <w:szCs w:val="20"/>
          <w:color w:val="auto"/>
        </w:rPr>
      </w:pPr>
      <w:r>
        <w:rPr>
          <w:rFonts w:ascii="Courier New" w:cs="Courier New" w:eastAsia="Courier New" w:hAnsi="Courier New"/>
          <w:sz w:val="16"/>
          <w:szCs w:val="16"/>
          <w:color w:val="auto"/>
        </w:rPr>
        <w:t>Other intangible assets consist primarily of purchased computer software, intellectual property rights, core technology and customer arrangements.</w:t>
      </w:r>
    </w:p>
    <w:p>
      <w:pPr>
        <w:spacing w:after="0" w:line="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Intellectual property rights, purchased computer software and core technology acquired by the Company are amortized over their estimated useful lives on a straight-line basis. Workforce-in-place acquired by the Company was amortized over their estimated useful lives on a straight-line basis through fiscal 2002. Commencing October 1, 2002, workforce-in-place is considered goodwill and no longer is amortized. See the discussion below under the caption "Adoption of New Accounting Standards".</w:t>
      </w:r>
    </w:p>
    <w:p>
      <w:pPr>
        <w:spacing w:after="0" w:line="98" w:lineRule="exact"/>
        <w:rPr>
          <w:sz w:val="20"/>
          <w:szCs w:val="20"/>
          <w:color w:val="auto"/>
        </w:rPr>
      </w:pPr>
    </w:p>
    <w:p>
      <w:pPr>
        <w:ind w:right="1999" w:firstLine="527"/>
        <w:spacing w:after="0" w:line="298" w:lineRule="auto"/>
        <w:rPr>
          <w:sz w:val="20"/>
          <w:szCs w:val="20"/>
          <w:color w:val="auto"/>
        </w:rPr>
      </w:pPr>
      <w:r>
        <w:rPr>
          <w:rFonts w:ascii="Courier New" w:cs="Courier New" w:eastAsia="Courier New" w:hAnsi="Courier New"/>
          <w:sz w:val="16"/>
          <w:szCs w:val="16"/>
          <w:color w:val="auto"/>
        </w:rPr>
        <w:t>Some of acquired customer arrangements are amortized over their estimated useful lives based on the pro-rata amount of the future revenue expected to be realized from the customer arrangements. This accounting policy results in accelerated amortization of purchased computer software as compared to the straight-line method. All other acquired customer arrangements are amortized over their estimated useful lives on a straight-line basis.</w:t>
      </w:r>
    </w:p>
    <w:p>
      <w:pPr>
        <w:spacing w:after="0" w:line="6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LONG-LIVED ASSETS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Company considers whether there are indicators of impairment that would require the comparison of the estimated net realizable value of intangible assets with finite lives, equipment, leasehold improvements and vehicles and other long-lived assets, using a discounted cash flow analysis, to their carrying value under SFAS No. 144, "Accounting for the Impairment or Disposal of Long-Lived Assets". Any impairment would be recognized when the fair market value of such long-lived assets is less than their carrying value. No impairments were identified as of September 30, 2003.</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9"/>
          </w:cols>
          <w:pgMar w:left="240" w:top="488" w:right="1440" w:bottom="1440" w:gutter="0" w:footer="0" w:header="0"/>
        </w:sectPr>
      </w:pPr>
    </w:p>
    <w:bookmarkStart w:id="83" w:name="page84"/>
    <w:bookmarkEnd w:id="8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COMPREHENSIVE INCOME</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Company accounts for comprehensive income under the provisions of SFAS No. 130, "Reporting Comprehensive Income", which established standards for the reporting and display of comprehensive income and its components. 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CONVERTIBLE NOTES</w:t>
      </w:r>
    </w:p>
    <w:p>
      <w:pPr>
        <w:spacing w:after="0" w:line="201"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The Company presents the outstanding principal amount of the convertible notes as part of current liabilities. Accrued interest on the convertible notes is included in "accrued expenses and other current liabilities". The Company amortizes the issuance costs related to the convertible notes on a straight-line basis over the term of the convertible notes. Gain or loss on repurchase of convertible notes represents the difference between the principal amount and the purchase price. Such gains, aggregating $448 and $6,012, are included in "interest income and other, net" in fiscal 2003 and 2002, respectively. The amortized issuance cost calculated on a pro-rata basis, related to the repurchased convertible notes, is included in "interest income and other, net".</w:t>
      </w:r>
    </w:p>
    <w:p>
      <w:pPr>
        <w:spacing w:after="0" w:line="29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TREASURY STOCK</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Company repurchases its Ordinary Shares from time to time on the open market and holds such shares as treasury stock. The Company presents the cost to repurchase treasury stock as a reduction of shareholders' equity.</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The Company records deferred income taxes to reflect the net tax effects of temporary differences between the carrying amounts of assets and liabilities for financial reporting and tax purposes. Deferred taxes are computed based on tax rates anticipated to be in effect (under applicable laws at the time the financial statements are prepared) when the deferred taxes are expected to be paid or realized. A valuation allowance is provided for deferred tax assets if it is more likely than not these items will either expire before the Company is able to realize their benefit, or that future deductibility is uncertain. In the event that a valuation allowance relating to a business acquisition is subsequently reduced, the adjustment will reduce the original amount allocated to goodwill.</w:t>
      </w:r>
    </w:p>
    <w:p>
      <w:pPr>
        <w:spacing w:after="0" w:line="104"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 Company.</w:t>
      </w:r>
    </w:p>
    <w:p>
      <w:pPr>
        <w:spacing w:after="0" w:line="9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w:t>
      </w:r>
    </w:p>
    <w:p>
      <w:pPr>
        <w:spacing w:after="0" w:line="201"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Revenue is recognized only when all of the following conditions have been met: (i) there is persuasive evidence of an arrangement; (ii) delivery has occurred; (iii) the fee is fixed and determinable; and (iv) collectability of the fee is reasonably assured. The Company usually sells its software licenses as part of an overall solution offered to a customer that combines the sale of software licenses with a broad range of services, which normally include significant customization, modification, implementation and integration. As a result, combined license and service revenue generally is recognized over the course of these long-term projects, using the percentage of completion method of accounting in conformity with Accounting Research Bulletin ("ARB") No. 45 "Long Term Construction-Type Contracts", Statement of Position ("SOP") 81-1 "Accounting for Performance of Construction-Type and Certain Production-Type</w:t>
      </w:r>
    </w:p>
    <w:p>
      <w:pPr>
        <w:spacing w:after="0" w:line="1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9"/>
          </w:cols>
          <w:pgMar w:left="240" w:top="488" w:right="1440" w:bottom="1440" w:gutter="0" w:footer="0" w:header="0"/>
        </w:sectPr>
      </w:pPr>
    </w:p>
    <w:bookmarkStart w:id="84" w:name="page85"/>
    <w:bookmarkEnd w:id="84"/>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Contracts" and SOP 97-2 "Software Revenue Recognition". Losses are recognized on contracts in the period in which the loss is identified in accordance with SOP 81-1. Initial license fee for software revenue is recognized as work is performed, under the percentage of completion method of accounting. Subsequent license fee revenue is recognized upon completion of specified conditions in each contract, based on a customer's subscriber level or number of users when greater than the level specified in the contract for the initial license fee. Service revenue that involves significant ongoing obligations, including fees for software customization, implementation and modification, is recognized as work is performed, under the percentage of completion method of accounting. In cases where extended payment terms exist, license and related customization fees are recognized when payments are due, in accordance with SOP 97-2. Revenue from software solutions that does not require significant customization and modification, is recognized upon delivery, in accordance with the principles emphasized in Staff Accounting Bulletin ("SAB") 104 "Revenue Recognition" and SOP 97-2. In Managed Services contracts, revenue from the operation of a customer's system is recognized either ratably over the service period or as services are performed. Revenue from ongoing support services is recognized as work is performed. Revenue from third party hardware sales is recognized upon delivery and installation, and revenue from third party software sales is recognized upon delivery. Revenue from third party hardware and software sales is recorded according to the criteria established in Emerging Issues Task Force ("EITF") 99-19 "Recording Revenue Gross as a Principal versus Net as an Agent" and SAB 104. Revenue is recorded at gross amounts for transactions in which the Company is the primary obligor under the arrangement and/or that possess other attributes such as pricing and supplier selection latitude. In specific circumstances where the Company does not meet the criteria for gross recognition in EITF 99-19, particularly when the contract stipulates that the Company is not the primary obligor, the Company recognizes revenue on a net basis. Maintenance revenue is recognized ratably over the term of the maintenance agreement, which in most cases is one year or less. As a result of a significant portion of the Company's revenue being subject to the percentage of completion accounting method, the Company's annual and quarterly operating results may be significantly affected by the size and timing of customer projects and the Company's progress in completing such projects.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999" w:firstLine="527"/>
        <w:spacing w:after="0" w:line="287" w:lineRule="auto"/>
        <w:rPr>
          <w:sz w:val="20"/>
          <w:szCs w:val="20"/>
          <w:color w:val="auto"/>
        </w:rPr>
      </w:pPr>
      <w:r>
        <w:rPr>
          <w:rFonts w:ascii="Courier New" w:cs="Courier New" w:eastAsia="Courier New" w:hAnsi="Courier New"/>
          <w:sz w:val="16"/>
          <w:szCs w:val="16"/>
          <w:color w:val="auto"/>
        </w:rPr>
        <w:t>Many of the Company's agreements include multiple deliverables. For these multiple elements arrangements, the fair value of each component is determined based on specific objective evidence for that element and revenue is allocated to each component based upon its fair value. The revenue associated with each element is recognized using the respective methodology discussed above. The Company uses the residual method in accordance with SOP 97-2 in multiple elements arrangements that include license for the sale of software solutions that do not require significant customization and modification and first year maintenance to determine the appropriate value for the license component.</w:t>
      </w:r>
    </w:p>
    <w:p>
      <w:pPr>
        <w:spacing w:after="0" w:line="75"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In circumstances where the Company enters into a contract with a customer for the provision of Managed Services for a defined period of time, the Company defers, in accordance with SAB 104, certain costs incurred by the Company at the inception of the contract. These costs include costs associated with migration of data and the establishment of software interfaces. The deferred costs are amortized on a straight-line basis over the life of the respective customer contract. Revenue associated with these capitalized costs is deferred and will be recognized over the life of the respective customer contract.</w:t>
      </w:r>
    </w:p>
    <w:p>
      <w:pPr>
        <w:spacing w:after="0" w:line="77" w:lineRule="exact"/>
        <w:rPr>
          <w:sz w:val="20"/>
          <w:szCs w:val="20"/>
          <w:color w:val="auto"/>
        </w:rPr>
      </w:pPr>
    </w:p>
    <w:p>
      <w:pPr>
        <w:ind w:right="1999" w:firstLine="527"/>
        <w:spacing w:after="0" w:line="402" w:lineRule="auto"/>
        <w:rPr>
          <w:sz w:val="20"/>
          <w:szCs w:val="20"/>
          <w:color w:val="auto"/>
        </w:rPr>
      </w:pPr>
      <w:r>
        <w:rPr>
          <w:rFonts w:ascii="Courier New" w:cs="Courier New" w:eastAsia="Courier New" w:hAnsi="Courier New"/>
          <w:sz w:val="16"/>
          <w:szCs w:val="16"/>
          <w:color w:val="auto"/>
        </w:rPr>
        <w:t>In cases where extended payment terms exist and revenue is deferred until payments are due, related costs are capitalized and recognized accordingly.</w:t>
      </w:r>
    </w:p>
    <w:p>
      <w:pPr>
        <w:spacing w:after="0" w:line="1" w:lineRule="exact"/>
        <w:rPr>
          <w:sz w:val="20"/>
          <w:szCs w:val="20"/>
          <w:color w:val="auto"/>
        </w:rPr>
      </w:pPr>
    </w:p>
    <w:p>
      <w:pPr>
        <w:ind w:right="2099" w:firstLine="527"/>
        <w:spacing w:after="0" w:line="298" w:lineRule="auto"/>
        <w:rPr>
          <w:sz w:val="20"/>
          <w:szCs w:val="20"/>
          <w:color w:val="auto"/>
        </w:rPr>
      </w:pPr>
      <w:r>
        <w:rPr>
          <w:rFonts w:ascii="Courier New" w:cs="Courier New" w:eastAsia="Courier New" w:hAnsi="Courier New"/>
          <w:sz w:val="16"/>
          <w:szCs w:val="16"/>
          <w:color w:val="auto"/>
        </w:rPr>
        <w:t>Deferred revenue represents billings to customers for licenses, services and third-party products for which revenue has not been recognized. Unbilled accounts receivable include all amounts that had not been billed as of the balance sheet date due to contractual or other arrangements with customers. Allowances that are netted against accounts receivable represent amounts provided for accounts, which their collectibility is not reasonably assured.</w:t>
      </w:r>
    </w:p>
    <w:p>
      <w:pPr>
        <w:spacing w:after="0" w:line="6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219"/>
          </w:cols>
          <w:pgMar w:left="240" w:top="488" w:right="1440" w:bottom="1440" w:gutter="0" w:footer="0" w:header="0"/>
        </w:sectPr>
      </w:pPr>
    </w:p>
    <w:bookmarkStart w:id="85" w:name="page86"/>
    <w:bookmarkEnd w:id="85"/>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Included in service revenue are sales of third-party products. Revenue from sales of such products includes third-party computer hardware and computer software products and was less than 10% of total revenue in each of fiscal 2003, 2002 and 2001.</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COST OF LICENSE AND COST OF SERVICE</w:t>
      </w:r>
    </w:p>
    <w:p>
      <w:pPr>
        <w:spacing w:after="0" w:line="201"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Cost of license and service consists of all costs associated with providing services to customers, including identified losses on contracts and warranty expense. Estimated losses on contracts are recognized in the period in which the loss is identified in accordance with SOP 81-1. Estimated costs related to warranty obligations are initially provided at the time the product is delivered and are revised to reflect subsequent changes in circumstances and estimates. Cost of license includes royalty payments to software suppliers, amortization of purchased computer software and intellectual property rights.</w:t>
      </w:r>
    </w:p>
    <w:p>
      <w:pPr>
        <w:spacing w:after="0" w:line="77"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Included in cost of service are costs of third-party products associated with reselling third-party computer hardware and software products to customers, when revenue from third-party products is recorded at the gross amount. Customers purchasing third-party products from the Company generally do so in conjunction with the purchase of services.</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RESEARCH AND DEVELOPMENT</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Research and development expenditures consist of costs incurred in the development of new software modules and product offerings, either in conjunction with customer projects or as part of the Company's internal product development programs. Research and development costs, which are incurred in conjunction with a customer project, are expensed as incurred.</w:t>
      </w:r>
    </w:p>
    <w:p>
      <w:pPr>
        <w:spacing w:after="0" w:line="90"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Based on the Company's product development process, technological feasibility, as defined in SFAS No. 86, "Accounting for the Costs of Computer Software to be Sold, Leased or Otherwise Marketed",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9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EMPLOYEE BENEFIT PLANS</w:t>
      </w:r>
    </w:p>
    <w:p>
      <w:pPr>
        <w:spacing w:after="0" w:line="201" w:lineRule="exact"/>
        <w:rPr>
          <w:sz w:val="20"/>
          <w:szCs w:val="20"/>
          <w:color w:val="auto"/>
        </w:rPr>
      </w:pPr>
    </w:p>
    <w:p>
      <w:pPr>
        <w:jc w:val="both"/>
        <w:ind w:right="2099" w:firstLine="527"/>
        <w:spacing w:after="0" w:line="282" w:lineRule="auto"/>
        <w:rPr>
          <w:sz w:val="20"/>
          <w:szCs w:val="20"/>
          <w:color w:val="auto"/>
        </w:rPr>
      </w:pPr>
      <w:r>
        <w:rPr>
          <w:rFonts w:ascii="Courier New" w:cs="Courier New" w:eastAsia="Courier New" w:hAnsi="Courier New"/>
          <w:sz w:val="16"/>
          <w:szCs w:val="16"/>
          <w:color w:val="auto"/>
        </w:rPr>
        <w:t>The Company maintains a non-contributory defined benefit plan for one of its Canadian subsidiaries that provide for pensions for substantially all of that subsidiary's employees based on length of service and rate of pay.</w:t>
      </w:r>
    </w:p>
    <w:p>
      <w:pPr>
        <w:spacing w:after="0" w:line="1" w:lineRule="exact"/>
        <w:rPr>
          <w:sz w:val="20"/>
          <w:szCs w:val="20"/>
          <w:color w:val="auto"/>
        </w:rPr>
      </w:pPr>
    </w:p>
    <w:p>
      <w:pPr>
        <w:ind w:right="1879"/>
        <w:spacing w:after="0" w:line="295" w:lineRule="auto"/>
        <w:rPr>
          <w:sz w:val="20"/>
          <w:szCs w:val="20"/>
          <w:color w:val="auto"/>
        </w:rPr>
      </w:pPr>
      <w:r>
        <w:rPr>
          <w:rFonts w:ascii="Courier New" w:cs="Courier New" w:eastAsia="Courier New" w:hAnsi="Courier New"/>
          <w:sz w:val="16"/>
          <w:szCs w:val="16"/>
          <w:color w:val="auto"/>
        </w:rPr>
        <w:t>Additionally, the Company provides to these employees other retirement benefits such as certain health care and life insurance benefits on retirement and various disability plans, workers' compensation and medical benefits to former or inactive employees, their beneficiaries and covered dependants, after employment but before retirement, under specified circumstances.</w:t>
      </w:r>
    </w:p>
    <w:p>
      <w:pPr>
        <w:spacing w:after="0" w:line="70" w:lineRule="exact"/>
        <w:rPr>
          <w:sz w:val="20"/>
          <w:szCs w:val="20"/>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The Company accrues its obligations to these employees under employee benefit plans and the related costs net of returns on plan assets. Pension expense and other retirement benefits earned by employees are actuarially determined using the projected benefit method pro-rated on service and based on management's best estimates of expected plan investments performance, salary escalation, retirement ages of employees and expected health care costs.</w:t>
      </w:r>
    </w:p>
    <w:p>
      <w:pPr>
        <w:spacing w:after="0" w:line="68" w:lineRule="exact"/>
        <w:rPr>
          <w:sz w:val="20"/>
          <w:szCs w:val="20"/>
          <w:color w:val="auto"/>
        </w:rPr>
      </w:pPr>
    </w:p>
    <w:p>
      <w:pPr>
        <w:ind w:right="1999" w:firstLine="527"/>
        <w:spacing w:after="0" w:line="293" w:lineRule="auto"/>
        <w:rPr>
          <w:sz w:val="20"/>
          <w:szCs w:val="20"/>
          <w:color w:val="auto"/>
        </w:rPr>
      </w:pPr>
      <w:r>
        <w:rPr>
          <w:rFonts w:ascii="Courier New" w:cs="Courier New" w:eastAsia="Courier New" w:hAnsi="Courier New"/>
          <w:sz w:val="16"/>
          <w:szCs w:val="16"/>
          <w:color w:val="auto"/>
        </w:rPr>
        <w:t>The fair value of the employee benefit plans assets is based on market values. The plan assets are valued at market-related value for the purpose of calculating the expected return on plan assets and the amortization of experience gains and losses. Past service costs, which may arise from plan amendments, are amortized on a straight-line basis over the average remaining service period of the employees active at the date of amendment. The excess of the net actuarial gain (loss) over 10% of the greater of the benefit</w:t>
      </w:r>
    </w:p>
    <w:p>
      <w:pPr>
        <w:spacing w:after="0" w:line="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F-12</w:t>
      </w:r>
    </w:p>
    <w:p>
      <w:pPr>
        <w:sectPr>
          <w:pgSz w:w="11900" w:h="16838" w:orient="portrait"/>
          <w:cols w:equalWidth="0" w:num="1">
            <w:col w:w="10219"/>
          </w:cols>
          <w:pgMar w:left="240" w:top="488" w:right="1440" w:bottom="1440" w:gutter="0" w:footer="0" w:header="0"/>
        </w:sectPr>
      </w:pPr>
    </w:p>
    <w:bookmarkStart w:id="86" w:name="page87"/>
    <w:bookmarkEnd w:id="8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obligation and the market-related value of plan assets is amortized over the average remaining service period of active employees.</w:t>
      </w:r>
    </w:p>
    <w:p>
      <w:pPr>
        <w:spacing w:after="0" w:line="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STOCK-BASED COMPENSATION</w:t>
      </w:r>
    </w:p>
    <w:p>
      <w:pPr>
        <w:spacing w:after="0" w:line="201"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The Company accounts for stock-based compensation in accordance with Accounting Principles Board ("APB") Opinion No. 25, "Accounting for Stock Issued to Employees".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No compensation expense is recorded for stock options that are granted to employees and directors at an exercise price equal to the fair market value of the Ordinary Shares at the time of the grant. Net income (loss) for the years ended September 30, 2003, 2002 and 2001, reflect employee stock-based compensation cost of $0, $185 and $979, respectively. Compensation expenses that are deductible in a tax return in a period different from the one in which they are reported as expenses in measuring net income are temporary differences that result in deferred taxes. To the extent that compensation is not recorded for stock-based compensation, the benefit of the related tax deduction is recorded as an increase to additional paid-in capital in the period of the tax reduction.</w:t>
      </w:r>
    </w:p>
    <w:p>
      <w:pPr>
        <w:spacing w:after="0" w:line="299"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In December 2002, the Financial Accounting Standards Board ("FASB") issued SFAS No. 148, "Accounting for Stock-Based Compensation -- Transition and Disclosure -- an Amendment of FASB Statement No. 123". SFAS No. 148 amends SFAS No. 123 to provide alternative methods of transition for a voluntary change to the fair value-based method of accounting for stock-based employee compensation. In addition, SFAS No. 148 amends the disclosure requirements of SFAS No. 123 to require more prominent disclosures in both annual and interim financial statements regarding the method of accounting for stock-based employee compensation and the effect of the method used on reported results. The alternative methods of transition of SFAS No. 148 are effective for fiscal years ending after December 15, 2002. The disclosure provision of SFAS No. 148 is effective for interim periods beginning after December 15, 2002. The transition and annual disclosure requirements of SFAS No. 148 were effective for the Company commencing January 1, 2003. The Company adopted the disclosure provision during fiscal 2003.</w:t>
      </w:r>
    </w:p>
    <w:p>
      <w:pPr>
        <w:spacing w:after="0" w:line="106"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The Company determined pro forma net income (loss) and earnings (loss) per share information as if the fair value method described in SFAS No. 123, as amended by SFAS No. 148, had been applied to its employee stock-based compensation. The Company utilized the Black-Scholes option-pricing model to estimate fair value, which is one of several methods that can be used under SFAS No. 123. The Black-Scholes option valuation model was developed for use in estimating the fair value of traded options that have no vesting restrictions and are fully transferable. Option valuation models require the input of highly subjective assumptions, including the expected share price volatility. The Company's options have characteristics significantly different from those of traded options, and changes in the subjective input assumptions can materially affect the fair value estimates.</w:t>
      </w:r>
    </w:p>
    <w:p>
      <w:pPr>
        <w:spacing w:after="0" w:line="105"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fair value of options granted was estimated at the date of grant using the Black-Scholes pricing model with the following assumptions for the presented periods (all in weighted averages):</w:t>
      </w:r>
    </w:p>
    <w:p>
      <w:pPr>
        <w:spacing w:after="0" w:line="6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-------------- 2003 2002 2001 -----</w:t>
      </w:r>
    </w:p>
    <w:p>
      <w:pPr>
        <w:ind w:left="220" w:right="6539" w:hanging="112"/>
        <w:spacing w:after="0" w:line="268" w:lineRule="auto"/>
        <w:tabs>
          <w:tab w:leader="none" w:pos="325"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Risk-free interest rate............................</w:t>
      </w:r>
    </w:p>
    <w:p>
      <w:pPr>
        <w:ind w:left="100"/>
        <w:spacing w:after="0"/>
        <w:rPr>
          <w:sz w:val="20"/>
          <w:szCs w:val="20"/>
          <w:color w:val="auto"/>
        </w:rPr>
      </w:pPr>
      <w:r>
        <w:rPr>
          <w:rFonts w:ascii="Courier New" w:cs="Courier New" w:eastAsia="Courier New" w:hAnsi="Courier New"/>
          <w:sz w:val="18"/>
          <w:szCs w:val="18"/>
          <w:color w:val="auto"/>
        </w:rPr>
        <w:t>2.70% 2.85% 5.15% Expected life of</w:t>
      </w:r>
    </w:p>
    <w:p>
      <w:pPr>
        <w:ind w:left="100"/>
        <w:spacing w:after="0" w:line="238" w:lineRule="auto"/>
        <w:rPr>
          <w:sz w:val="20"/>
          <w:szCs w:val="20"/>
          <w:color w:val="auto"/>
        </w:rPr>
      </w:pPr>
      <w:r>
        <w:rPr>
          <w:rFonts w:ascii="Courier New" w:cs="Courier New" w:eastAsia="Courier New" w:hAnsi="Courier New"/>
          <w:sz w:val="18"/>
          <w:szCs w:val="18"/>
          <w:color w:val="auto"/>
        </w:rPr>
        <w:t>options...........................</w:t>
      </w:r>
    </w:p>
    <w:p>
      <w:pPr>
        <w:jc w:val="center"/>
        <w:ind w:right="6439"/>
        <w:spacing w:after="0"/>
        <w:rPr>
          <w:sz w:val="20"/>
          <w:szCs w:val="20"/>
          <w:color w:val="auto"/>
        </w:rPr>
      </w:pPr>
      <w:r>
        <w:rPr>
          <w:rFonts w:ascii="Courier New" w:cs="Courier New" w:eastAsia="Courier New" w:hAnsi="Courier New"/>
          <w:sz w:val="18"/>
          <w:szCs w:val="18"/>
          <w:color w:val="auto"/>
        </w:rPr>
        <w:t>2.93 2.89 3.26 Expected annual</w:t>
      </w:r>
    </w:p>
    <w:p>
      <w:pPr>
        <w:ind w:left="60"/>
        <w:spacing w:after="0" w:line="238" w:lineRule="auto"/>
        <w:rPr>
          <w:sz w:val="20"/>
          <w:szCs w:val="20"/>
          <w:color w:val="auto"/>
        </w:rPr>
      </w:pPr>
      <w:r>
        <w:rPr>
          <w:rFonts w:ascii="Courier New" w:cs="Courier New" w:eastAsia="Courier New" w:hAnsi="Courier New"/>
          <w:sz w:val="18"/>
          <w:szCs w:val="18"/>
          <w:color w:val="auto"/>
        </w:rPr>
        <w:t>volatility.........................</w:t>
      </w:r>
    </w:p>
    <w:p>
      <w:pPr>
        <w:jc w:val="center"/>
        <w:ind w:right="6439"/>
        <w:spacing w:after="0"/>
        <w:rPr>
          <w:sz w:val="20"/>
          <w:szCs w:val="20"/>
          <w:color w:val="auto"/>
        </w:rPr>
      </w:pPr>
      <w:r>
        <w:rPr>
          <w:rFonts w:ascii="Courier New" w:cs="Courier New" w:eastAsia="Courier New" w:hAnsi="Courier New"/>
          <w:sz w:val="16"/>
          <w:szCs w:val="16"/>
          <w:color w:val="auto"/>
        </w:rPr>
        <w:t>0.568 0.756 0.660 Expected dividend</w:t>
      </w:r>
    </w:p>
    <w:p>
      <w:pPr>
        <w:spacing w:after="0" w:line="20"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yield............................</w:t>
      </w:r>
    </w:p>
    <w:p>
      <w:pPr>
        <w:jc w:val="center"/>
        <w:ind w:right="6439"/>
        <w:spacing w:after="0" w:line="238" w:lineRule="auto"/>
        <w:rPr>
          <w:sz w:val="20"/>
          <w:szCs w:val="20"/>
          <w:color w:val="auto"/>
        </w:rPr>
      </w:pPr>
      <w:r>
        <w:rPr>
          <w:rFonts w:ascii="Courier New" w:cs="Courier New" w:eastAsia="Courier New" w:hAnsi="Courier New"/>
          <w:sz w:val="18"/>
          <w:szCs w:val="18"/>
          <w:color w:val="auto"/>
        </w:rPr>
        <w:t>None None None Fair value per</w:t>
      </w:r>
    </w:p>
    <w:p>
      <w:pPr>
        <w:spacing w:after="0"/>
        <w:rPr>
          <w:sz w:val="20"/>
          <w:szCs w:val="20"/>
          <w:color w:val="auto"/>
        </w:rPr>
      </w:pPr>
      <w:r>
        <w:rPr>
          <w:rFonts w:ascii="Courier New" w:cs="Courier New" w:eastAsia="Courier New" w:hAnsi="Courier New"/>
          <w:sz w:val="18"/>
          <w:szCs w:val="18"/>
          <w:color w:val="auto"/>
        </w:rPr>
        <w:t>option..............................</w:t>
      </w:r>
    </w:p>
    <w:p>
      <w:pPr>
        <w:ind w:left="840"/>
        <w:spacing w:after="0"/>
        <w:rPr>
          <w:sz w:val="20"/>
          <w:szCs w:val="20"/>
          <w:color w:val="auto"/>
        </w:rPr>
      </w:pPr>
      <w:r>
        <w:rPr>
          <w:rFonts w:ascii="Courier New" w:cs="Courier New" w:eastAsia="Courier New" w:hAnsi="Courier New"/>
          <w:sz w:val="18"/>
          <w:szCs w:val="18"/>
          <w:color w:val="auto"/>
        </w:rPr>
        <w:t>$ 4.00 $10.93 $23.07</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488" w:right="1440" w:bottom="185" w:gutter="0" w:footer="0" w:header="0"/>
        </w:sectPr>
      </w:pPr>
    </w:p>
    <w:bookmarkStart w:id="87" w:name="page88"/>
    <w:bookmarkEnd w:id="8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The pro forma effect on net income (loss) and earnings (loss) per share is as follows for the presented periods:</w:t>
      </w:r>
    </w:p>
    <w:p>
      <w:pPr>
        <w:spacing w:after="0" w:line="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60" w:type="dxa"/>
        <w:tblCellMar>
          <w:top w:w="0" w:type="dxa"/>
          <w:left w:w="0" w:type="dxa"/>
          <w:bottom w:w="0" w:type="dxa"/>
          <w:right w:w="0" w:type="dxa"/>
        </w:tblCellMar>
      </w:tblPr>
      <w:tr>
        <w:trPr>
          <w:trHeight w:val="201"/>
        </w:trPr>
        <w:tc>
          <w:tcPr>
            <w:tcW w:w="1260" w:type="dxa"/>
            <w:vAlign w:val="bottom"/>
          </w:tcPr>
          <w:p>
            <w:pPr>
              <w:spacing w:after="0" w:line="201"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w w:val="92"/>
              </w:rPr>
              <w:t>2003 2002 2001 --------</w:t>
            </w:r>
          </w:p>
        </w:tc>
        <w:tc>
          <w:tcPr>
            <w:tcW w:w="94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 ------- Net income (loss), as</w:t>
            </w:r>
          </w:p>
        </w:tc>
      </w:tr>
      <w:tr>
        <w:trPr>
          <w:trHeight w:val="235"/>
        </w:trPr>
        <w:tc>
          <w:tcPr>
            <w:tcW w:w="1260" w:type="dxa"/>
            <w:vAlign w:val="bottom"/>
          </w:tcPr>
          <w:p>
            <w:pPr>
              <w:spacing w:after="0"/>
              <w:rPr>
                <w:sz w:val="20"/>
                <w:szCs w:val="20"/>
                <w:color w:val="auto"/>
              </w:rPr>
            </w:pPr>
            <w:r>
              <w:rPr>
                <w:rFonts w:ascii="Courier New" w:cs="Courier New" w:eastAsia="Courier New" w:hAnsi="Courier New"/>
                <w:sz w:val="12"/>
                <w:szCs w:val="12"/>
                <w:color w:val="auto"/>
                <w:w w:val="71"/>
              </w:rPr>
              <w:t>reported................</w:t>
            </w:r>
          </w:p>
        </w:tc>
        <w:tc>
          <w:tcPr>
            <w:tcW w:w="2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$168,883</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4"/>
              </w:rPr>
              <w:t>$ (5,061)</w:t>
            </w:r>
          </w:p>
        </w:tc>
      </w:tr>
    </w:tbl>
    <w:p>
      <w:pPr>
        <w:jc w:val="center"/>
        <w:ind w:right="5579"/>
        <w:spacing w:after="0" w:line="238" w:lineRule="auto"/>
        <w:rPr>
          <w:sz w:val="20"/>
          <w:szCs w:val="20"/>
          <w:color w:val="auto"/>
        </w:rPr>
      </w:pPr>
      <w:r>
        <w:rPr>
          <w:rFonts w:ascii="Courier New" w:cs="Courier New" w:eastAsia="Courier New" w:hAnsi="Courier New"/>
          <w:sz w:val="18"/>
          <w:szCs w:val="18"/>
          <w:color w:val="auto"/>
        </w:rPr>
        <w:t>$66,386 Add: Stock-based employee</w:t>
      </w:r>
    </w:p>
    <w:p>
      <w:pPr>
        <w:jc w:val="center"/>
        <w:ind w:right="5579"/>
        <w:spacing w:after="0"/>
        <w:rPr>
          <w:sz w:val="20"/>
          <w:szCs w:val="20"/>
          <w:color w:val="auto"/>
        </w:rPr>
      </w:pPr>
      <w:r>
        <w:rPr>
          <w:rFonts w:ascii="Courier New" w:cs="Courier New" w:eastAsia="Courier New" w:hAnsi="Courier New"/>
          <w:sz w:val="16"/>
          <w:szCs w:val="16"/>
          <w:color w:val="auto"/>
        </w:rPr>
        <w:t>compensation expense included in net income</w:t>
      </w:r>
    </w:p>
    <w:tbl>
      <w:tblPr>
        <w:tblLayout w:type="fixed"/>
        <w:tblInd w:w="60" w:type="dxa"/>
        <w:tblCellMar>
          <w:top w:w="0" w:type="dxa"/>
          <w:left w:w="0" w:type="dxa"/>
          <w:bottom w:w="0" w:type="dxa"/>
          <w:right w:w="0" w:type="dxa"/>
        </w:tblCellMar>
      </w:tblPr>
      <w:tr>
        <w:trPr>
          <w:trHeight w:val="192"/>
        </w:trPr>
        <w:tc>
          <w:tcPr>
            <w:tcW w:w="640" w:type="dxa"/>
            <w:vAlign w:val="bottom"/>
            <w:vMerge w:val="restart"/>
          </w:tcPr>
          <w:p>
            <w:pPr>
              <w:spacing w:after="0"/>
              <w:rPr>
                <w:sz w:val="20"/>
                <w:szCs w:val="20"/>
                <w:color w:val="auto"/>
              </w:rPr>
            </w:pPr>
            <w:r>
              <w:rPr>
                <w:rFonts w:ascii="Courier New" w:cs="Courier New" w:eastAsia="Courier New" w:hAnsi="Courier New"/>
                <w:sz w:val="18"/>
                <w:szCs w:val="18"/>
                <w:color w:val="auto"/>
                <w:w w:val="95"/>
              </w:rPr>
              <w:t>effect</w:t>
            </w:r>
          </w:p>
        </w:tc>
        <w:tc>
          <w:tcPr>
            <w:tcW w:w="3880" w:type="dxa"/>
            <w:vAlign w:val="bottom"/>
          </w:tcPr>
          <w:p>
            <w:pPr>
              <w:jc w:val="right"/>
              <w:ind w:right="792"/>
              <w:spacing w:after="0" w:line="192" w:lineRule="exact"/>
              <w:rPr>
                <w:sz w:val="20"/>
                <w:szCs w:val="20"/>
                <w:color w:val="auto"/>
              </w:rPr>
            </w:pPr>
            <w:r>
              <w:rPr>
                <w:rFonts w:ascii="Courier New" w:cs="Courier New" w:eastAsia="Courier New" w:hAnsi="Courier New"/>
                <w:sz w:val="18"/>
                <w:szCs w:val="18"/>
                <w:color w:val="auto"/>
              </w:rPr>
              <w:t>(loss), net of related tax</w:t>
            </w:r>
          </w:p>
        </w:tc>
        <w:tc>
          <w:tcPr>
            <w:tcW w:w="0" w:type="dxa"/>
            <w:vAlign w:val="bottom"/>
          </w:tcPr>
          <w:p>
            <w:pPr>
              <w:spacing w:after="0"/>
              <w:rPr>
                <w:sz w:val="1"/>
                <w:szCs w:val="1"/>
                <w:color w:val="auto"/>
              </w:rPr>
            </w:pPr>
          </w:p>
        </w:tc>
      </w:tr>
      <w:tr>
        <w:trPr>
          <w:trHeight w:val="235"/>
        </w:trPr>
        <w:tc>
          <w:tcPr>
            <w:tcW w:w="640" w:type="dxa"/>
            <w:vAlign w:val="bottom"/>
            <w:vMerge w:val="continue"/>
          </w:tcPr>
          <w:p>
            <w:pPr>
              <w:spacing w:after="0"/>
              <w:rPr>
                <w:sz w:val="20"/>
                <w:szCs w:val="20"/>
                <w:color w:val="auto"/>
              </w:rPr>
            </w:pPr>
          </w:p>
        </w:tc>
        <w:tc>
          <w:tcPr>
            <w:tcW w:w="3880" w:type="dxa"/>
            <w:vAlign w:val="bottom"/>
          </w:tcPr>
          <w:p>
            <w:pPr>
              <w:jc w:val="right"/>
              <w:spacing w:after="0"/>
              <w:rPr>
                <w:sz w:val="20"/>
                <w:szCs w:val="20"/>
                <w:color w:val="auto"/>
              </w:rPr>
            </w:pPr>
            <w:r>
              <w:rPr>
                <w:rFonts w:ascii="Courier New" w:cs="Courier New" w:eastAsia="Courier New" w:hAnsi="Courier New"/>
                <w:sz w:val="18"/>
                <w:szCs w:val="18"/>
                <w:color w:val="auto"/>
                <w:w w:val="96"/>
              </w:rPr>
              <w:t>.......................... -- 185 979</w:t>
            </w:r>
          </w:p>
        </w:tc>
        <w:tc>
          <w:tcPr>
            <w:tcW w:w="0" w:type="dxa"/>
            <w:vAlign w:val="bottom"/>
          </w:tcPr>
          <w:p>
            <w:pPr>
              <w:spacing w:after="0"/>
              <w:rPr>
                <w:sz w:val="1"/>
                <w:szCs w:val="1"/>
                <w:color w:val="auto"/>
              </w:rPr>
            </w:pPr>
          </w:p>
        </w:tc>
      </w:tr>
    </w:tbl>
    <w:p>
      <w:pPr>
        <w:jc w:val="center"/>
        <w:ind w:right="5579"/>
        <w:spacing w:after="0" w:line="238" w:lineRule="auto"/>
        <w:rPr>
          <w:sz w:val="20"/>
          <w:szCs w:val="20"/>
          <w:color w:val="auto"/>
        </w:rPr>
      </w:pPr>
      <w:r>
        <w:rPr>
          <w:rFonts w:ascii="Courier New" w:cs="Courier New" w:eastAsia="Courier New" w:hAnsi="Courier New"/>
          <w:sz w:val="18"/>
          <w:szCs w:val="18"/>
          <w:color w:val="auto"/>
        </w:rPr>
        <w:t>Less: Total stock-based employee</w:t>
      </w:r>
    </w:p>
    <w:p>
      <w:pPr>
        <w:ind w:left="120"/>
        <w:spacing w:after="0"/>
        <w:rPr>
          <w:sz w:val="20"/>
          <w:szCs w:val="20"/>
          <w:color w:val="auto"/>
        </w:rPr>
      </w:pPr>
      <w:r>
        <w:rPr>
          <w:rFonts w:ascii="Courier New" w:cs="Courier New" w:eastAsia="Courier New" w:hAnsi="Courier New"/>
          <w:sz w:val="18"/>
          <w:szCs w:val="18"/>
          <w:color w:val="auto"/>
        </w:rPr>
        <w:t>compensation expense determined under fair</w:t>
      </w:r>
    </w:p>
    <w:p>
      <w:pPr>
        <w:ind w:left="60"/>
        <w:spacing w:after="0" w:line="238" w:lineRule="auto"/>
        <w:rPr>
          <w:sz w:val="20"/>
          <w:szCs w:val="20"/>
          <w:color w:val="auto"/>
        </w:rPr>
      </w:pPr>
      <w:r>
        <w:rPr>
          <w:rFonts w:ascii="Courier New" w:cs="Courier New" w:eastAsia="Courier New" w:hAnsi="Courier New"/>
          <w:sz w:val="18"/>
          <w:szCs w:val="18"/>
          <w:color w:val="auto"/>
        </w:rPr>
        <w:t>value method for all awards, net of related</w:t>
      </w:r>
    </w:p>
    <w:tbl>
      <w:tblPr>
        <w:tblLayout w:type="fixed"/>
        <w:tblInd w:w="0" w:type="dxa"/>
        <w:tblCellMar>
          <w:top w:w="0" w:type="dxa"/>
          <w:left w:w="0" w:type="dxa"/>
          <w:bottom w:w="0" w:type="dxa"/>
          <w:right w:w="0" w:type="dxa"/>
        </w:tblCellMar>
      </w:tblPr>
      <w:tr>
        <w:trPr>
          <w:trHeight w:val="171"/>
        </w:trPr>
        <w:tc>
          <w:tcPr>
            <w:tcW w:w="3280" w:type="dxa"/>
            <w:vAlign w:val="bottom"/>
          </w:tcPr>
          <w:p>
            <w:pPr>
              <w:jc w:val="center"/>
              <w:ind w:left="1276"/>
              <w:spacing w:after="0" w:line="171" w:lineRule="exact"/>
              <w:rPr>
                <w:sz w:val="20"/>
                <w:szCs w:val="20"/>
                <w:color w:val="auto"/>
              </w:rPr>
            </w:pPr>
            <w:r>
              <w:rPr>
                <w:rFonts w:ascii="Courier New" w:cs="Courier New" w:eastAsia="Courier New" w:hAnsi="Courier New"/>
                <w:sz w:val="18"/>
                <w:szCs w:val="18"/>
                <w:color w:val="auto"/>
                <w:w w:val="98"/>
              </w:rPr>
              <w:t>tax</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80" w:type="dxa"/>
            <w:vAlign w:val="bottom"/>
          </w:tcPr>
          <w:p>
            <w:pPr>
              <w:jc w:val="right"/>
              <w:spacing w:after="0" w:line="202" w:lineRule="exact"/>
              <w:rPr>
                <w:sz w:val="20"/>
                <w:szCs w:val="20"/>
                <w:color w:val="auto"/>
              </w:rPr>
            </w:pPr>
            <w:r>
              <w:rPr>
                <w:rFonts w:ascii="Courier New" w:cs="Courier New" w:eastAsia="Courier New" w:hAnsi="Courier New"/>
                <w:sz w:val="13"/>
                <w:szCs w:val="13"/>
                <w:color w:val="auto"/>
                <w:w w:val="78"/>
              </w:rPr>
              <w:t>effects.....................................</w:t>
            </w:r>
            <w:r>
              <w:rPr>
                <w:rFonts w:ascii="Courier New" w:cs="Courier New" w:eastAsia="Courier New" w:hAnsi="Courier New"/>
                <w:sz w:val="23"/>
                <w:szCs w:val="23"/>
                <w:color w:val="auto"/>
                <w:w w:val="78"/>
                <w:vertAlign w:val="subscript"/>
              </w:rPr>
              <w:t>--------</w:t>
            </w:r>
          </w:p>
        </w:tc>
        <w:tc>
          <w:tcPr>
            <w:tcW w:w="13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tcPr>
          <w:p>
            <w:pPr>
              <w:jc w:val="right"/>
              <w:ind w:right="396"/>
              <w:spacing w:after="0" w:line="203" w:lineRule="exact"/>
              <w:rPr>
                <w:sz w:val="20"/>
                <w:szCs w:val="20"/>
                <w:color w:val="auto"/>
              </w:rPr>
            </w:pPr>
            <w:r>
              <w:rPr>
                <w:rFonts w:ascii="Courier New" w:cs="Courier New" w:eastAsia="Courier New" w:hAnsi="Courier New"/>
                <w:sz w:val="18"/>
                <w:szCs w:val="18"/>
                <w:color w:val="auto"/>
                <w:w w:val="98"/>
              </w:rPr>
              <w:t>(23,539) (94,559) (62,331)</w:t>
            </w: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Pro forma net income</w:t>
            </w:r>
          </w:p>
        </w:tc>
        <w:tc>
          <w:tcPr>
            <w:tcW w:w="0" w:type="dxa"/>
            <w:vAlign w:val="bottom"/>
          </w:tcPr>
          <w:p>
            <w:pPr>
              <w:spacing w:after="0"/>
              <w:rPr>
                <w:sz w:val="1"/>
                <w:szCs w:val="1"/>
                <w:color w:val="auto"/>
              </w:rPr>
            </w:pPr>
          </w:p>
        </w:tc>
      </w:tr>
      <w:tr>
        <w:trPr>
          <w:trHeight w:val="235"/>
        </w:trPr>
        <w:tc>
          <w:tcPr>
            <w:tcW w:w="3280" w:type="dxa"/>
            <w:vAlign w:val="bottom"/>
          </w:tcPr>
          <w:p>
            <w:pPr>
              <w:jc w:val="right"/>
              <w:ind w:right="36"/>
              <w:spacing w:after="0"/>
              <w:rPr>
                <w:sz w:val="20"/>
                <w:szCs w:val="20"/>
                <w:color w:val="auto"/>
              </w:rPr>
            </w:pPr>
            <w:r>
              <w:rPr>
                <w:rFonts w:ascii="Courier New" w:cs="Courier New" w:eastAsia="Courier New" w:hAnsi="Courier New"/>
                <w:sz w:val="18"/>
                <w:szCs w:val="18"/>
                <w:color w:val="auto"/>
              </w:rPr>
              <w:t>(loss)...................</w:t>
            </w:r>
          </w:p>
        </w:tc>
        <w:tc>
          <w:tcPr>
            <w:tcW w:w="13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4"/>
              </w:rPr>
              <w:t>$145,344</w:t>
            </w:r>
          </w:p>
        </w:tc>
        <w:tc>
          <w:tcPr>
            <w:tcW w:w="0" w:type="dxa"/>
            <w:vAlign w:val="bottom"/>
          </w:tcPr>
          <w:p>
            <w:pPr>
              <w:spacing w:after="0"/>
              <w:rPr>
                <w:sz w:val="1"/>
                <w:szCs w:val="1"/>
                <w:color w:val="auto"/>
              </w:rPr>
            </w:pPr>
          </w:p>
        </w:tc>
      </w:tr>
    </w:tbl>
    <w:p>
      <w:pPr>
        <w:jc w:val="center"/>
        <w:ind w:right="5579"/>
        <w:spacing w:after="0"/>
        <w:rPr>
          <w:sz w:val="20"/>
          <w:szCs w:val="20"/>
          <w:color w:val="auto"/>
        </w:rPr>
      </w:pPr>
      <w:r>
        <w:rPr>
          <w:rFonts w:ascii="Courier New" w:cs="Courier New" w:eastAsia="Courier New" w:hAnsi="Courier New"/>
          <w:sz w:val="16"/>
          <w:szCs w:val="16"/>
          <w:color w:val="auto"/>
        </w:rPr>
        <w:t>$(99,435) $ 5,034 ======== ======== =======</w:t>
      </w:r>
    </w:p>
    <w:p>
      <w:pPr>
        <w:spacing w:after="0" w:line="20"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Basic earnings (loss) per share: As</w:t>
      </w:r>
    </w:p>
    <w:tbl>
      <w:tblPr>
        <w:tblLayout w:type="fixed"/>
        <w:tblInd w:w="60" w:type="dxa"/>
        <w:tblCellMar>
          <w:top w:w="0" w:type="dxa"/>
          <w:left w:w="0" w:type="dxa"/>
          <w:bottom w:w="0" w:type="dxa"/>
          <w:right w:w="0" w:type="dxa"/>
        </w:tblCellMar>
      </w:tblPr>
      <w:tr>
        <w:trPr>
          <w:trHeight w:val="171"/>
        </w:trPr>
        <w:tc>
          <w:tcPr>
            <w:tcW w:w="242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5"/>
              </w:rPr>
              <w:t>reported.................................</w:t>
            </w:r>
          </w:p>
        </w:tc>
        <w:tc>
          <w:tcPr>
            <w:tcW w:w="210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8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0.78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(0.02)</w:t>
            </w:r>
          </w:p>
        </w:tc>
        <w:tc>
          <w:tcPr>
            <w:tcW w:w="2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$ 0.30 ======== ========</w:t>
            </w:r>
          </w:p>
        </w:tc>
        <w:tc>
          <w:tcPr>
            <w:tcW w:w="0" w:type="dxa"/>
            <w:vAlign w:val="bottom"/>
          </w:tcPr>
          <w:p>
            <w:pPr>
              <w:spacing w:after="0"/>
              <w:rPr>
                <w:sz w:val="1"/>
                <w:szCs w:val="1"/>
                <w:color w:val="auto"/>
              </w:rPr>
            </w:pPr>
          </w:p>
        </w:tc>
      </w:tr>
      <w:tr>
        <w:trPr>
          <w:trHeight w:val="203"/>
        </w:trPr>
        <w:tc>
          <w:tcPr>
            <w:tcW w:w="1680" w:type="dxa"/>
            <w:vAlign w:val="bottom"/>
            <w:gridSpan w:val="2"/>
            <w:vMerge w:val="restart"/>
          </w:tcPr>
          <w:p>
            <w:pPr>
              <w:jc w:val="right"/>
              <w:spacing w:after="0"/>
              <w:rPr>
                <w:sz w:val="20"/>
                <w:szCs w:val="20"/>
                <w:color w:val="auto"/>
              </w:rPr>
            </w:pPr>
            <w:r>
              <w:rPr>
                <w:rFonts w:ascii="Courier New" w:cs="Courier New" w:eastAsia="Courier New" w:hAnsi="Courier New"/>
                <w:sz w:val="9"/>
                <w:szCs w:val="9"/>
                <w:color w:val="auto"/>
                <w:w w:val="76"/>
              </w:rPr>
              <w:t>forma...................................</w:t>
            </w:r>
          </w:p>
        </w:tc>
        <w:tc>
          <w:tcPr>
            <w:tcW w:w="2840" w:type="dxa"/>
            <w:vAlign w:val="bottom"/>
            <w:gridSpan w:val="2"/>
          </w:tcPr>
          <w:p>
            <w:pPr>
              <w:jc w:val="center"/>
              <w:ind w:right="1592"/>
              <w:spacing w:after="0" w:line="203" w:lineRule="exact"/>
              <w:rPr>
                <w:sz w:val="20"/>
                <w:szCs w:val="20"/>
                <w:color w:val="auto"/>
              </w:rPr>
            </w:pPr>
            <w:r>
              <w:rPr>
                <w:rFonts w:ascii="Courier New" w:cs="Courier New" w:eastAsia="Courier New" w:hAnsi="Courier New"/>
                <w:sz w:val="18"/>
                <w:szCs w:val="18"/>
                <w:color w:val="auto"/>
                <w:w w:val="97"/>
              </w:rPr>
              <w:t>======= Pro</w:t>
            </w: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7"/>
              </w:rPr>
              <w:t>$ (0.45)</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$ 0.02</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8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0.67</w:t>
            </w:r>
          </w:p>
        </w:tc>
        <w:tc>
          <w:tcPr>
            <w:tcW w:w="9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 ========</w:t>
            </w:r>
          </w:p>
        </w:tc>
        <w:tc>
          <w:tcPr>
            <w:tcW w:w="0" w:type="dxa"/>
            <w:vAlign w:val="bottom"/>
          </w:tcPr>
          <w:p>
            <w:pPr>
              <w:spacing w:after="0"/>
              <w:rPr>
                <w:sz w:val="1"/>
                <w:szCs w:val="1"/>
                <w:color w:val="auto"/>
              </w:rPr>
            </w:pPr>
          </w:p>
        </w:tc>
      </w:tr>
      <w:tr>
        <w:trPr>
          <w:trHeight w:val="203"/>
        </w:trPr>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Diluted</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earnings (loss) per share:</w:t>
            </w:r>
          </w:p>
        </w:tc>
        <w:tc>
          <w:tcPr>
            <w:tcW w:w="0" w:type="dxa"/>
            <w:vAlign w:val="bottom"/>
          </w:tcPr>
          <w:p>
            <w:pPr>
              <w:spacing w:after="0"/>
              <w:rPr>
                <w:sz w:val="1"/>
                <w:szCs w:val="1"/>
                <w:color w:val="auto"/>
              </w:rPr>
            </w:pPr>
          </w:p>
        </w:tc>
      </w:tr>
      <w:tr>
        <w:trPr>
          <w:trHeight w:val="296"/>
        </w:trPr>
        <w:tc>
          <w:tcPr>
            <w:tcW w:w="1680" w:type="dxa"/>
            <w:vAlign w:val="bottom"/>
            <w:gridSpan w:val="2"/>
            <w:vMerge w:val="restart"/>
          </w:tcPr>
          <w:p>
            <w:pPr>
              <w:jc w:val="right"/>
              <w:spacing w:after="0"/>
              <w:rPr>
                <w:sz w:val="20"/>
                <w:szCs w:val="20"/>
                <w:color w:val="auto"/>
              </w:rPr>
            </w:pPr>
            <w:r>
              <w:rPr>
                <w:rFonts w:ascii="Courier New" w:cs="Courier New" w:eastAsia="Courier New" w:hAnsi="Courier New"/>
                <w:sz w:val="9"/>
                <w:szCs w:val="9"/>
                <w:color w:val="auto"/>
                <w:w w:val="74"/>
              </w:rPr>
              <w:t>reported.................................</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As</w:t>
            </w:r>
          </w:p>
        </w:tc>
        <w:tc>
          <w:tcPr>
            <w:tcW w:w="2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1680" w:type="dxa"/>
            <w:vAlign w:val="bottom"/>
            <w:gridSpan w:val="2"/>
            <w:vMerge w:val="continue"/>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$ 0.29</w:t>
            </w: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8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0.77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(0.02)</w:t>
            </w:r>
          </w:p>
        </w:tc>
        <w:tc>
          <w:tcPr>
            <w:tcW w:w="740" w:type="dxa"/>
            <w:vAlign w:val="bottom"/>
            <w:vMerge w:val="continue"/>
          </w:tcPr>
          <w:p>
            <w:pPr>
              <w:spacing w:after="0"/>
              <w:rPr>
                <w:sz w:val="17"/>
                <w:szCs w:val="17"/>
                <w:color w:val="auto"/>
              </w:rPr>
            </w:pPr>
          </w:p>
        </w:tc>
        <w:tc>
          <w:tcPr>
            <w:tcW w:w="2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 ========</w:t>
            </w:r>
          </w:p>
        </w:tc>
        <w:tc>
          <w:tcPr>
            <w:tcW w:w="0" w:type="dxa"/>
            <w:vAlign w:val="bottom"/>
          </w:tcPr>
          <w:p>
            <w:pPr>
              <w:spacing w:after="0"/>
              <w:rPr>
                <w:sz w:val="1"/>
                <w:szCs w:val="1"/>
                <w:color w:val="auto"/>
              </w:rPr>
            </w:pPr>
          </w:p>
        </w:tc>
      </w:tr>
      <w:tr>
        <w:trPr>
          <w:trHeight w:val="203"/>
        </w:trPr>
        <w:tc>
          <w:tcPr>
            <w:tcW w:w="1680" w:type="dxa"/>
            <w:vAlign w:val="bottom"/>
            <w:gridSpan w:val="2"/>
            <w:vMerge w:val="restart"/>
          </w:tcPr>
          <w:p>
            <w:pPr>
              <w:jc w:val="right"/>
              <w:spacing w:after="0"/>
              <w:rPr>
                <w:sz w:val="20"/>
                <w:szCs w:val="20"/>
                <w:color w:val="auto"/>
              </w:rPr>
            </w:pPr>
            <w:r>
              <w:rPr>
                <w:rFonts w:ascii="Courier New" w:cs="Courier New" w:eastAsia="Courier New" w:hAnsi="Courier New"/>
                <w:sz w:val="9"/>
                <w:szCs w:val="9"/>
                <w:color w:val="auto"/>
                <w:w w:val="76"/>
              </w:rPr>
              <w:t>forma...................................</w:t>
            </w:r>
          </w:p>
        </w:tc>
        <w:tc>
          <w:tcPr>
            <w:tcW w:w="2840" w:type="dxa"/>
            <w:vAlign w:val="bottom"/>
            <w:gridSpan w:val="2"/>
          </w:tcPr>
          <w:p>
            <w:pPr>
              <w:jc w:val="center"/>
              <w:ind w:right="1592"/>
              <w:spacing w:after="0" w:line="203" w:lineRule="exact"/>
              <w:rPr>
                <w:sz w:val="20"/>
                <w:szCs w:val="20"/>
                <w:color w:val="auto"/>
              </w:rPr>
            </w:pPr>
            <w:r>
              <w:rPr>
                <w:rFonts w:ascii="Courier New" w:cs="Courier New" w:eastAsia="Courier New" w:hAnsi="Courier New"/>
                <w:sz w:val="18"/>
                <w:szCs w:val="18"/>
                <w:color w:val="auto"/>
                <w:w w:val="97"/>
              </w:rPr>
              <w:t>======= Pro</w:t>
            </w: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7"/>
              </w:rPr>
              <w:t>$ (0.45)</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$ 0.02</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8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0.67</w:t>
            </w:r>
          </w:p>
        </w:tc>
        <w:tc>
          <w:tcPr>
            <w:tcW w:w="9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 ========</w:t>
            </w:r>
          </w:p>
        </w:tc>
        <w:tc>
          <w:tcPr>
            <w:tcW w:w="0" w:type="dxa"/>
            <w:vAlign w:val="bottom"/>
          </w:tcPr>
          <w:p>
            <w:pPr>
              <w:spacing w:after="0"/>
              <w:rPr>
                <w:sz w:val="1"/>
                <w:szCs w:val="1"/>
                <w:color w:val="auto"/>
              </w:rPr>
            </w:pPr>
          </w:p>
        </w:tc>
      </w:tr>
      <w:tr>
        <w:trPr>
          <w:trHeight w:val="296"/>
        </w:trPr>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40" w:type="dxa"/>
            <w:vAlign w:val="bottom"/>
            <w:gridSpan w:val="2"/>
          </w:tcPr>
          <w:p>
            <w:pPr>
              <w:jc w:val="center"/>
              <w:ind w:right="157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pro forma results for fiscal years 2002 and 2001 have been modified due to a recalculation of the amounts for such years. These recalculations resulted in a reduction of pro forma stock-based compensation expense, net of tax, of $15,789 and $8,536 in fiscal 2002 and 2001, respectively, and increased pro forma diluted earnings per share, or decreased pro forma diluted loss per share, by $0.07 and $0.04 in fiscal 2002 and 2001, respectively.</w:t>
      </w:r>
    </w:p>
    <w:p>
      <w:pPr>
        <w:spacing w:after="0" w:line="9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FAIR VALUE OF FINANCIAL INSTRUMENTS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financial instruments of the Company consist mainly of cash and cash equivalents, short-term interest-bearing investments, accounts receivable, accounts payable, short-term financing arrangements, forward exchange contracts, lease obligations and convertible notes. In view of their nature, the fair value of the financial instruments, including the convertible notes, included in the accounts of the Company does not significantly vary from their carrying amount. The fair values of the Company's foreign currency exchange contracts are estimated based on quoted market prices of comparable contracts.</w:t>
      </w:r>
    </w:p>
    <w:p>
      <w:pPr>
        <w:spacing w:after="0" w:line="1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CONCENTRATION OF CREDIT RISK</w:t>
      </w:r>
    </w:p>
    <w:p>
      <w:pPr>
        <w:spacing w:after="0" w:line="201"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Financial instruments that potentially subject the Company to concentration of credit risk consist principally of cash and cash equivalents, short-term interest-bearing investments and trade receivables. The Company invests its excess cash primarily in highly liquid U.S. dollar-denominated securities with major U.S. institutions. The Company does not expect any credit losses with respect to these items. The Company's revenue is generated primarily in North America and Europe. To a lesser extent, revenue is generated in the Asia-Pacific region and Latin America. Most customers are among the largest communications and directory publishing companies in the world (or are owned by them). The Company's business is subject to the effects of general global economic conditions and, in particular, market conditions in the communications industry. The Company performs ongoing credit analyses of its customer base and generally does not require collateral. As of September 30, 2003 the Company had two customers that had accounts receivable balances of more than 10% of total accounts receivable, aggregating 27.4% (16.7% and 10.7%).</w:t>
      </w:r>
    </w:p>
    <w:p>
      <w:pPr>
        <w:spacing w:after="0" w:line="2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F-14</w:t>
      </w:r>
    </w:p>
    <w:p>
      <w:pPr>
        <w:sectPr>
          <w:pgSz w:w="11900" w:h="16838" w:orient="portrait"/>
          <w:cols w:equalWidth="0" w:num="1">
            <w:col w:w="10219"/>
          </w:cols>
          <w:pgMar w:left="240" w:top="488" w:right="1440" w:bottom="0" w:gutter="0" w:footer="0" w:header="0"/>
        </w:sectPr>
      </w:pPr>
    </w:p>
    <w:bookmarkStart w:id="88" w:name="page89"/>
    <w:bookmarkEnd w:id="88"/>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EARNINGS PER SHARE</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Company accounts for earnings per share based on SFAS No. 128 "Earnings per Share". SFAS No. 128 requires companies to compute earnings per share under two different methods, basic and diluted earnings per share, and to disclose the methodology used for the calculations. Basic earnings per share are calculated using the weighted average number of shares outstanding during the period. Diluted earnings per share is computed on the basis of the weighted average number of shares outstanding and the effect of dilutive outstanding stock options using the treasury stock method and the effect of dilutive outstanding convertible notes using the if-converted method.</w:t>
      </w:r>
    </w:p>
    <w:p>
      <w:pPr>
        <w:spacing w:after="0" w:line="9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DERIVATIVES AND HEDGING</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The Company accounts for derivatives and hedging based on SFAS No. 133, "Accounting for Derivative Instruments and Hedging Activities", as amended and related Interpretations. SFAS No. 133 requires the Company to recognize all derivatives on the balance sheet at fair value. If a derivative meets the definition of a hedge and is so designated, depending on the nature of the hedge, changes in the fair value of the derivative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is recognized in earnings.</w:t>
      </w:r>
    </w:p>
    <w:p>
      <w:pPr>
        <w:spacing w:after="0" w:line="1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RECLASSIFICATIONS</w:t>
      </w:r>
    </w:p>
    <w:p>
      <w:pPr>
        <w:spacing w:after="0" w:line="20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Certain amounts in prior years' financial statements have been reclassified to conform to the current year's presentation.</w:t>
      </w:r>
    </w:p>
    <w:p>
      <w:pPr>
        <w:spacing w:after="0" w:line="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ADOPTION OF NEW ACCOUNTING STANDARDS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Accounting for Revenue Arrangements with Multiple Deliverables</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In November 2002, the Emerging Issues Task Force ("EITF") reached a consensus on EITF Issue No. 00-21, "Revenue Arrangements With Multiple Deliverables" ("Issue 00-21"). Issue 00-21 provides guidance for determining the unit(s) of accounting in arrangements that include multiple products, services, and/or rights to use assets. Issue 00-21 is effective for revenue arrangements entered into in fiscal periods beginning after June 15, 2003. The Company has adopted Issue 00-21 effective July 1, 2003. The guidance in EITF 00-21 did not modify our previous accounting for transactions that includes multiple deliverables.</w:t>
      </w:r>
    </w:p>
    <w:p>
      <w:pPr>
        <w:spacing w:after="0" w:line="9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Goodwill and Purchased Intangible Assets</w:t>
      </w:r>
    </w:p>
    <w:p>
      <w:pPr>
        <w:spacing w:after="0" w:line="201"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In June 2001, the FASB issued SFAS No. 141, "Business Combinations", and SFAS No. 142, "Goodwill and Other Intangible Assets". SFAS No. 141 requires that the purchase method of accounting be used for all business combinations initiated after June 30, 2001. SFAS No. 142 is effective for fiscal years beginning after December 15, 2001. Under SFAS No. 142, goodwill and intangible assets deemed to have indefinite lives will no longer be amortized but will be subject to periodic impairment tests in accordance with the Statement. Goodwill impairment is deemed to exist if the net book value of a reporting unit exceeds its estimated fair value. Other intangible assets will continue to be amortized over their useful lives. According to SFAS No. 141's new definition of intangible assets, workforce-in-place was reclassified to goodwill.</w:t>
      </w:r>
    </w:p>
    <w:p>
      <w:pPr>
        <w:spacing w:after="0" w:line="294"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Effective October 1, 2002 the Company adopted SFAS No. 142. At which time the Company performed the transitional tests of goodwill recorded as of October 1, 2002. Thereafter, an annual</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F-15</w:t>
      </w:r>
    </w:p>
    <w:p>
      <w:pPr>
        <w:sectPr>
          <w:pgSz w:w="11900" w:h="16838" w:orient="portrait"/>
          <w:cols w:equalWidth="0" w:num="1">
            <w:col w:w="10219"/>
          </w:cols>
          <w:pgMar w:left="240" w:top="488" w:right="1440" w:bottom="1440" w:gutter="0" w:footer="0" w:header="0"/>
        </w:sectPr>
      </w:pPr>
    </w:p>
    <w:bookmarkStart w:id="89" w:name="page90"/>
    <w:bookmarkEnd w:id="89"/>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impairment test will be performed in the fourth quarter of each fiscal year, or more frequently if impairment indicators are present. As discussed in Note 1 above, the Company and its subsidiaries operate in one operating segment, and this segment comprises its only reporting unit. In calculating the fair value of the operating unit, the Company used a discounted cash flow methodology. There was no impairment of goodwill upon adoption of SFAS No. 142 and there was no impairment at the annual impairment test date.</w:t>
      </w:r>
    </w:p>
    <w:p>
      <w:pPr>
        <w:spacing w:after="0" w:line="98"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Prior to fiscal 2003, goodwill and workforce-in-place were amortized using the straight-line method over their estimated period of benefit. Net (loss) income and earnings (loss) per share for the twelve months ended September 30, 2002 and 2001 adjusted to exclude amortization of goodwill and workforce-in-place, net of tax, are as follows:</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 ENDED SEPTEMBER 30,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2002 2001 ----------- ----------- Reported net (loss)</w:t>
      </w:r>
    </w:p>
    <w:p>
      <w:pPr>
        <w:ind w:left="320"/>
        <w:spacing w:after="0" w:line="238" w:lineRule="auto"/>
        <w:rPr>
          <w:sz w:val="20"/>
          <w:szCs w:val="20"/>
          <w:color w:val="auto"/>
        </w:rPr>
      </w:pPr>
      <w:r>
        <w:rPr>
          <w:rFonts w:ascii="Courier New" w:cs="Courier New" w:eastAsia="Courier New" w:hAnsi="Courier New"/>
          <w:sz w:val="18"/>
          <w:szCs w:val="18"/>
          <w:color w:val="auto"/>
        </w:rPr>
        <w:t>income.............................. $ (5,061) $</w:t>
      </w:r>
    </w:p>
    <w:p>
      <w:pPr>
        <w:ind w:left="320"/>
        <w:spacing w:after="0"/>
        <w:rPr>
          <w:sz w:val="20"/>
          <w:szCs w:val="20"/>
          <w:color w:val="auto"/>
        </w:rPr>
      </w:pPr>
      <w:r>
        <w:rPr>
          <w:rFonts w:ascii="Courier New" w:cs="Courier New" w:eastAsia="Courier New" w:hAnsi="Courier New"/>
          <w:sz w:val="18"/>
          <w:szCs w:val="18"/>
          <w:color w:val="auto"/>
        </w:rPr>
        <w:t>66,386 Add back: goodwill and workforce-in-place</w:t>
      </w:r>
    </w:p>
    <w:p>
      <w:pPr>
        <w:spacing w:after="0" w:line="238" w:lineRule="auto"/>
        <w:rPr>
          <w:sz w:val="20"/>
          <w:szCs w:val="20"/>
          <w:color w:val="auto"/>
        </w:rPr>
      </w:pPr>
      <w:r>
        <w:rPr>
          <w:rFonts w:ascii="Courier New" w:cs="Courier New" w:eastAsia="Courier New" w:hAnsi="Courier New"/>
          <w:sz w:val="18"/>
          <w:szCs w:val="18"/>
          <w:color w:val="auto"/>
        </w:rPr>
        <w:t>amortizations.........................................</w:t>
      </w:r>
    </w:p>
    <w:p>
      <w:pPr>
        <w:ind w:left="1160"/>
        <w:spacing w:after="0"/>
        <w:rPr>
          <w:sz w:val="20"/>
          <w:szCs w:val="20"/>
          <w:color w:val="auto"/>
        </w:rPr>
      </w:pPr>
      <w:r>
        <w:rPr>
          <w:rFonts w:ascii="Courier New" w:cs="Courier New" w:eastAsia="Courier New" w:hAnsi="Courier New"/>
          <w:sz w:val="18"/>
          <w:szCs w:val="18"/>
          <w:color w:val="auto"/>
        </w:rPr>
        <w:t>204,561 204,566 Attributable tax</w:t>
      </w:r>
    </w:p>
    <w:p>
      <w:pPr>
        <w:ind w:left="380"/>
        <w:spacing w:after="0" w:line="238" w:lineRule="auto"/>
        <w:rPr>
          <w:sz w:val="20"/>
          <w:szCs w:val="20"/>
          <w:color w:val="auto"/>
        </w:rPr>
      </w:pPr>
      <w:r>
        <w:rPr>
          <w:rFonts w:ascii="Courier New" w:cs="Courier New" w:eastAsia="Courier New" w:hAnsi="Courier New"/>
          <w:sz w:val="18"/>
          <w:szCs w:val="18"/>
          <w:color w:val="auto"/>
        </w:rPr>
        <w:t>effect................................. (2,717)</w:t>
      </w:r>
    </w:p>
    <w:p>
      <w:pPr>
        <w:ind w:left="840"/>
        <w:spacing w:after="0"/>
        <w:rPr>
          <w:sz w:val="20"/>
          <w:szCs w:val="20"/>
          <w:color w:val="auto"/>
        </w:rPr>
      </w:pPr>
      <w:r>
        <w:rPr>
          <w:rFonts w:ascii="Courier New" w:cs="Courier New" w:eastAsia="Courier New" w:hAnsi="Courier New"/>
          <w:sz w:val="18"/>
          <w:szCs w:val="18"/>
          <w:color w:val="auto"/>
        </w:rPr>
        <w:t>(2,717) -------- -------- Adjusted net</w:t>
      </w:r>
    </w:p>
    <w:p>
      <w:pPr>
        <w:ind w:left="120"/>
        <w:spacing w:after="0" w:line="238" w:lineRule="auto"/>
        <w:rPr>
          <w:sz w:val="20"/>
          <w:szCs w:val="20"/>
          <w:color w:val="auto"/>
        </w:rPr>
      </w:pPr>
      <w:r>
        <w:rPr>
          <w:rFonts w:ascii="Courier New" w:cs="Courier New" w:eastAsia="Courier New" w:hAnsi="Courier New"/>
          <w:sz w:val="18"/>
          <w:szCs w:val="18"/>
          <w:color w:val="auto"/>
        </w:rPr>
        <w:t>income..................................... $196,783</w:t>
      </w:r>
    </w:p>
    <w:p>
      <w:pPr>
        <w:ind w:left="220"/>
        <w:spacing w:after="0"/>
        <w:rPr>
          <w:sz w:val="20"/>
          <w:szCs w:val="20"/>
          <w:color w:val="auto"/>
        </w:rPr>
      </w:pPr>
      <w:r>
        <w:rPr>
          <w:rFonts w:ascii="Courier New" w:cs="Courier New" w:eastAsia="Courier New" w:hAnsi="Courier New"/>
          <w:sz w:val="18"/>
          <w:szCs w:val="18"/>
          <w:color w:val="auto"/>
        </w:rPr>
        <w:t>$268,235 ======== ======== Adjusted basic earnings</w:t>
      </w:r>
    </w:p>
    <w:p>
      <w:pPr>
        <w:ind w:left="420"/>
        <w:spacing w:after="0" w:line="238" w:lineRule="auto"/>
        <w:rPr>
          <w:sz w:val="20"/>
          <w:szCs w:val="20"/>
          <w:color w:val="auto"/>
        </w:rPr>
      </w:pPr>
      <w:r>
        <w:rPr>
          <w:rFonts w:ascii="Courier New" w:cs="Courier New" w:eastAsia="Courier New" w:hAnsi="Courier New"/>
          <w:sz w:val="18"/>
          <w:szCs w:val="18"/>
          <w:color w:val="auto"/>
        </w:rPr>
        <w:t>per share....................... $ 0.89 $ 1.21</w:t>
      </w:r>
    </w:p>
    <w:p>
      <w:pPr>
        <w:ind w:left="380"/>
        <w:spacing w:after="0"/>
        <w:rPr>
          <w:sz w:val="20"/>
          <w:szCs w:val="20"/>
          <w:color w:val="auto"/>
        </w:rPr>
      </w:pPr>
      <w:r>
        <w:rPr>
          <w:rFonts w:ascii="Courier New" w:cs="Courier New" w:eastAsia="Courier New" w:hAnsi="Courier New"/>
          <w:sz w:val="18"/>
          <w:szCs w:val="18"/>
          <w:color w:val="auto"/>
        </w:rPr>
        <w:t>======== ======== Adjusted diluted earnings per</w:t>
      </w:r>
    </w:p>
    <w:p>
      <w:pPr>
        <w:ind w:left="280"/>
        <w:spacing w:after="0" w:line="238" w:lineRule="auto"/>
        <w:rPr>
          <w:sz w:val="20"/>
          <w:szCs w:val="20"/>
          <w:color w:val="auto"/>
        </w:rPr>
      </w:pPr>
      <w:r>
        <w:rPr>
          <w:rFonts w:ascii="Courier New" w:cs="Courier New" w:eastAsia="Courier New" w:hAnsi="Courier New"/>
          <w:sz w:val="18"/>
          <w:szCs w:val="18"/>
          <w:color w:val="auto"/>
        </w:rPr>
        <w:t>share..................... $ 0.88 $ 1.18 ========</w:t>
      </w:r>
    </w:p>
    <w:p>
      <w:pPr>
        <w:ind w:left="242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presents details of the Company's total goodwill: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As of September 30, 2002....................................</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$705,862</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 in goodwill as a result of a settlement (see Note</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(13,524)</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3)........................................................</w:t>
            </w: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Goodwill resulted from acquisition (see Note 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104,796</w:t>
            </w:r>
          </w:p>
        </w:tc>
        <w:tc>
          <w:tcPr>
            <w:tcW w:w="0" w:type="dxa"/>
            <w:vAlign w:val="bottom"/>
          </w:tcPr>
          <w:p>
            <w:pPr>
              <w:spacing w:after="0"/>
              <w:rPr>
                <w:sz w:val="1"/>
                <w:szCs w:val="1"/>
                <w:color w:val="auto"/>
              </w:rPr>
            </w:pPr>
          </w:p>
        </w:tc>
      </w:tr>
      <w:tr>
        <w:trPr>
          <w:trHeight w:val="203"/>
        </w:trPr>
        <w:tc>
          <w:tcPr>
            <w:tcW w:w="644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As of September 30, 2003....................................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$797,134</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999" w:firstLine="527"/>
        <w:spacing w:after="0" w:line="402" w:lineRule="auto"/>
        <w:rPr>
          <w:sz w:val="20"/>
          <w:szCs w:val="20"/>
          <w:color w:val="auto"/>
        </w:rPr>
      </w:pPr>
      <w:r>
        <w:rPr>
          <w:rFonts w:ascii="Courier New" w:cs="Courier New" w:eastAsia="Courier New" w:hAnsi="Courier New"/>
          <w:sz w:val="16"/>
          <w:szCs w:val="16"/>
          <w:color w:val="auto"/>
        </w:rPr>
        <w:t>The following table presents details of amortization expense of purchased intangible assets as reported in the consolidated statements of operations:</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1"/>
        </w:trPr>
        <w:tc>
          <w:tcPr>
            <w:tcW w:w="2400" w:type="dxa"/>
            <w:vAlign w:val="bottom"/>
            <w:gridSpan w:val="2"/>
          </w:tcPr>
          <w:p>
            <w:pPr>
              <w:jc w:val="right"/>
              <w:spacing w:after="0" w:line="201" w:lineRule="exact"/>
              <w:rPr>
                <w:sz w:val="20"/>
                <w:szCs w:val="20"/>
                <w:color w:val="auto"/>
              </w:rPr>
            </w:pPr>
            <w:r>
              <w:rPr>
                <w:rFonts w:ascii="Courier New" w:cs="Courier New" w:eastAsia="Courier New" w:hAnsi="Courier New"/>
                <w:sz w:val="18"/>
                <w:szCs w:val="18"/>
                <w:color w:val="auto"/>
              </w:rPr>
              <w:t>----- 2003 2002 2001</w:t>
            </w:r>
          </w:p>
        </w:tc>
        <w:tc>
          <w:tcPr>
            <w:tcW w:w="2600" w:type="dxa"/>
            <w:vAlign w:val="bottom"/>
          </w:tcPr>
          <w:p>
            <w:pPr>
              <w:jc w:val="right"/>
              <w:ind w:right="52"/>
              <w:spacing w:after="0" w:line="201" w:lineRule="exact"/>
              <w:rPr>
                <w:sz w:val="20"/>
                <w:szCs w:val="20"/>
                <w:color w:val="auto"/>
              </w:rPr>
            </w:pPr>
            <w:r>
              <w:rPr>
                <w:rFonts w:ascii="Courier New" w:cs="Courier New" w:eastAsia="Courier New" w:hAnsi="Courier New"/>
                <w:sz w:val="18"/>
                <w:szCs w:val="18"/>
                <w:color w:val="auto"/>
                <w:w w:val="98"/>
              </w:rPr>
              <w:t>------- ------- -------</w:t>
            </w:r>
          </w:p>
        </w:tc>
        <w:tc>
          <w:tcPr>
            <w:tcW w:w="0" w:type="dxa"/>
            <w:vAlign w:val="bottom"/>
          </w:tcPr>
          <w:p>
            <w:pPr>
              <w:spacing w:after="0"/>
              <w:rPr>
                <w:sz w:val="1"/>
                <w:szCs w:val="1"/>
                <w:color w:val="auto"/>
              </w:rPr>
            </w:pPr>
          </w:p>
        </w:tc>
      </w:tr>
      <w:tr>
        <w:trPr>
          <w:trHeight w:val="203"/>
        </w:trPr>
        <w:tc>
          <w:tcPr>
            <w:tcW w:w="174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1"/>
              </w:rPr>
              <w:t>license.................................</w:t>
            </w:r>
          </w:p>
        </w:tc>
        <w:tc>
          <w:tcPr>
            <w:tcW w:w="3260" w:type="dxa"/>
            <w:vAlign w:val="bottom"/>
            <w:gridSpan w:val="2"/>
          </w:tcPr>
          <w:p>
            <w:pPr>
              <w:jc w:val="right"/>
              <w:ind w:right="2012"/>
              <w:spacing w:after="0" w:line="203" w:lineRule="exact"/>
              <w:rPr>
                <w:sz w:val="20"/>
                <w:szCs w:val="20"/>
                <w:color w:val="auto"/>
              </w:rPr>
            </w:pPr>
            <w:r>
              <w:rPr>
                <w:rFonts w:ascii="Courier New" w:cs="Courier New" w:eastAsia="Courier New" w:hAnsi="Courier New"/>
                <w:sz w:val="18"/>
                <w:szCs w:val="18"/>
                <w:color w:val="auto"/>
              </w:rPr>
              <w:t>Cost of</w:t>
            </w:r>
          </w:p>
        </w:tc>
        <w:tc>
          <w:tcPr>
            <w:tcW w:w="0" w:type="dxa"/>
            <w:vAlign w:val="bottom"/>
          </w:tcPr>
          <w:p>
            <w:pPr>
              <w:spacing w:after="0"/>
              <w:rPr>
                <w:sz w:val="1"/>
                <w:szCs w:val="1"/>
                <w:color w:val="auto"/>
              </w:rPr>
            </w:pPr>
          </w:p>
        </w:tc>
      </w:tr>
      <w:tr>
        <w:trPr>
          <w:trHeight w:val="203"/>
        </w:trPr>
        <w:tc>
          <w:tcPr>
            <w:tcW w:w="17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26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4,075 $ 3,550 $</w:t>
            </w:r>
          </w:p>
        </w:tc>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5,577 Amortization of purchased</w:t>
            </w:r>
          </w:p>
        </w:tc>
        <w:tc>
          <w:tcPr>
            <w:tcW w:w="0" w:type="dxa"/>
            <w:vAlign w:val="bottom"/>
          </w:tcPr>
          <w:p>
            <w:pPr>
              <w:spacing w:after="0"/>
              <w:rPr>
                <w:sz w:val="1"/>
                <w:szCs w:val="1"/>
                <w:color w:val="auto"/>
              </w:rPr>
            </w:pPr>
          </w:p>
        </w:tc>
      </w:tr>
      <w:tr>
        <w:trPr>
          <w:trHeight w:val="203"/>
        </w:trPr>
        <w:tc>
          <w:tcPr>
            <w:tcW w:w="24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intangible assets.....</w:t>
            </w:r>
          </w:p>
        </w:tc>
        <w:tc>
          <w:tcPr>
            <w:tcW w:w="2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19,940 27,243 15,422 ---</w:t>
            </w:r>
          </w:p>
        </w:tc>
        <w:tc>
          <w:tcPr>
            <w:tcW w:w="0" w:type="dxa"/>
            <w:vAlign w:val="bottom"/>
          </w:tcPr>
          <w:p>
            <w:pPr>
              <w:spacing w:after="0"/>
              <w:rPr>
                <w:sz w:val="1"/>
                <w:szCs w:val="1"/>
                <w:color w:val="auto"/>
              </w:rPr>
            </w:pPr>
          </w:p>
        </w:tc>
      </w:tr>
      <w:tr>
        <w:trPr>
          <w:trHeight w:val="203"/>
        </w:trPr>
        <w:tc>
          <w:tcPr>
            <w:tcW w:w="5000" w:type="dxa"/>
            <w:vAlign w:val="bottom"/>
            <w:gridSpan w:val="3"/>
          </w:tcPr>
          <w:p>
            <w:pPr>
              <w:jc w:val="right"/>
              <w:ind w:right="1332"/>
              <w:spacing w:after="0" w:line="203" w:lineRule="exact"/>
              <w:rPr>
                <w:sz w:val="20"/>
                <w:szCs w:val="20"/>
                <w:color w:val="auto"/>
              </w:rPr>
            </w:pPr>
            <w:r>
              <w:rPr>
                <w:rFonts w:ascii="Courier New" w:cs="Courier New" w:eastAsia="Courier New" w:hAnsi="Courier New"/>
                <w:sz w:val="18"/>
                <w:szCs w:val="18"/>
                <w:color w:val="auto"/>
              </w:rPr>
              <w:t>---- ------- -------</w:t>
            </w:r>
          </w:p>
        </w:tc>
        <w:tc>
          <w:tcPr>
            <w:tcW w:w="0" w:type="dxa"/>
            <w:vAlign w:val="bottom"/>
          </w:tcPr>
          <w:p>
            <w:pPr>
              <w:spacing w:after="0"/>
              <w:rPr>
                <w:sz w:val="1"/>
                <w:szCs w:val="1"/>
                <w:color w:val="auto"/>
              </w:rPr>
            </w:pPr>
          </w:p>
        </w:tc>
      </w:t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8"/>
                <w:szCs w:val="8"/>
                <w:color w:val="auto"/>
                <w:w w:val="74"/>
              </w:rPr>
              <w:t>Total...........................................</w:t>
            </w:r>
          </w:p>
        </w:tc>
        <w:tc>
          <w:tcPr>
            <w:tcW w:w="326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6"/>
              </w:rPr>
              <w:t>$20,999 ======= ======= =======</w:t>
            </w:r>
          </w:p>
        </w:tc>
        <w:tc>
          <w:tcPr>
            <w:tcW w:w="0" w:type="dxa"/>
            <w:vAlign w:val="bottom"/>
          </w:tcPr>
          <w:p>
            <w:pPr>
              <w:spacing w:after="0"/>
              <w:rPr>
                <w:sz w:val="1"/>
                <w:szCs w:val="1"/>
                <w:color w:val="auto"/>
              </w:rPr>
            </w:pPr>
          </w:p>
        </w:tc>
      </w:tr>
      <w:tr>
        <w:trPr>
          <w:trHeight w:val="296"/>
        </w:trPr>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$24,015 $30,793</w:t>
            </w:r>
          </w:p>
        </w:tc>
        <w:tc>
          <w:tcPr>
            <w:tcW w:w="3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F-16</w:t>
            </w: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90" w:name="page91"/>
    <w:bookmarkEnd w:id="9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The following table presents details of the Company's total purchased intangible assets:</w:t>
      </w:r>
    </w:p>
    <w:p>
      <w:pPr>
        <w:spacing w:after="0" w:line="17"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422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89"/>
              </w:rPr>
              <w:t>ACCUMULATED GROSS AMORTIZATION NET --------</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Core</w:t>
            </w:r>
          </w:p>
        </w:tc>
        <w:tc>
          <w:tcPr>
            <w:tcW w:w="0" w:type="dxa"/>
            <w:vAlign w:val="bottom"/>
          </w:tcPr>
          <w:p>
            <w:pPr>
              <w:spacing w:after="0"/>
              <w:rPr>
                <w:sz w:val="1"/>
                <w:szCs w:val="1"/>
                <w:color w:val="auto"/>
              </w:rPr>
            </w:pPr>
          </w:p>
        </w:tc>
      </w:tr>
      <w:tr>
        <w:trPr>
          <w:trHeight w:val="203"/>
        </w:trPr>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 SEPTEMBER</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30, 2003</w:t>
            </w:r>
          </w:p>
        </w:tc>
        <w:tc>
          <w:tcPr>
            <w:tcW w:w="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100"/>
              <w:spacing w:after="0"/>
              <w:rPr>
                <w:sz w:val="20"/>
                <w:szCs w:val="20"/>
                <w:color w:val="auto"/>
              </w:rPr>
            </w:pPr>
            <w:r>
              <w:rPr>
                <w:rFonts w:ascii="Courier New" w:cs="Courier New" w:eastAsia="Courier New" w:hAnsi="Courier New"/>
                <w:sz w:val="13"/>
                <w:szCs w:val="13"/>
                <w:color w:val="auto"/>
                <w:w w:val="73"/>
              </w:rPr>
              <w:t>technology..............................</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$ 1,117</w:t>
            </w:r>
          </w:p>
        </w:tc>
        <w:tc>
          <w:tcPr>
            <w:tcW w:w="100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Customer</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420" w:type="dxa"/>
            <w:vAlign w:val="bottom"/>
          </w:tcPr>
          <w:p>
            <w:pPr>
              <w:jc w:val="right"/>
              <w:ind w:right="17"/>
              <w:spacing w:after="0" w:line="203" w:lineRule="exact"/>
              <w:rPr>
                <w:sz w:val="20"/>
                <w:szCs w:val="20"/>
                <w:color w:val="auto"/>
              </w:rPr>
            </w:pPr>
            <w:r>
              <w:rPr>
                <w:rFonts w:ascii="Courier New" w:cs="Courier New" w:eastAsia="Courier New" w:hAnsi="Courier New"/>
                <w:sz w:val="18"/>
                <w:szCs w:val="18"/>
                <w:color w:val="auto"/>
              </w:rPr>
              <w:t>44,535 $ (43,418)</w:t>
            </w:r>
          </w:p>
        </w:tc>
        <w:tc>
          <w:tcPr>
            <w:tcW w:w="8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80"/>
              </w:rPr>
              <w:t>arrangements........................</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70,073</w:t>
            </w:r>
          </w:p>
        </w:tc>
        <w:tc>
          <w:tcPr>
            <w:tcW w:w="0" w:type="dxa"/>
            <w:vAlign w:val="bottom"/>
          </w:tcPr>
          <w:p>
            <w:pPr>
              <w:spacing w:after="0"/>
              <w:rPr>
                <w:sz w:val="1"/>
                <w:szCs w:val="1"/>
                <w:color w:val="auto"/>
              </w:rPr>
            </w:pPr>
          </w:p>
        </w:tc>
      </w:tr>
    </w:tbl>
    <w:p>
      <w:pPr>
        <w:jc w:val="center"/>
        <w:ind w:right="5459"/>
        <w:spacing w:after="0" w:line="238" w:lineRule="auto"/>
        <w:rPr>
          <w:sz w:val="20"/>
          <w:szCs w:val="20"/>
          <w:color w:val="auto"/>
        </w:rPr>
      </w:pPr>
      <w:r>
        <w:rPr>
          <w:rFonts w:ascii="Courier New" w:cs="Courier New" w:eastAsia="Courier New" w:hAnsi="Courier New"/>
          <w:sz w:val="18"/>
          <w:szCs w:val="18"/>
          <w:color w:val="auto"/>
        </w:rPr>
        <w:t>(26,653) 43,420 Intellectual property rights</w:t>
      </w:r>
    </w:p>
    <w:p>
      <w:pPr>
        <w:jc w:val="center"/>
        <w:ind w:right="5459"/>
        <w:spacing w:after="0"/>
        <w:rPr>
          <w:sz w:val="20"/>
          <w:szCs w:val="20"/>
          <w:color w:val="auto"/>
        </w:rPr>
      </w:pPr>
      <w:r>
        <w:rPr>
          <w:rFonts w:ascii="Courier New" w:cs="Courier New" w:eastAsia="Courier New" w:hAnsi="Courier New"/>
          <w:sz w:val="18"/>
          <w:szCs w:val="18"/>
          <w:color w:val="auto"/>
        </w:rPr>
        <w:t>and purchased computer</w:t>
      </w:r>
    </w:p>
    <w:tbl>
      <w:tblPr>
        <w:tblLayout w:type="fixed"/>
        <w:tblInd w:w="0" w:type="dxa"/>
        <w:tblCellMar>
          <w:top w:w="0" w:type="dxa"/>
          <w:left w:w="0" w:type="dxa"/>
          <w:bottom w:w="0" w:type="dxa"/>
          <w:right w:w="0" w:type="dxa"/>
        </w:tblCellMar>
      </w:tblPr>
      <w:tr>
        <w:trPr>
          <w:trHeight w:val="171"/>
        </w:trPr>
        <w:tc>
          <w:tcPr>
            <w:tcW w:w="2480" w:type="dxa"/>
            <w:vAlign w:val="bottom"/>
            <w:gridSpan w:val="2"/>
          </w:tcPr>
          <w:p>
            <w:pPr>
              <w:jc w:val="right"/>
              <w:spacing w:after="0" w:line="170" w:lineRule="exact"/>
              <w:rPr>
                <w:sz w:val="20"/>
                <w:szCs w:val="20"/>
                <w:color w:val="auto"/>
              </w:rPr>
            </w:pPr>
            <w:r>
              <w:rPr>
                <w:rFonts w:ascii="Courier New" w:cs="Courier New" w:eastAsia="Courier New" w:hAnsi="Courier New"/>
                <w:sz w:val="16"/>
                <w:szCs w:val="16"/>
                <w:color w:val="auto"/>
                <w:w w:val="75"/>
              </w:rPr>
              <w:t>software..........................</w:t>
            </w:r>
          </w:p>
        </w:tc>
        <w:tc>
          <w:tcPr>
            <w:tcW w:w="2160" w:type="dxa"/>
            <w:vAlign w:val="bottom"/>
          </w:tcPr>
          <w:p>
            <w:pPr>
              <w:jc w:val="right"/>
              <w:ind w:right="12"/>
              <w:spacing w:after="0" w:line="170" w:lineRule="exact"/>
              <w:rPr>
                <w:sz w:val="20"/>
                <w:szCs w:val="20"/>
                <w:color w:val="auto"/>
              </w:rPr>
            </w:pPr>
            <w:r>
              <w:rPr>
                <w:rFonts w:ascii="Courier New" w:cs="Courier New" w:eastAsia="Courier New" w:hAnsi="Courier New"/>
                <w:sz w:val="18"/>
                <w:szCs w:val="18"/>
                <w:color w:val="auto"/>
              </w:rPr>
              <w:t>51,996</w:t>
            </w:r>
          </w:p>
        </w:tc>
        <w:tc>
          <w:tcPr>
            <w:tcW w:w="0" w:type="dxa"/>
            <w:vAlign w:val="bottom"/>
          </w:tcPr>
          <w:p>
            <w:pPr>
              <w:spacing w:after="0"/>
              <w:rPr>
                <w:sz w:val="1"/>
                <w:szCs w:val="1"/>
                <w:color w:val="auto"/>
              </w:rPr>
            </w:pP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(37,692) 14,304 --------</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1320" w:type="dxa"/>
            <w:vAlign w:val="bottom"/>
          </w:tcPr>
          <w:p>
            <w:pPr>
              <w:jc w:val="right"/>
              <w:spacing w:after="0"/>
              <w:rPr>
                <w:sz w:val="20"/>
                <w:szCs w:val="20"/>
                <w:color w:val="auto"/>
              </w:rPr>
            </w:pPr>
            <w:r>
              <w:rPr>
                <w:rFonts w:ascii="Courier New" w:cs="Courier New" w:eastAsia="Courier New" w:hAnsi="Courier New"/>
                <w:sz w:val="5"/>
                <w:szCs w:val="5"/>
                <w:color w:val="auto"/>
                <w:w w:val="96"/>
              </w:rPr>
              <w:t>Total........................................</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$(107,763)</w:t>
            </w:r>
          </w:p>
        </w:tc>
        <w:tc>
          <w:tcPr>
            <w:tcW w:w="21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$58,841 ========</w:t>
            </w:r>
          </w:p>
        </w:tc>
        <w:tc>
          <w:tcPr>
            <w:tcW w:w="0" w:type="dxa"/>
            <w:vAlign w:val="bottom"/>
          </w:tcPr>
          <w:p>
            <w:pPr>
              <w:spacing w:after="0"/>
              <w:rPr>
                <w:sz w:val="1"/>
                <w:szCs w:val="1"/>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$166,604</w:t>
            </w:r>
          </w:p>
        </w:tc>
        <w:tc>
          <w:tcPr>
            <w:tcW w:w="1160" w:type="dxa"/>
            <w:vAlign w:val="bottom"/>
            <w:vMerge w:val="continue"/>
          </w:tcPr>
          <w:p>
            <w:pPr>
              <w:spacing w:after="0"/>
              <w:rPr>
                <w:sz w:val="17"/>
                <w:szCs w:val="17"/>
                <w:color w:val="auto"/>
              </w:rPr>
            </w:pP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 ======= SEPTEMBER 30, 2002 Core</w:t>
            </w:r>
          </w:p>
        </w:tc>
        <w:tc>
          <w:tcPr>
            <w:tcW w:w="0" w:type="dxa"/>
            <w:vAlign w:val="bottom"/>
          </w:tcPr>
          <w:p>
            <w:pPr>
              <w:spacing w:after="0"/>
              <w:rPr>
                <w:sz w:val="1"/>
                <w:szCs w:val="1"/>
                <w:color w:val="auto"/>
              </w:rPr>
            </w:pPr>
          </w:p>
        </w:tc>
      </w:tr>
      <w:tr>
        <w:trPr>
          <w:trHeight w:val="203"/>
        </w:trPr>
        <w:tc>
          <w:tcPr>
            <w:tcW w:w="1320" w:type="dxa"/>
            <w:vAlign w:val="bottom"/>
          </w:tcPr>
          <w:p>
            <w:pPr>
              <w:jc w:val="right"/>
              <w:spacing w:after="0"/>
              <w:rPr>
                <w:sz w:val="20"/>
                <w:szCs w:val="20"/>
                <w:color w:val="auto"/>
              </w:rPr>
            </w:pPr>
            <w:r>
              <w:rPr>
                <w:rFonts w:ascii="Courier New" w:cs="Courier New" w:eastAsia="Courier New" w:hAnsi="Courier New"/>
                <w:sz w:val="7"/>
                <w:szCs w:val="7"/>
                <w:color w:val="auto"/>
                <w:w w:val="77"/>
              </w:rPr>
              <w:t>technology..............................</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 (36,718)</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20" w:type="dxa"/>
            <w:vAlign w:val="bottom"/>
          </w:tcPr>
          <w:p>
            <w:pPr>
              <w:jc w:val="right"/>
              <w:ind w:right="28"/>
              <w:spacing w:after="0" w:line="203" w:lineRule="exact"/>
              <w:rPr>
                <w:sz w:val="20"/>
                <w:szCs w:val="20"/>
                <w:color w:val="auto"/>
              </w:rPr>
            </w:pPr>
            <w:r>
              <w:rPr>
                <w:rFonts w:ascii="Courier New" w:cs="Courier New" w:eastAsia="Courier New" w:hAnsi="Courier New"/>
                <w:sz w:val="18"/>
                <w:szCs w:val="18"/>
                <w:color w:val="auto"/>
              </w:rPr>
              <w:t>44,535</w:t>
            </w:r>
          </w:p>
        </w:tc>
        <w:tc>
          <w:tcPr>
            <w:tcW w:w="1160" w:type="dxa"/>
            <w:vAlign w:val="bottom"/>
            <w:vMerge w:val="continue"/>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$ 7,817 Customer</w:t>
            </w:r>
          </w:p>
        </w:tc>
        <w:tc>
          <w:tcPr>
            <w:tcW w:w="0" w:type="dxa"/>
            <w:vAlign w:val="bottom"/>
          </w:tcPr>
          <w:p>
            <w:pPr>
              <w:spacing w:after="0"/>
              <w:rPr>
                <w:sz w:val="1"/>
                <w:szCs w:val="1"/>
                <w:color w:val="auto"/>
              </w:rPr>
            </w:pPr>
          </w:p>
        </w:tc>
      </w:tr>
      <w:tr>
        <w:trPr>
          <w:trHeight w:val="235"/>
        </w:trPr>
        <w:tc>
          <w:tcPr>
            <w:tcW w:w="2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arrangements........................</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36,658</w:t>
            </w:r>
          </w:p>
        </w:tc>
        <w:tc>
          <w:tcPr>
            <w:tcW w:w="0" w:type="dxa"/>
            <w:vAlign w:val="bottom"/>
          </w:tcPr>
          <w:p>
            <w:pPr>
              <w:spacing w:after="0"/>
              <w:rPr>
                <w:sz w:val="1"/>
                <w:szCs w:val="1"/>
                <w:color w:val="auto"/>
              </w:rPr>
            </w:pPr>
          </w:p>
        </w:tc>
      </w:tr>
    </w:tbl>
    <w:p>
      <w:pPr>
        <w:jc w:val="center"/>
        <w:ind w:right="5459"/>
        <w:spacing w:after="0" w:line="238" w:lineRule="auto"/>
        <w:rPr>
          <w:sz w:val="20"/>
          <w:szCs w:val="20"/>
          <w:color w:val="auto"/>
        </w:rPr>
      </w:pPr>
      <w:r>
        <w:rPr>
          <w:rFonts w:ascii="Courier New" w:cs="Courier New" w:eastAsia="Courier New" w:hAnsi="Courier New"/>
          <w:sz w:val="18"/>
          <w:szCs w:val="18"/>
          <w:color w:val="auto"/>
        </w:rPr>
        <w:t>(13,413) 23,245 Intellectual property rights</w:t>
      </w:r>
    </w:p>
    <w:p>
      <w:pPr>
        <w:jc w:val="center"/>
        <w:ind w:right="5459"/>
        <w:spacing w:after="0"/>
        <w:rPr>
          <w:sz w:val="20"/>
          <w:szCs w:val="20"/>
          <w:color w:val="auto"/>
        </w:rPr>
      </w:pPr>
      <w:r>
        <w:rPr>
          <w:rFonts w:ascii="Courier New" w:cs="Courier New" w:eastAsia="Courier New" w:hAnsi="Courier New"/>
          <w:sz w:val="18"/>
          <w:szCs w:val="18"/>
          <w:color w:val="auto"/>
        </w:rPr>
        <w:t>and purchased computer</w:t>
      </w:r>
    </w:p>
    <w:tbl>
      <w:tblPr>
        <w:tblLayout w:type="fixed"/>
        <w:tblInd w:w="0" w:type="dxa"/>
        <w:tblCellMar>
          <w:top w:w="0" w:type="dxa"/>
          <w:left w:w="0" w:type="dxa"/>
          <w:bottom w:w="0" w:type="dxa"/>
          <w:right w:w="0" w:type="dxa"/>
        </w:tblCellMar>
      </w:tblPr>
      <w:tr>
        <w:trPr>
          <w:trHeight w:val="171"/>
        </w:trPr>
        <w:tc>
          <w:tcPr>
            <w:tcW w:w="2580" w:type="dxa"/>
            <w:vAlign w:val="bottom"/>
            <w:gridSpan w:val="2"/>
          </w:tcPr>
          <w:p>
            <w:pPr>
              <w:jc w:val="right"/>
              <w:spacing w:after="0" w:line="170" w:lineRule="exact"/>
              <w:rPr>
                <w:sz w:val="20"/>
                <w:szCs w:val="20"/>
                <w:color w:val="auto"/>
              </w:rPr>
            </w:pPr>
            <w:r>
              <w:rPr>
                <w:rFonts w:ascii="Courier New" w:cs="Courier New" w:eastAsia="Courier New" w:hAnsi="Courier New"/>
                <w:sz w:val="16"/>
                <w:szCs w:val="16"/>
                <w:color w:val="auto"/>
                <w:w w:val="78"/>
              </w:rPr>
              <w:t>software..........................</w:t>
            </w:r>
          </w:p>
        </w:tc>
        <w:tc>
          <w:tcPr>
            <w:tcW w:w="202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47,223</w:t>
            </w:r>
          </w:p>
        </w:tc>
        <w:tc>
          <w:tcPr>
            <w:tcW w:w="0" w:type="dxa"/>
            <w:vAlign w:val="bottom"/>
          </w:tcPr>
          <w:p>
            <w:pPr>
              <w:spacing w:after="0"/>
              <w:rPr>
                <w:sz w:val="1"/>
                <w:szCs w:val="1"/>
                <w:color w:val="auto"/>
              </w:rPr>
            </w:pP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(33,617) 13,606 --------</w:t>
            </w: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7"/>
                <w:szCs w:val="7"/>
                <w:color w:val="auto"/>
                <w:w w:val="74"/>
              </w:rPr>
              <w:t>Total........................................</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 (83,748)</w:t>
            </w:r>
          </w:p>
        </w:tc>
        <w:tc>
          <w:tcPr>
            <w:tcW w:w="20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7"/>
              </w:rPr>
              <w:t>$44,668 ========</w:t>
            </w:r>
          </w:p>
        </w:tc>
        <w:tc>
          <w:tcPr>
            <w:tcW w:w="0" w:type="dxa"/>
            <w:vAlign w:val="bottom"/>
          </w:tcPr>
          <w:p>
            <w:pPr>
              <w:spacing w:after="0"/>
              <w:rPr>
                <w:sz w:val="1"/>
                <w:szCs w:val="1"/>
                <w:color w:val="auto"/>
              </w:rPr>
            </w:pPr>
          </w:p>
        </w:tc>
      </w:tr>
      <w:tr>
        <w:trPr>
          <w:trHeight w:val="203"/>
        </w:trPr>
        <w:tc>
          <w:tcPr>
            <w:tcW w:w="142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rPr>
              <w:t>$128,416</w:t>
            </w:r>
          </w:p>
        </w:tc>
        <w:tc>
          <w:tcPr>
            <w:tcW w:w="1160" w:type="dxa"/>
            <w:vAlign w:val="bottom"/>
            <w:vMerge w:val="continue"/>
          </w:tcPr>
          <w:p>
            <w:pPr>
              <w:spacing w:after="0"/>
              <w:rPr>
                <w:sz w:val="17"/>
                <w:szCs w:val="17"/>
                <w:color w:val="auto"/>
              </w:rPr>
            </w:pPr>
          </w:p>
        </w:tc>
        <w:tc>
          <w:tcPr>
            <w:tcW w:w="2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4"/>
                <w:szCs w:val="24"/>
                <w:color w:val="auto"/>
              </w:rPr>
            </w:pPr>
          </w:p>
        </w:tc>
        <w:tc>
          <w:tcPr>
            <w:tcW w:w="3180" w:type="dxa"/>
            <w:vAlign w:val="bottom"/>
            <w:gridSpan w:val="2"/>
          </w:tcPr>
          <w:p>
            <w:pPr>
              <w:jc w:val="right"/>
              <w:ind w:right="1232"/>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The estimated future amortization expense of purchased intangible assets as of September 30, 2003 is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ind w:left="1740"/>
              <w:spacing w:after="0"/>
              <w:rPr>
                <w:sz w:val="20"/>
                <w:szCs w:val="20"/>
                <w:color w:val="auto"/>
              </w:rPr>
            </w:pPr>
            <w:r>
              <w:rPr>
                <w:rFonts w:ascii="Courier New" w:cs="Courier New" w:eastAsia="Courier New" w:hAnsi="Courier New"/>
                <w:sz w:val="18"/>
                <w:szCs w:val="18"/>
                <w:color w:val="auto"/>
              </w:rPr>
              <w:t>AMOUNT</w:t>
            </w:r>
          </w:p>
        </w:tc>
        <w:tc>
          <w:tcPr>
            <w:tcW w:w="3780" w:type="dxa"/>
            <w:vAlign w:val="bottom"/>
          </w:tcPr>
          <w:p>
            <w:pPr>
              <w:jc w:val="right"/>
              <w:ind w:right="1532"/>
              <w:spacing w:after="0"/>
              <w:rPr>
                <w:sz w:val="20"/>
                <w:szCs w:val="20"/>
                <w:color w:val="auto"/>
              </w:rPr>
            </w:pPr>
            <w:r>
              <w:rPr>
                <w:rFonts w:ascii="Courier New" w:cs="Courier New" w:eastAsia="Courier New" w:hAnsi="Courier New"/>
                <w:sz w:val="18"/>
                <w:szCs w:val="18"/>
                <w:color w:val="auto"/>
                <w:w w:val="99"/>
              </w:rPr>
              <w:t>------- FISCAL YEAR:</w:t>
            </w:r>
          </w:p>
        </w:tc>
        <w:tc>
          <w:tcPr>
            <w:tcW w:w="0" w:type="dxa"/>
            <w:vAlign w:val="bottom"/>
          </w:tcPr>
          <w:p>
            <w:pPr>
              <w:spacing w:after="0"/>
              <w:rPr>
                <w:sz w:val="1"/>
                <w:szCs w:val="1"/>
                <w:color w:val="auto"/>
              </w:rPr>
            </w:pPr>
          </w:p>
        </w:tc>
      </w:tr>
      <w:tr>
        <w:trPr>
          <w:trHeight w:val="381"/>
        </w:trPr>
        <w:tc>
          <w:tcPr>
            <w:tcW w:w="2440" w:type="dxa"/>
            <w:vAlign w:val="bottom"/>
          </w:tcPr>
          <w:p>
            <w:pPr>
              <w:spacing w:after="0"/>
              <w:rPr>
                <w:sz w:val="20"/>
                <w:szCs w:val="20"/>
                <w:color w:val="auto"/>
              </w:rPr>
            </w:pPr>
            <w:r>
              <w:rPr>
                <w:rFonts w:ascii="Courier New" w:cs="Courier New" w:eastAsia="Courier New" w:hAnsi="Courier New"/>
                <w:sz w:val="3"/>
                <w:szCs w:val="3"/>
                <w:color w:val="auto"/>
                <w:w w:val="73"/>
                <w:vertAlign w:val="superscript"/>
              </w:rPr>
              <w:t>2004................................................................................................................</w:t>
            </w:r>
            <w:r>
              <w:rPr>
                <w:rFonts w:ascii="Courier New" w:cs="Courier New" w:eastAsia="Courier New" w:hAnsi="Courier New"/>
                <w:sz w:val="2"/>
                <w:szCs w:val="2"/>
                <w:color w:val="auto"/>
                <w:w w:val="73"/>
              </w:rPr>
              <w:t>........................................................</w:t>
            </w:r>
            <w:r>
              <w:rPr>
                <w:rFonts w:ascii="Courier New" w:cs="Courier New" w:eastAsia="Courier New" w:hAnsi="Courier New"/>
                <w:sz w:val="3"/>
                <w:szCs w:val="3"/>
                <w:color w:val="auto"/>
                <w:w w:val="73"/>
                <w:vertAlign w:val="subscript"/>
              </w:rPr>
              <w:t>......................................................................................................</w:t>
            </w:r>
          </w:p>
        </w:tc>
        <w:tc>
          <w:tcPr>
            <w:tcW w:w="3780" w:type="dxa"/>
            <w:vAlign w:val="bottom"/>
            <w:vMerge w:val="restart"/>
          </w:tcPr>
          <w:p>
            <w:pPr>
              <w:jc w:val="center"/>
              <w:ind w:right="2232"/>
              <w:spacing w:after="0"/>
              <w:rPr>
                <w:sz w:val="20"/>
                <w:szCs w:val="20"/>
                <w:color w:val="auto"/>
              </w:rPr>
            </w:pPr>
            <w:r>
              <w:rPr>
                <w:rFonts w:ascii="Courier New" w:cs="Courier New" w:eastAsia="Courier New" w:hAnsi="Courier New"/>
                <w:sz w:val="18"/>
                <w:szCs w:val="18"/>
                <w:color w:val="auto"/>
                <w:w w:val="97"/>
              </w:rPr>
              <w:t>$19,430</w:t>
            </w:r>
          </w:p>
        </w:tc>
        <w:tc>
          <w:tcPr>
            <w:tcW w:w="0" w:type="dxa"/>
            <w:vAlign w:val="bottom"/>
          </w:tcPr>
          <w:p>
            <w:pPr>
              <w:spacing w:after="0"/>
              <w:rPr>
                <w:sz w:val="1"/>
                <w:szCs w:val="1"/>
                <w:color w:val="auto"/>
              </w:rPr>
            </w:pPr>
          </w:p>
        </w:tc>
      </w:tr>
      <w:tr>
        <w:trPr>
          <w:trHeight w:val="118"/>
        </w:trPr>
        <w:tc>
          <w:tcPr>
            <w:tcW w:w="2440" w:type="dxa"/>
            <w:vAlign w:val="bottom"/>
            <w:vMerge w:val="restart"/>
          </w:tcPr>
          <w:p>
            <w:pPr>
              <w:spacing w:after="0"/>
              <w:rPr>
                <w:sz w:val="20"/>
                <w:szCs w:val="20"/>
                <w:color w:val="auto"/>
              </w:rPr>
            </w:pPr>
            <w:r>
              <w:rPr>
                <w:rFonts w:ascii="Courier New" w:cs="Courier New" w:eastAsia="Courier New" w:hAnsi="Courier New"/>
                <w:sz w:val="18"/>
                <w:szCs w:val="18"/>
                <w:color w:val="auto"/>
              </w:rPr>
              <w:t>2005</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440" w:type="dxa"/>
            <w:vAlign w:val="bottom"/>
            <w:vMerge w:val="continue"/>
          </w:tcPr>
          <w:p>
            <w:pPr>
              <w:spacing w:after="0"/>
              <w:rPr>
                <w:sz w:val="17"/>
                <w:szCs w:val="17"/>
                <w:color w:val="auto"/>
              </w:rPr>
            </w:pPr>
          </w:p>
        </w:tc>
        <w:tc>
          <w:tcPr>
            <w:tcW w:w="3780" w:type="dxa"/>
            <w:vAlign w:val="bottom"/>
            <w:vMerge w:val="restart"/>
          </w:tcPr>
          <w:p>
            <w:pPr>
              <w:jc w:val="center"/>
              <w:ind w:right="2232"/>
              <w:spacing w:after="0"/>
              <w:rPr>
                <w:sz w:val="20"/>
                <w:szCs w:val="20"/>
                <w:color w:val="auto"/>
              </w:rPr>
            </w:pPr>
            <w:r>
              <w:rPr>
                <w:rFonts w:ascii="Courier New" w:cs="Courier New" w:eastAsia="Courier New" w:hAnsi="Courier New"/>
                <w:sz w:val="18"/>
                <w:szCs w:val="18"/>
                <w:color w:val="auto"/>
                <w:w w:val="95"/>
              </w:rPr>
              <w:t>10,203</w:t>
            </w:r>
          </w:p>
        </w:tc>
        <w:tc>
          <w:tcPr>
            <w:tcW w:w="0" w:type="dxa"/>
            <w:vAlign w:val="bottom"/>
          </w:tcPr>
          <w:p>
            <w:pPr>
              <w:spacing w:after="0"/>
              <w:rPr>
                <w:sz w:val="1"/>
                <w:szCs w:val="1"/>
                <w:color w:val="auto"/>
              </w:rPr>
            </w:pPr>
          </w:p>
        </w:tc>
      </w:tr>
      <w:tr>
        <w:trPr>
          <w:trHeight w:val="203"/>
        </w:trPr>
        <w:tc>
          <w:tcPr>
            <w:tcW w:w="2440" w:type="dxa"/>
            <w:vAlign w:val="bottom"/>
            <w:vMerge w:val="restart"/>
          </w:tcPr>
          <w:p>
            <w:pPr>
              <w:spacing w:after="0"/>
              <w:rPr>
                <w:sz w:val="20"/>
                <w:szCs w:val="20"/>
                <w:color w:val="auto"/>
              </w:rPr>
            </w:pPr>
            <w:r>
              <w:rPr>
                <w:rFonts w:ascii="Courier New" w:cs="Courier New" w:eastAsia="Courier New" w:hAnsi="Courier New"/>
                <w:sz w:val="18"/>
                <w:szCs w:val="18"/>
                <w:color w:val="auto"/>
              </w:rPr>
              <w:t>2006</w:t>
            </w:r>
          </w:p>
        </w:tc>
        <w:tc>
          <w:tcPr>
            <w:tcW w:w="3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vMerge w:val="continue"/>
          </w:tcPr>
          <w:p>
            <w:pPr>
              <w:spacing w:after="0"/>
              <w:rPr>
                <w:sz w:val="17"/>
                <w:szCs w:val="17"/>
                <w:color w:val="auto"/>
              </w:rPr>
            </w:pPr>
          </w:p>
        </w:tc>
        <w:tc>
          <w:tcPr>
            <w:tcW w:w="3780" w:type="dxa"/>
            <w:vAlign w:val="bottom"/>
            <w:vMerge w:val="restart"/>
          </w:tcPr>
          <w:p>
            <w:pPr>
              <w:jc w:val="center"/>
              <w:ind w:right="2232"/>
              <w:spacing w:after="0"/>
              <w:rPr>
                <w:sz w:val="20"/>
                <w:szCs w:val="20"/>
                <w:color w:val="auto"/>
              </w:rPr>
            </w:pPr>
            <w:r>
              <w:rPr>
                <w:rFonts w:ascii="Courier New" w:cs="Courier New" w:eastAsia="Courier New" w:hAnsi="Courier New"/>
                <w:sz w:val="18"/>
                <w:szCs w:val="18"/>
                <w:color w:val="auto"/>
                <w:w w:val="99"/>
              </w:rPr>
              <w:t>7,871</w:t>
            </w:r>
          </w:p>
        </w:tc>
        <w:tc>
          <w:tcPr>
            <w:tcW w:w="0" w:type="dxa"/>
            <w:vAlign w:val="bottom"/>
          </w:tcPr>
          <w:p>
            <w:pPr>
              <w:spacing w:after="0"/>
              <w:rPr>
                <w:sz w:val="1"/>
                <w:szCs w:val="1"/>
                <w:color w:val="auto"/>
              </w:rPr>
            </w:pPr>
          </w:p>
        </w:tc>
      </w:tr>
      <w:tr>
        <w:trPr>
          <w:trHeight w:val="203"/>
        </w:trPr>
        <w:tc>
          <w:tcPr>
            <w:tcW w:w="2440" w:type="dxa"/>
            <w:vAlign w:val="bottom"/>
            <w:vMerge w:val="restart"/>
          </w:tcPr>
          <w:p>
            <w:pPr>
              <w:spacing w:after="0"/>
              <w:rPr>
                <w:sz w:val="20"/>
                <w:szCs w:val="20"/>
                <w:color w:val="auto"/>
              </w:rPr>
            </w:pPr>
            <w:r>
              <w:rPr>
                <w:rFonts w:ascii="Courier New" w:cs="Courier New" w:eastAsia="Courier New" w:hAnsi="Courier New"/>
                <w:sz w:val="18"/>
                <w:szCs w:val="18"/>
                <w:color w:val="auto"/>
              </w:rPr>
              <w:t>2007</w:t>
            </w:r>
          </w:p>
        </w:tc>
        <w:tc>
          <w:tcPr>
            <w:tcW w:w="3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vMerge w:val="continue"/>
          </w:tcPr>
          <w:p>
            <w:pPr>
              <w:spacing w:after="0"/>
              <w:rPr>
                <w:sz w:val="17"/>
                <w:szCs w:val="17"/>
                <w:color w:val="auto"/>
              </w:rPr>
            </w:pPr>
          </w:p>
        </w:tc>
        <w:tc>
          <w:tcPr>
            <w:tcW w:w="3780" w:type="dxa"/>
            <w:vAlign w:val="bottom"/>
            <w:vMerge w:val="restart"/>
          </w:tcPr>
          <w:p>
            <w:pPr>
              <w:jc w:val="right"/>
              <w:ind w:right="2232"/>
              <w:spacing w:after="0"/>
              <w:rPr>
                <w:sz w:val="20"/>
                <w:szCs w:val="20"/>
                <w:color w:val="auto"/>
              </w:rPr>
            </w:pPr>
            <w:r>
              <w:rPr>
                <w:rFonts w:ascii="Courier New" w:cs="Courier New" w:eastAsia="Courier New" w:hAnsi="Courier New"/>
                <w:sz w:val="18"/>
                <w:szCs w:val="18"/>
                <w:color w:val="auto"/>
                <w:w w:val="95"/>
              </w:rPr>
              <w:t>6,857 2008 and</w:t>
            </w:r>
          </w:p>
        </w:tc>
        <w:tc>
          <w:tcPr>
            <w:tcW w:w="0" w:type="dxa"/>
            <w:vAlign w:val="bottom"/>
          </w:tcPr>
          <w:p>
            <w:pPr>
              <w:spacing w:after="0"/>
              <w:rPr>
                <w:sz w:val="1"/>
                <w:szCs w:val="1"/>
                <w:color w:val="auto"/>
              </w:rPr>
            </w:pPr>
          </w:p>
        </w:tc>
      </w:tr>
      <w:tr>
        <w:trPr>
          <w:trHeight w:val="109"/>
        </w:trPr>
        <w:tc>
          <w:tcPr>
            <w:tcW w:w="24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after</w:t>
            </w:r>
          </w:p>
        </w:tc>
        <w:tc>
          <w:tcPr>
            <w:tcW w:w="3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2440" w:type="dxa"/>
            <w:vAlign w:val="bottom"/>
            <w:vMerge w:val="continue"/>
          </w:tcPr>
          <w:p>
            <w:pPr>
              <w:spacing w:after="0"/>
              <w:rPr>
                <w:sz w:val="24"/>
                <w:szCs w:val="24"/>
                <w:color w:val="auto"/>
              </w:rPr>
            </w:pPr>
          </w:p>
        </w:tc>
        <w:tc>
          <w:tcPr>
            <w:tcW w:w="3780" w:type="dxa"/>
            <w:vAlign w:val="bottom"/>
          </w:tcPr>
          <w:p>
            <w:pPr>
              <w:jc w:val="right"/>
              <w:spacing w:after="0"/>
              <w:rPr>
                <w:sz w:val="20"/>
                <w:szCs w:val="20"/>
                <w:color w:val="auto"/>
              </w:rPr>
            </w:pPr>
            <w:r>
              <w:rPr>
                <w:rFonts w:ascii="Courier New" w:cs="Courier New" w:eastAsia="Courier New" w:hAnsi="Courier New"/>
                <w:sz w:val="18"/>
                <w:szCs w:val="18"/>
                <w:color w:val="auto"/>
              </w:rPr>
              <w:t>14,480</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Guarantor's Accounting and Disclosure Requirements for Guarantees</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November 2002 the FASB issued FASB Interpretation ("FIN") No. 45 "Guarantor's Accounting and Disclosure Requirements for Guarantees, Including Indirect Guarantees of Indebtedness of Others". FIN No. 45 requires that, at the inception of certain types of guarantees, the guarantor must disclose and recognize a liability for the fair value of the obligation it assumes under the guarantee. The initial recognition and measurement requirements of FIN No. 45 are effective for guarantees issued or modified after December 31, 2002. The additional disclosure requirements of FIN No. 45 are effective for interim and annual periods ending after December 15, 2002, and are applicable to certain of the Company's guarantees issued before December 31, 2002.</w:t>
      </w:r>
    </w:p>
    <w:p>
      <w:pPr>
        <w:spacing w:after="0" w:line="104"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The Company is a party to an agreement entered into prior to December 31, 2002 that includes an indemnification of one of its customers for any withholding tax that might be required under the customer's local tax laws from certain payments made to the Company under this agreement. The indemnification under this agreement expires in December 2005. As of September 30, 2003 and September 30, 2002, the maximum potential amount of the Company's future exposure under this guarantee pursuant to FIN No. 45 was $4,717.</w:t>
      </w:r>
    </w:p>
    <w:p>
      <w:pPr>
        <w:spacing w:after="0" w:line="72"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Company generally sells its ClarifyCRM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fiscal 2003.</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F-17</w:t>
      </w:r>
    </w:p>
    <w:p>
      <w:pPr>
        <w:sectPr>
          <w:pgSz w:w="11900" w:h="16838" w:orient="portrait"/>
          <w:cols w:equalWidth="0" w:num="1">
            <w:col w:w="10219"/>
          </w:cols>
          <w:pgMar w:left="240" w:top="488" w:right="1440" w:bottom="388" w:gutter="0" w:footer="0" w:header="0"/>
        </w:sectPr>
      </w:pPr>
    </w:p>
    <w:bookmarkStart w:id="91" w:name="page92"/>
    <w:bookmarkEnd w:id="9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financial statements.</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Gains and Losses From Extinguishment of Debt</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In April 2002, the FASB issued SFAS No. 145, "Rescission of FASB Statements No. 4, 44 and 64, Amendment of FASB Statement No. 13, and Technical Corrections". SFAS No. 145 eliminates previous requirements to classify gains and losses from extinguishment of debt as extraordinary items in earnings. Gains or losses from extinguishment of debt for fiscal years beginning after May 15, 2002 shall not be classified as extraordinary items unless certain provisions are met. Early adoption was encouraged. The Company adopted SFAS No. 145 in the fourth quarter of fiscal 2002 in connection with the gains related to the repurchases of its convertible notes. See Note 12.</w:t>
      </w:r>
    </w:p>
    <w:p>
      <w:pPr>
        <w:spacing w:after="0" w:line="9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Costs Associated with Exit or Disposal Activities</w:t>
      </w:r>
    </w:p>
    <w:p>
      <w:pPr>
        <w:spacing w:after="0" w:line="201"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In June 2002 the FASB issued SFAS No. 146, "Accounting for Costs Associated with Exit or Disposal Activities". SFAS No. 146 requires that a liability for costs associated with an exit or disposal activity, including restructuring activities, be recognized and measured at fair value when the liability is incurred, or, for certain one-time employee termination costs, over a future service period. Previously, a liability for an exit cost was recognized when a company committed to an exit plan. As a result, SFAS No. 146 may affect the timing of amounts recognized for future restructuring activities that are not associated with a business combination. SFAS No. 146 was effective for exit or disposal activities that were initiated after December 31, 2002.</w:t>
      </w:r>
    </w:p>
    <w:p>
      <w:pPr>
        <w:spacing w:after="0" w:line="7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Non-Software Elements in an Arrangement Containing Software</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In July 2003, the EITF reached a consensus on EITF Issue No. 03-05, "Applicability of AICPA Statement of Position 97-2, Software Revenue Recognition, to Non-Software Deliverables in an Arrangement Containing More-Than Incidental Software" ("Issue 03-05"). Issue 03-05 is regarding whether non-software deliverables (e.g., non-software related equipment or services) included in an arrangement that contains software that is more than incidental to the products or services as a whole are included within the scope of Statement of Position 97-2, "Software Revenue Recognition". Software-related elements include software products, upgrades/enhancements, post-contract customer support, and services as well as any non-software deliverables for which a software deliverable is essential to its functionality.</w:t>
      </w:r>
    </w:p>
    <w:p>
      <w:pPr>
        <w:spacing w:after="0" w:line="104"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Under Issue 03-05, in an arrangement that includes software, computer hardware that will contain the software, and additional unrelated equipment, if the software is essential to the functionality of the hardware, the hardware would be considered software-related and, therefore, included within the scope of SOP 97-2. Issue 03-05 is effective for arrangements entered into in the first reporting period (annual or interim) beginning after August 13, 2003. The Company is in the process of analyzing the effect of Issue 03-05 on its consolidated financial position and results of operations and believes it will not be significant.</w:t>
      </w:r>
    </w:p>
    <w:p>
      <w:pPr>
        <w:spacing w:after="0" w:line="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F-18</w:t>
      </w:r>
    </w:p>
    <w:p>
      <w:pPr>
        <w:sectPr>
          <w:pgSz w:w="11900" w:h="16838" w:orient="portrait"/>
          <w:cols w:equalWidth="0" w:num="1">
            <w:col w:w="10219"/>
          </w:cols>
          <w:pgMar w:left="240" w:top="488" w:right="1440" w:bottom="1440" w:gutter="0" w:footer="0" w:header="0"/>
        </w:sectPr>
      </w:pPr>
    </w:p>
    <w:bookmarkStart w:id="92" w:name="page93"/>
    <w:bookmarkEnd w:id="9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 OF ESTIMATES</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ACQUISITIONS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CLARIFY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On November 28, 2001, the Company purchased from Nortel Networks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 substantially all of the assets of its Clarify business ("Clarify"),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leading provider of Customer Relationship Management ("CRM") software to</w:t>
      </w:r>
    </w:p>
    <w:p>
      <w:pPr>
        <w:spacing w:after="0" w:line="238" w:lineRule="auto"/>
        <w:rPr>
          <w:sz w:val="20"/>
          <w:szCs w:val="20"/>
          <w:color w:val="auto"/>
        </w:rPr>
      </w:pPr>
      <w:r>
        <w:rPr>
          <w:rFonts w:ascii="Courier New" w:cs="Courier New" w:eastAsia="Courier New" w:hAnsi="Courier New"/>
          <w:sz w:val="18"/>
          <w:szCs w:val="18"/>
          <w:color w:val="auto"/>
        </w:rPr>
        <w:t>communications companies and other enterprise sectors. This acquisition</w:t>
      </w:r>
    </w:p>
    <w:p>
      <w:pPr>
        <w:spacing w:after="0"/>
        <w:rPr>
          <w:sz w:val="20"/>
          <w:szCs w:val="20"/>
          <w:color w:val="auto"/>
        </w:rPr>
      </w:pPr>
      <w:r>
        <w:rPr>
          <w:rFonts w:ascii="Courier New" w:cs="Courier New" w:eastAsia="Courier New" w:hAnsi="Courier New"/>
          <w:sz w:val="18"/>
          <w:szCs w:val="18"/>
          <w:color w:val="auto"/>
        </w:rPr>
        <w:t>positioned the Company as a leading provider of CRM software to the</w:t>
      </w:r>
    </w:p>
    <w:p>
      <w:pPr>
        <w:spacing w:after="0" w:line="238" w:lineRule="auto"/>
        <w:rPr>
          <w:sz w:val="20"/>
          <w:szCs w:val="20"/>
          <w:color w:val="auto"/>
        </w:rPr>
      </w:pPr>
      <w:r>
        <w:rPr>
          <w:rFonts w:ascii="Courier New" w:cs="Courier New" w:eastAsia="Courier New" w:hAnsi="Courier New"/>
          <w:sz w:val="18"/>
          <w:szCs w:val="18"/>
          <w:color w:val="auto"/>
        </w:rPr>
        <w:t>communications industry and, through the addition of Clarify's CRM software to</w:t>
      </w:r>
    </w:p>
    <w:p>
      <w:pPr>
        <w:spacing w:after="0"/>
        <w:rPr>
          <w:sz w:val="20"/>
          <w:szCs w:val="20"/>
          <w:color w:val="auto"/>
        </w:rPr>
      </w:pPr>
      <w:r>
        <w:rPr>
          <w:rFonts w:ascii="Courier New" w:cs="Courier New" w:eastAsia="Courier New" w:hAnsi="Courier New"/>
          <w:sz w:val="18"/>
          <w:szCs w:val="18"/>
          <w:color w:val="auto"/>
        </w:rPr>
        <w:t>the Company's portfolio of product offerings, reinforced the Company's</w:t>
      </w:r>
    </w:p>
    <w:p>
      <w:pPr>
        <w:spacing w:after="0" w:line="238" w:lineRule="auto"/>
        <w:rPr>
          <w:sz w:val="20"/>
          <w:szCs w:val="20"/>
          <w:color w:val="auto"/>
        </w:rPr>
      </w:pPr>
      <w:r>
        <w:rPr>
          <w:rFonts w:ascii="Courier New" w:cs="Courier New" w:eastAsia="Courier New" w:hAnsi="Courier New"/>
          <w:sz w:val="18"/>
          <w:szCs w:val="18"/>
          <w:color w:val="auto"/>
        </w:rPr>
        <w:t>leadership in delivering Integrated Customer Management software applications.</w:t>
      </w:r>
    </w:p>
    <w:p>
      <w:pPr>
        <w:spacing w:after="0"/>
        <w:rPr>
          <w:sz w:val="20"/>
          <w:szCs w:val="20"/>
          <w:color w:val="auto"/>
        </w:rPr>
      </w:pPr>
      <w:r>
        <w:rPr>
          <w:rFonts w:ascii="Courier New" w:cs="Courier New" w:eastAsia="Courier New" w:hAnsi="Courier New"/>
          <w:sz w:val="16"/>
          <w:szCs w:val="16"/>
          <w:color w:val="auto"/>
        </w:rPr>
        <w:t>This acquisition completed the Company's CRM product suite, enabling the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deliver pre-integrated CRM, billing and order management solution and</w:t>
      </w:r>
    </w:p>
    <w:p>
      <w:pPr>
        <w:spacing w:after="0"/>
        <w:rPr>
          <w:sz w:val="20"/>
          <w:szCs w:val="20"/>
          <w:color w:val="auto"/>
        </w:rPr>
      </w:pPr>
      <w:r>
        <w:rPr>
          <w:rFonts w:ascii="Courier New" w:cs="Courier New" w:eastAsia="Courier New" w:hAnsi="Courier New"/>
          <w:sz w:val="16"/>
          <w:szCs w:val="16"/>
          <w:color w:val="auto"/>
        </w:rPr>
        <w:t>stand-alone communications CRM offering for communications providers. Following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acquisition the Company integrated the Clarify sales to telecommunication</w:t>
      </w:r>
    </w:p>
    <w:p>
      <w:pPr>
        <w:spacing w:after="0" w:line="238" w:lineRule="auto"/>
        <w:rPr>
          <w:sz w:val="20"/>
          <w:szCs w:val="20"/>
          <w:color w:val="auto"/>
        </w:rPr>
      </w:pPr>
      <w:r>
        <w:rPr>
          <w:rFonts w:ascii="Courier New" w:cs="Courier New" w:eastAsia="Courier New" w:hAnsi="Courier New"/>
          <w:sz w:val="18"/>
          <w:szCs w:val="18"/>
          <w:color w:val="auto"/>
        </w:rPr>
        <w:t>customers into its overall sales efforts. Generally, the Company sells its</w:t>
      </w:r>
    </w:p>
    <w:p>
      <w:pPr>
        <w:spacing w:after="0"/>
        <w:rPr>
          <w:sz w:val="20"/>
          <w:szCs w:val="20"/>
          <w:color w:val="auto"/>
        </w:rPr>
      </w:pPr>
      <w:r>
        <w:rPr>
          <w:rFonts w:ascii="Courier New" w:cs="Courier New" w:eastAsia="Courier New" w:hAnsi="Courier New"/>
          <w:sz w:val="16"/>
          <w:szCs w:val="16"/>
          <w:color w:val="auto"/>
        </w:rPr>
        <w:t>ClarifyCRM products to telecommunication customers as integral parts of projects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also include license and service arrangements. Following the acquisition,</w:t>
      </w:r>
    </w:p>
    <w:p>
      <w:pPr>
        <w:spacing w:after="0"/>
        <w:rPr>
          <w:sz w:val="20"/>
          <w:szCs w:val="20"/>
          <w:color w:val="auto"/>
        </w:rPr>
      </w:pPr>
      <w:r>
        <w:rPr>
          <w:rFonts w:ascii="Courier New" w:cs="Courier New" w:eastAsia="Courier New" w:hAnsi="Courier New"/>
          <w:sz w:val="16"/>
          <w:szCs w:val="16"/>
          <w:color w:val="auto"/>
        </w:rPr>
        <w:t>the Company has continued to sell Clarify's CRM software to customers other than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communications service providers, although this is not the focus of the</w:t>
      </w:r>
    </w:p>
    <w:p>
      <w:pPr>
        <w:spacing w:after="0" w:line="238" w:lineRule="auto"/>
        <w:rPr>
          <w:sz w:val="20"/>
          <w:szCs w:val="20"/>
          <w:color w:val="auto"/>
        </w:rPr>
      </w:pPr>
      <w:r>
        <w:rPr>
          <w:rFonts w:ascii="Courier New" w:cs="Courier New" w:eastAsia="Courier New" w:hAnsi="Courier New"/>
          <w:sz w:val="18"/>
          <w:szCs w:val="18"/>
          <w:color w:val="auto"/>
        </w:rPr>
        <w:t>Company's business. The aggregate initial purchase price for Clarify as of</w:t>
      </w:r>
    </w:p>
    <w:p>
      <w:pPr>
        <w:spacing w:after="0"/>
        <w:rPr>
          <w:sz w:val="20"/>
          <w:szCs w:val="20"/>
          <w:color w:val="auto"/>
        </w:rPr>
      </w:pPr>
      <w:r>
        <w:rPr>
          <w:rFonts w:ascii="Courier New" w:cs="Courier New" w:eastAsia="Courier New" w:hAnsi="Courier New"/>
          <w:sz w:val="16"/>
          <w:szCs w:val="16"/>
          <w:color w:val="auto"/>
        </w:rPr>
        <w:t>September 30, 2002 was $212,000 in cash, including transaction costs of $8,250.</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purchase price was subject to final price adjustments that were settled in</w:t>
      </w:r>
    </w:p>
    <w:p>
      <w:pPr>
        <w:spacing w:after="0" w:line="238" w:lineRule="auto"/>
        <w:rPr>
          <w:sz w:val="20"/>
          <w:szCs w:val="20"/>
          <w:color w:val="auto"/>
        </w:rPr>
      </w:pPr>
      <w:r>
        <w:rPr>
          <w:rFonts w:ascii="Courier New" w:cs="Courier New" w:eastAsia="Courier New" w:hAnsi="Courier New"/>
          <w:sz w:val="18"/>
          <w:szCs w:val="18"/>
          <w:color w:val="auto"/>
        </w:rPr>
        <w:t>October 2002 and resulted in an $11,111 reduction of the purchase price to</w:t>
      </w:r>
    </w:p>
    <w:p>
      <w:pPr>
        <w:spacing w:after="0"/>
        <w:rPr>
          <w:sz w:val="20"/>
          <w:szCs w:val="20"/>
          <w:color w:val="auto"/>
        </w:rPr>
      </w:pPr>
      <w:r>
        <w:rPr>
          <w:rFonts w:ascii="Courier New" w:cs="Courier New" w:eastAsia="Courier New" w:hAnsi="Courier New"/>
          <w:sz w:val="16"/>
          <w:szCs w:val="16"/>
          <w:color w:val="auto"/>
        </w:rPr>
        <w:t>$200,889 in the first quarter of fiscal 2003. The acquisition was accounted for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 business combination using the purchase method of accounting, as required</w:t>
      </w:r>
    </w:p>
    <w:p>
      <w:pPr>
        <w:spacing w:after="0" w:line="238" w:lineRule="auto"/>
        <w:rPr>
          <w:sz w:val="20"/>
          <w:szCs w:val="20"/>
          <w:color w:val="auto"/>
        </w:rPr>
      </w:pPr>
      <w:r>
        <w:rPr>
          <w:rFonts w:ascii="Courier New" w:cs="Courier New" w:eastAsia="Courier New" w:hAnsi="Courier New"/>
          <w:sz w:val="18"/>
          <w:szCs w:val="18"/>
          <w:color w:val="auto"/>
        </w:rPr>
        <w:t>by SFAS No. 141. The fair market value of Clarify's assets and liabilities has</w:t>
      </w:r>
    </w:p>
    <w:p>
      <w:pPr>
        <w:spacing w:after="0"/>
        <w:rPr>
          <w:sz w:val="20"/>
          <w:szCs w:val="20"/>
          <w:color w:val="auto"/>
        </w:rPr>
      </w:pPr>
      <w:r>
        <w:rPr>
          <w:rFonts w:ascii="Courier New" w:cs="Courier New" w:eastAsia="Courier New" w:hAnsi="Courier New"/>
          <w:sz w:val="18"/>
          <w:szCs w:val="18"/>
          <w:color w:val="auto"/>
        </w:rPr>
        <w:t>been included in the Company's consolidated balance sheet and the results of</w:t>
      </w:r>
    </w:p>
    <w:p>
      <w:pPr>
        <w:spacing w:after="0" w:line="238" w:lineRule="auto"/>
        <w:rPr>
          <w:sz w:val="20"/>
          <w:szCs w:val="20"/>
          <w:color w:val="auto"/>
        </w:rPr>
      </w:pPr>
      <w:r>
        <w:rPr>
          <w:rFonts w:ascii="Courier New" w:cs="Courier New" w:eastAsia="Courier New" w:hAnsi="Courier New"/>
          <w:sz w:val="18"/>
          <w:szCs w:val="18"/>
          <w:color w:val="auto"/>
        </w:rPr>
        <w:t>Clarify's operations are included in the Company's consolidated statements of</w:t>
      </w:r>
    </w:p>
    <w:p>
      <w:pPr>
        <w:spacing w:after="0"/>
        <w:rPr>
          <w:sz w:val="20"/>
          <w:szCs w:val="20"/>
          <w:color w:val="auto"/>
        </w:rPr>
      </w:pPr>
      <w:r>
        <w:rPr>
          <w:rFonts w:ascii="Courier New" w:cs="Courier New" w:eastAsia="Courier New" w:hAnsi="Courier New"/>
          <w:sz w:val="16"/>
          <w:szCs w:val="16"/>
          <w:color w:val="auto"/>
        </w:rPr>
        <w:t>operations, commencing on November 29, 2001. The Company obtained a valuation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intangible assets acquired in the Clarify transaction. The value of acquired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technology included both existing technology and in-process research and</w:t>
      </w:r>
    </w:p>
    <w:p>
      <w:pPr>
        <w:spacing w:after="0" w:line="238" w:lineRule="auto"/>
        <w:rPr>
          <w:sz w:val="20"/>
          <w:szCs w:val="20"/>
          <w:color w:val="auto"/>
        </w:rPr>
      </w:pPr>
      <w:r>
        <w:rPr>
          <w:rFonts w:ascii="Courier New" w:cs="Courier New" w:eastAsia="Courier New" w:hAnsi="Courier New"/>
          <w:sz w:val="18"/>
          <w:szCs w:val="18"/>
          <w:color w:val="auto"/>
        </w:rPr>
        <w:t>development. The valuation of these items was made by applying the income</w:t>
      </w:r>
    </w:p>
    <w:p>
      <w:pPr>
        <w:spacing w:after="0"/>
        <w:rPr>
          <w:sz w:val="20"/>
          <w:szCs w:val="20"/>
          <w:color w:val="auto"/>
        </w:rPr>
      </w:pPr>
      <w:r>
        <w:rPr>
          <w:rFonts w:ascii="Courier New" w:cs="Courier New" w:eastAsia="Courier New" w:hAnsi="Courier New"/>
          <w:sz w:val="18"/>
          <w:szCs w:val="18"/>
          <w:color w:val="auto"/>
        </w:rPr>
        <w:t>forecast method, which considered the present value of cash flows by product</w:t>
      </w:r>
    </w:p>
    <w:p>
      <w:pPr>
        <w:spacing w:after="0" w:line="238" w:lineRule="auto"/>
        <w:rPr>
          <w:sz w:val="20"/>
          <w:szCs w:val="20"/>
          <w:color w:val="auto"/>
        </w:rPr>
      </w:pPr>
      <w:r>
        <w:rPr>
          <w:rFonts w:ascii="Courier New" w:cs="Courier New" w:eastAsia="Courier New" w:hAnsi="Courier New"/>
          <w:sz w:val="18"/>
          <w:szCs w:val="18"/>
          <w:color w:val="auto"/>
        </w:rPr>
        <w:t>lines. Of the $65,600 of acquired identifiable intangible assets, $17,400 was</w:t>
      </w:r>
    </w:p>
    <w:p>
      <w:pPr>
        <w:spacing w:after="0"/>
        <w:rPr>
          <w:sz w:val="20"/>
          <w:szCs w:val="20"/>
          <w:color w:val="auto"/>
        </w:rPr>
      </w:pPr>
      <w:r>
        <w:rPr>
          <w:rFonts w:ascii="Courier New" w:cs="Courier New" w:eastAsia="Courier New" w:hAnsi="Courier New"/>
          <w:sz w:val="18"/>
          <w:szCs w:val="18"/>
          <w:color w:val="auto"/>
        </w:rPr>
        <w:t>assigned to in-process research and development and was written off as of the</w:t>
      </w:r>
    </w:p>
    <w:p>
      <w:pPr>
        <w:spacing w:after="0" w:line="238" w:lineRule="auto"/>
        <w:rPr>
          <w:sz w:val="20"/>
          <w:szCs w:val="20"/>
          <w:color w:val="auto"/>
        </w:rPr>
      </w:pPr>
      <w:r>
        <w:rPr>
          <w:rFonts w:ascii="Courier New" w:cs="Courier New" w:eastAsia="Courier New" w:hAnsi="Courier New"/>
          <w:sz w:val="18"/>
          <w:szCs w:val="18"/>
          <w:color w:val="auto"/>
        </w:rPr>
        <w:t>closing date of the acquisition, in accordance with FASB Interpretation No. 4,</w:t>
      </w:r>
    </w:p>
    <w:p>
      <w:pPr>
        <w:spacing w:after="0"/>
        <w:rPr>
          <w:sz w:val="20"/>
          <w:szCs w:val="20"/>
          <w:color w:val="auto"/>
        </w:rPr>
      </w:pPr>
      <w:r>
        <w:rPr>
          <w:rFonts w:ascii="Courier New" w:cs="Courier New" w:eastAsia="Courier New" w:hAnsi="Courier New"/>
          <w:sz w:val="16"/>
          <w:szCs w:val="16"/>
          <w:color w:val="auto"/>
        </w:rPr>
        <w:t>"Applicability of FASB Statement No. 2 to Business Combinations Accounted for by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Purchase Method". The fair value assigned to core technology was $13,400 and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being amortized over two years commencing on November 29, 2001. The fair</w:t>
      </w:r>
    </w:p>
    <w:p>
      <w:pPr>
        <w:spacing w:after="0"/>
        <w:rPr>
          <w:sz w:val="20"/>
          <w:szCs w:val="20"/>
          <w:color w:val="auto"/>
        </w:rPr>
      </w:pPr>
      <w:r>
        <w:rPr>
          <w:rFonts w:ascii="Courier New" w:cs="Courier New" w:eastAsia="Courier New" w:hAnsi="Courier New"/>
          <w:sz w:val="16"/>
          <w:szCs w:val="16"/>
          <w:color w:val="auto"/>
        </w:rPr>
        <w:t>value assigned to customer arrangements was $34,800 and is being amortized over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three years commencing on November 29, 2001. The excess of the purchase price</w:t>
      </w:r>
    </w:p>
    <w:p>
      <w:pPr>
        <w:spacing w:after="0" w:line="238" w:lineRule="auto"/>
        <w:rPr>
          <w:sz w:val="20"/>
          <w:szCs w:val="20"/>
          <w:color w:val="auto"/>
        </w:rPr>
      </w:pPr>
      <w:r>
        <w:rPr>
          <w:rFonts w:ascii="Courier New" w:cs="Courier New" w:eastAsia="Courier New" w:hAnsi="Courier New"/>
          <w:sz w:val="18"/>
          <w:szCs w:val="18"/>
          <w:color w:val="auto"/>
        </w:rPr>
        <w:t>over the fair value of the net assets acquired, or goodwill, following the</w:t>
      </w:r>
    </w:p>
    <w:p>
      <w:pPr>
        <w:spacing w:after="0"/>
        <w:rPr>
          <w:sz w:val="20"/>
          <w:szCs w:val="20"/>
          <w:color w:val="auto"/>
        </w:rPr>
      </w:pPr>
      <w:r>
        <w:rPr>
          <w:rFonts w:ascii="Courier New" w:cs="Courier New" w:eastAsia="Courier New" w:hAnsi="Courier New"/>
          <w:sz w:val="18"/>
          <w:szCs w:val="18"/>
          <w:color w:val="auto"/>
        </w:rPr>
        <w:t>settlement was $147,734, of which $144,182 is tax deductible. The goodwill is</w:t>
      </w:r>
    </w:p>
    <w:p>
      <w:pPr>
        <w:spacing w:after="0"/>
        <w:rPr>
          <w:sz w:val="20"/>
          <w:szCs w:val="20"/>
          <w:color w:val="auto"/>
        </w:rPr>
      </w:pPr>
      <w:r>
        <w:rPr>
          <w:rFonts w:ascii="Courier New" w:cs="Courier New" w:eastAsia="Courier New" w:hAnsi="Courier New"/>
          <w:sz w:val="16"/>
          <w:szCs w:val="16"/>
          <w:color w:val="auto"/>
        </w:rPr>
        <w:t>accounted for under SFAS No. 142. In accordance with SFAS No. 142, goodwill from</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 after June 30, 2001 is no longer amortized, but is subject to</w:t>
      </w:r>
    </w:p>
    <w:p>
      <w:pPr>
        <w:spacing w:after="0"/>
        <w:rPr>
          <w:sz w:val="20"/>
          <w:szCs w:val="20"/>
          <w:color w:val="auto"/>
        </w:rPr>
      </w:pPr>
      <w:r>
        <w:rPr>
          <w:rFonts w:ascii="Courier New" w:cs="Courier New" w:eastAsia="Courier New" w:hAnsi="Courier New"/>
          <w:sz w:val="16"/>
          <w:szCs w:val="16"/>
          <w:color w:val="auto"/>
        </w:rPr>
        <w:t>periodic impairment tests. As a result, goodwill associated with the acquisition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Clarify is not amortized.</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F-19</w:t>
      </w:r>
    </w:p>
    <w:p>
      <w:pPr>
        <w:sectPr>
          <w:pgSz w:w="11900" w:h="16838" w:orient="portrait"/>
          <w:cols w:equalWidth="0" w:num="1">
            <w:col w:w="10219"/>
          </w:cols>
          <w:pgMar w:left="240" w:top="488" w:right="1440" w:bottom="1440" w:gutter="0" w:footer="0" w:header="0"/>
        </w:sectPr>
      </w:pPr>
    </w:p>
    <w:bookmarkStart w:id="93" w:name="page94"/>
    <w:bookmarkEnd w:id="9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ind w:left="540"/>
              <w:spacing w:after="0"/>
              <w:rPr>
                <w:sz w:val="20"/>
                <w:szCs w:val="20"/>
                <w:color w:val="auto"/>
              </w:rPr>
            </w:pPr>
            <w:r>
              <w:rPr>
                <w:rFonts w:ascii="Courier New" w:cs="Courier New" w:eastAsia="Courier New" w:hAnsi="Courier New"/>
                <w:sz w:val="18"/>
                <w:szCs w:val="18"/>
                <w:color w:val="auto"/>
                <w:w w:val="92"/>
              </w:rPr>
              <w:t>The</w:t>
            </w:r>
          </w:p>
        </w:tc>
        <w:tc>
          <w:tcPr>
            <w:tcW w:w="72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following is the final allocation of the purchase price and deferred</w:t>
            </w:r>
          </w:p>
        </w:tc>
      </w:tr>
      <w:tr>
        <w:trPr>
          <w:trHeight w:val="296"/>
        </w:trPr>
        <w:tc>
          <w:tcPr>
            <w:tcW w:w="6440" w:type="dxa"/>
            <w:vAlign w:val="bottom"/>
            <w:gridSpan w:val="2"/>
          </w:tcPr>
          <w:p>
            <w:pPr>
              <w:spacing w:after="0"/>
              <w:rPr>
                <w:sz w:val="20"/>
                <w:szCs w:val="20"/>
                <w:color w:val="auto"/>
              </w:rPr>
            </w:pPr>
            <w:r>
              <w:rPr>
                <w:rFonts w:ascii="Courier New" w:cs="Courier New" w:eastAsia="Courier New" w:hAnsi="Courier New"/>
                <w:sz w:val="18"/>
                <w:szCs w:val="18"/>
                <w:color w:val="auto"/>
              </w:rPr>
              <w:t>tax liability:</w:t>
            </w:r>
          </w:p>
        </w:tc>
        <w:tc>
          <w:tcPr>
            <w:tcW w:w="1680" w:type="dxa"/>
            <w:vAlign w:val="bottom"/>
          </w:tcPr>
          <w:p>
            <w:pPr>
              <w:spacing w:after="0"/>
              <w:rPr>
                <w:sz w:val="24"/>
                <w:szCs w:val="24"/>
                <w:color w:val="auto"/>
              </w:rPr>
            </w:pPr>
          </w:p>
        </w:tc>
      </w:tr>
      <w:tr>
        <w:trPr>
          <w:trHeight w:val="717"/>
        </w:trPr>
        <w:tc>
          <w:tcPr>
            <w:tcW w:w="6440" w:type="dxa"/>
            <w:vAlign w:val="bottom"/>
            <w:gridSpan w:val="2"/>
          </w:tcPr>
          <w:p>
            <w:pPr>
              <w:spacing w:after="0"/>
              <w:rPr>
                <w:sz w:val="20"/>
                <w:szCs w:val="20"/>
                <w:color w:val="auto"/>
              </w:rPr>
            </w:pPr>
            <w:r>
              <w:rPr>
                <w:rFonts w:ascii="Courier New" w:cs="Courier New" w:eastAsia="Courier New" w:hAnsi="Courier New"/>
                <w:sz w:val="18"/>
                <w:szCs w:val="18"/>
                <w:color w:val="auto"/>
                <w:w w:val="99"/>
              </w:rPr>
              <w:t>Net liabilities acquired....................................</w:t>
            </w:r>
          </w:p>
        </w:tc>
        <w:tc>
          <w:tcPr>
            <w:tcW w:w="16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(9,574)</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Core technology.............................................</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13,400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Customer</w:t>
            </w:r>
          </w:p>
        </w:tc>
        <w:tc>
          <w:tcPr>
            <w:tcW w:w="5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arrangements.......................................</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34,800</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In-process research and development.........................</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17,400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Deferred</w:t>
            </w:r>
          </w:p>
        </w:tc>
        <w:tc>
          <w:tcPr>
            <w:tcW w:w="5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tax liability......................................</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(2,871)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Goodwill</w:t>
            </w:r>
          </w:p>
        </w:tc>
        <w:tc>
          <w:tcPr>
            <w:tcW w:w="5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147,734</w:t>
            </w:r>
          </w:p>
        </w:tc>
      </w:tr>
      <w:tr>
        <w:trPr>
          <w:trHeight w:val="203"/>
        </w:trPr>
        <w:tc>
          <w:tcPr>
            <w:tcW w:w="86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$200,889</w:t>
            </w:r>
          </w:p>
        </w:tc>
      </w:tr>
      <w:tr>
        <w:trPr>
          <w:trHeight w:val="296"/>
        </w:trPr>
        <w:tc>
          <w:tcPr>
            <w:tcW w:w="86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6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r>
    </w:tbl>
    <w:p>
      <w:pPr>
        <w:spacing w:after="0" w:line="31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CERTEN</w:t>
      </w:r>
    </w:p>
    <w:p>
      <w:pPr>
        <w:spacing w:after="0" w:line="201" w:lineRule="exact"/>
        <w:rPr>
          <w:sz w:val="20"/>
          <w:szCs w:val="20"/>
          <w:color w:val="auto"/>
        </w:rPr>
      </w:pPr>
    </w:p>
    <w:p>
      <w:pPr>
        <w:ind w:right="1879" w:firstLine="527"/>
        <w:spacing w:after="0" w:line="277" w:lineRule="auto"/>
        <w:rPr>
          <w:sz w:val="20"/>
          <w:szCs w:val="20"/>
          <w:color w:val="auto"/>
        </w:rPr>
      </w:pPr>
      <w:r>
        <w:rPr>
          <w:rFonts w:ascii="Courier New" w:cs="Courier New" w:eastAsia="Courier New" w:hAnsi="Courier New"/>
          <w:sz w:val="16"/>
          <w:szCs w:val="16"/>
          <w:color w:val="auto"/>
        </w:rPr>
        <w:t>On July 2, 2003, the Company acquired from Bell Canada ("Bell") its 90% ownership interest in Certen Inc. ("Certen", which was renamed Amdocs Canada Managed Services, Inc.) for approximately $66,000 in cash. In addition the Company had related transaction costs of approximately $5,000. The Company and Bell formed Certen in January 2001 to provide customer care and billing solutions to Bell and a number of Bell's affiliated companies. This acquisition expanded the Company's Managed Services operation and positioned it as a major provider of Managed Services to the communications industry, and was its next logical step in the evolution of the Company's relationship with Bell. In addition, as a result of this acquisition, the Company continued to develop an integrated billing platform to replace legacy systems built on a product-by-product basis. Prior to this acquisition, Bell's ownership interest in Certen was 90% and the Company owned the remainder. As a result of the acquisition, Certen is now a wholly owned subsidiary of the Company. Since Certen's inception, the Company has provided customer care and billing software required by Certen, including related customization, installation, maintenance and other services. The Company now has a major billing operations Managed Services agreement with Bell through December 2010.</w:t>
      </w:r>
    </w:p>
    <w:p>
      <w:pPr>
        <w:spacing w:after="0" w:line="293"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acquisition was accounted for using the purchase method of accounting, as required by SFAS No. 141. The fair market value of Certen's assets and liabilities has been included in the Company's consolidated balance sheet and the results of Certen's operations are included in the Company's consolidated statements of operations, commencing on July 2, 2003. The Company is in the process of obtaining a valuation of the intangible assets acquired in the Certen transaction. A final determination of purchase accounting adjustments will be made following the completion of the valuation. The total purchase price is being allocated to Certen's assets and liabilities, including identifiable intangible, based on their respective estimated fair values, on the date the transaction was consummated. Because the Company had a preexisting right to utilize the Amdocs billing software and customization prior to the acquisition, the software and customization on Certen's books has no value to the Company. The value of the acquired customer arrangement was made by applying the income forecast method. The value assigned to the customer arrangement was $33,415 and is being amortized over seven and half years commencing on July 2, 2003 (the remaining life of the Managed Services agreement). The excess of the purchase price over the fair value of the net assets and identifiable intangible acquired, or goodwill, was $104,796, which is not tax deductible. The goodwill is accounted for under SFAS No. 142. In accordance with SFAS No. 142, goodwill from acquisitions after June 30, 2001 is no longer amortized, but is subject to periodic impairment tests. As a result, goodwill associated with the acquisition of Certen is not amortized. In addition, deferred taxes were recognized for the difference between the book and tax basis of certain assets and liabilities.</w:t>
      </w:r>
    </w:p>
    <w:p>
      <w:pPr>
        <w:spacing w:after="0" w:line="200" w:lineRule="exact"/>
        <w:rPr>
          <w:sz w:val="20"/>
          <w:szCs w:val="20"/>
          <w:color w:val="auto"/>
        </w:rPr>
      </w:pPr>
    </w:p>
    <w:p>
      <w:pPr>
        <w:spacing w:after="0" w:line="295"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As mentioned above, prior to the acquisition Bell's ownership interest in Certen was 90% and the Company owned the remainder, and therefore the Company accounted for the investment in Certen under</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F-20</w:t>
      </w:r>
    </w:p>
    <w:p>
      <w:pPr>
        <w:sectPr>
          <w:pgSz w:w="11900" w:h="16838" w:orient="portrait"/>
          <w:cols w:equalWidth="0" w:num="1">
            <w:col w:w="10219"/>
          </w:cols>
          <w:pgMar w:left="240" w:top="488" w:right="1440" w:bottom="1440" w:gutter="0" w:footer="0" w:header="0"/>
        </w:sectPr>
      </w:pPr>
    </w:p>
    <w:bookmarkStart w:id="94" w:name="page95"/>
    <w:bookmarkEnd w:id="94"/>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the cost method for its 10% ownership. In the fourth quarter of 2003, the Company recognized its 10% share in Certen's results prior to the acquisition. The Company's share in Certen's pre-acquisition results was a charge of $4,133, and is included in "restructuring charges, in-process research and development and other" for the year ended September 30, 2003.</w:t>
      </w:r>
    </w:p>
    <w:p>
      <w:pPr>
        <w:spacing w:after="0" w:line="90"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The following is the preliminary allocation of the purchase price and deferred tax liability:</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Purchase price..............................................</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$ 65,887</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Estimated transaction costs...............................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Total purchase price......................................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70,887</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Write-off of deferred revenue and allowance on Amdocs</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(33,666)</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books, net of tax......................................</w:t>
            </w: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Net amount for purchase price allocation..................</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$ 37,221</w:t>
            </w:r>
          </w:p>
        </w:tc>
        <w:tc>
          <w:tcPr>
            <w:tcW w:w="0" w:type="dxa"/>
            <w:vAlign w:val="bottom"/>
          </w:tcPr>
          <w:p>
            <w:pPr>
              <w:spacing w:after="0"/>
              <w:rPr>
                <w:sz w:val="1"/>
                <w:szCs w:val="1"/>
                <w:color w:val="auto"/>
              </w:rPr>
            </w:pPr>
          </w:p>
        </w:tc>
      </w:tr>
      <w:tr>
        <w:trPr>
          <w:trHeight w:val="296"/>
        </w:trPr>
        <w:tc>
          <w:tcPr>
            <w:tcW w:w="6440" w:type="dxa"/>
            <w:vAlign w:val="bottom"/>
            <w:vMerge w:val="restart"/>
          </w:tcPr>
          <w:p>
            <w:pPr>
              <w:jc w:val="right"/>
              <w:ind w:right="3292"/>
              <w:spacing w:after="0"/>
              <w:rPr>
                <w:sz w:val="20"/>
                <w:szCs w:val="20"/>
                <w:color w:val="auto"/>
              </w:rPr>
            </w:pPr>
            <w:r>
              <w:rPr>
                <w:rFonts w:ascii="Courier New" w:cs="Courier New" w:eastAsia="Courier New" w:hAnsi="Courier New"/>
                <w:sz w:val="18"/>
                <w:szCs w:val="18"/>
                <w:color w:val="auto"/>
                <w:w w:val="97"/>
              </w:rPr>
              <w:t>Allocation of purchase price:</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64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90% tangible assets acquired, net of capitalized Amdocs</w:t>
            </w: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$ 87,769</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system on Certen's books...............................</w:t>
            </w: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 liabilities assumed...................................</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(244,112)</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Net tangible assets.......................................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(156,343)</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Customer arrangement......................................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33,415</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 to fair value of pension and other</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(10,202)</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post-employment benefit liabilities....................</w:t>
            </w: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EITF 95-3 and other liabilities...........................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(8,704)</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taxes resulting from the difference between the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assigned value of certain assets and liabilities and</w:t>
            </w: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74,259</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their respective tax bases.............................</w:t>
            </w: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Net fair value of tangible assets acquired................</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(67,575)</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Goodwill..................................................</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104,796</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$ 37,221</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Set forth below is the unaudited pro forma revenue, operating income, net income (loss) and per share figures for the years ended September 30, 2003, 2002 and 2001, as if Clarify had been acquired as of October 1, 2000 and as if Certen had been acquired as of October 1, 2001 excluding the write-off of purchased in-process research and development:</w:t>
      </w:r>
    </w:p>
    <w:p>
      <w:pPr>
        <w:spacing w:after="0" w:line="90"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--------------------- 2003 2002 2001 ---</w:t>
      </w:r>
    </w:p>
    <w:p>
      <w:pPr>
        <w:ind w:left="640"/>
        <w:spacing w:after="0" w:line="238" w:lineRule="auto"/>
        <w:rPr>
          <w:sz w:val="20"/>
          <w:szCs w:val="20"/>
          <w:color w:val="auto"/>
        </w:rPr>
      </w:pPr>
      <w:r>
        <w:rPr>
          <w:rFonts w:ascii="Courier New" w:cs="Courier New" w:eastAsia="Courier New" w:hAnsi="Courier New"/>
          <w:sz w:val="18"/>
          <w:szCs w:val="18"/>
          <w:color w:val="auto"/>
        </w:rPr>
        <w:t>------- ---------- ----------</w:t>
      </w:r>
    </w:p>
    <w:tbl>
      <w:tblPr>
        <w:tblLayout w:type="fixed"/>
        <w:tblInd w:w="0" w:type="dxa"/>
        <w:tblCellMar>
          <w:top w:w="0" w:type="dxa"/>
          <w:left w:w="0" w:type="dxa"/>
          <w:bottom w:w="0" w:type="dxa"/>
          <w:right w:w="0" w:type="dxa"/>
        </w:tblCellMar>
      </w:tblPr>
      <w:tr>
        <w:trPr>
          <w:trHeight w:val="171"/>
        </w:trPr>
        <w:tc>
          <w:tcPr>
            <w:tcW w:w="1640" w:type="dxa"/>
            <w:vAlign w:val="bottom"/>
          </w:tcPr>
          <w:p>
            <w:pPr>
              <w:jc w:val="right"/>
              <w:spacing w:after="0"/>
              <w:rPr>
                <w:sz w:val="20"/>
                <w:szCs w:val="20"/>
                <w:color w:val="auto"/>
              </w:rPr>
            </w:pPr>
            <w:r>
              <w:rPr>
                <w:rFonts w:ascii="Courier New" w:cs="Courier New" w:eastAsia="Courier New" w:hAnsi="Courier New"/>
                <w:sz w:val="9"/>
                <w:szCs w:val="9"/>
                <w:color w:val="auto"/>
                <w:w w:val="73"/>
              </w:rPr>
              <w:t>Revenue..................................</w:t>
            </w:r>
          </w:p>
        </w:tc>
        <w:tc>
          <w:tcPr>
            <w:tcW w:w="262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6"/>
              </w:rPr>
              <w:t>$1,774,678 $1,776,063</w:t>
            </w:r>
          </w:p>
        </w:tc>
        <w:tc>
          <w:tcPr>
            <w:tcW w:w="0" w:type="dxa"/>
            <w:vAlign w:val="bottom"/>
          </w:tcPr>
          <w:p>
            <w:pPr>
              <w:spacing w:after="0"/>
              <w:rPr>
                <w:sz w:val="1"/>
                <w:szCs w:val="1"/>
                <w:color w:val="auto"/>
              </w:rPr>
            </w:pPr>
          </w:p>
        </w:tc>
      </w:tr>
      <w:tr>
        <w:trPr>
          <w:trHeight w:val="203"/>
        </w:trPr>
        <w:tc>
          <w:tcPr>
            <w:tcW w:w="164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$1,621,957</w:t>
            </w: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Operating income</w:t>
            </w:r>
          </w:p>
        </w:tc>
        <w:tc>
          <w:tcPr>
            <w:tcW w:w="0" w:type="dxa"/>
            <w:vAlign w:val="bottom"/>
          </w:tcPr>
          <w:p>
            <w:pPr>
              <w:spacing w:after="0"/>
              <w:rPr>
                <w:sz w:val="1"/>
                <w:szCs w:val="1"/>
                <w:color w:val="auto"/>
              </w:rPr>
            </w:pP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w w:val="70"/>
              </w:rPr>
              <w:t>(loss)..................</w:t>
            </w:r>
          </w:p>
        </w:tc>
        <w:tc>
          <w:tcPr>
            <w:tcW w:w="2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189,978 (5,835)</w:t>
            </w:r>
          </w:p>
        </w:tc>
        <w:tc>
          <w:tcPr>
            <w:tcW w:w="0" w:type="dxa"/>
            <w:vAlign w:val="bottom"/>
          </w:tcPr>
          <w:p>
            <w:pPr>
              <w:spacing w:after="0"/>
              <w:rPr>
                <w:sz w:val="1"/>
                <w:szCs w:val="1"/>
                <w:color w:val="auto"/>
              </w:rPr>
            </w:pPr>
          </w:p>
        </w:tc>
      </w:tr>
      <w:tr>
        <w:trPr>
          <w:trHeight w:val="203"/>
        </w:trPr>
        <w:tc>
          <w:tcPr>
            <w:tcW w:w="4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27,218 Net income</w:t>
            </w:r>
          </w:p>
        </w:tc>
        <w:tc>
          <w:tcPr>
            <w:tcW w:w="0" w:type="dxa"/>
            <w:vAlign w:val="bottom"/>
          </w:tcPr>
          <w:p>
            <w:pPr>
              <w:spacing w:after="0"/>
              <w:rPr>
                <w:sz w:val="1"/>
                <w:szCs w:val="1"/>
                <w:color w:val="auto"/>
              </w:rPr>
            </w:pPr>
          </w:p>
        </w:tc>
      </w:tr>
      <w:tr>
        <w:trPr>
          <w:trHeight w:val="235"/>
        </w:trPr>
        <w:tc>
          <w:tcPr>
            <w:tcW w:w="1640" w:type="dxa"/>
            <w:vAlign w:val="bottom"/>
          </w:tcPr>
          <w:p>
            <w:pPr>
              <w:jc w:val="right"/>
              <w:spacing w:after="0"/>
              <w:rPr>
                <w:sz w:val="20"/>
                <w:szCs w:val="20"/>
                <w:color w:val="auto"/>
              </w:rPr>
            </w:pPr>
            <w:r>
              <w:rPr>
                <w:rFonts w:ascii="Courier New" w:cs="Courier New" w:eastAsia="Courier New" w:hAnsi="Courier New"/>
                <w:sz w:val="12"/>
                <w:szCs w:val="12"/>
                <w:color w:val="auto"/>
                <w:w w:val="74"/>
              </w:rPr>
              <w:t>(loss)........................</w:t>
            </w:r>
          </w:p>
        </w:tc>
        <w:tc>
          <w:tcPr>
            <w:tcW w:w="2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151,441</w:t>
            </w:r>
          </w:p>
        </w:tc>
        <w:tc>
          <w:tcPr>
            <w:tcW w:w="0" w:type="dxa"/>
            <w:vAlign w:val="bottom"/>
          </w:tcPr>
          <w:p>
            <w:pPr>
              <w:spacing w:after="0"/>
              <w:rPr>
                <w:sz w:val="1"/>
                <w:szCs w:val="1"/>
                <w:color w:val="auto"/>
              </w:rPr>
            </w:pPr>
          </w:p>
        </w:tc>
      </w:tr>
    </w:tbl>
    <w:p>
      <w:pPr>
        <w:ind w:left="100"/>
        <w:spacing w:after="0" w:line="238" w:lineRule="auto"/>
        <w:rPr>
          <w:sz w:val="20"/>
          <w:szCs w:val="20"/>
          <w:color w:val="auto"/>
        </w:rPr>
      </w:pPr>
      <w:r>
        <w:rPr>
          <w:rFonts w:ascii="Courier New" w:cs="Courier New" w:eastAsia="Courier New" w:hAnsi="Courier New"/>
          <w:sz w:val="18"/>
          <w:szCs w:val="18"/>
          <w:color w:val="auto"/>
        </w:rPr>
        <w:t>(44,097) (33,521) Basic earnings (loss)</w:t>
      </w:r>
    </w:p>
    <w:p>
      <w:pPr>
        <w:jc w:val="center"/>
        <w:ind w:right="5899"/>
        <w:spacing w:after="0"/>
        <w:rPr>
          <w:sz w:val="20"/>
          <w:szCs w:val="20"/>
          <w:color w:val="auto"/>
        </w:rPr>
      </w:pPr>
      <w:r>
        <w:rPr>
          <w:rFonts w:ascii="Courier New" w:cs="Courier New" w:eastAsia="Courier New" w:hAnsi="Courier New"/>
          <w:sz w:val="18"/>
          <w:szCs w:val="18"/>
          <w:color w:val="auto"/>
        </w:rPr>
        <w:t>per share.......... 0.70 (0.20) (0.15)</w:t>
      </w:r>
    </w:p>
    <w:p>
      <w:pPr>
        <w:jc w:val="center"/>
        <w:ind w:right="5899"/>
        <w:spacing w:after="0" w:line="238" w:lineRule="auto"/>
        <w:rPr>
          <w:sz w:val="20"/>
          <w:szCs w:val="20"/>
          <w:color w:val="auto"/>
        </w:rPr>
      </w:pPr>
      <w:r>
        <w:rPr>
          <w:rFonts w:ascii="Courier New" w:cs="Courier New" w:eastAsia="Courier New" w:hAnsi="Courier New"/>
          <w:sz w:val="18"/>
          <w:szCs w:val="18"/>
          <w:color w:val="auto"/>
        </w:rPr>
        <w:t>Diluted earnings (loss) per</w:t>
      </w:r>
    </w:p>
    <w:p>
      <w:pPr>
        <w:jc w:val="center"/>
        <w:ind w:right="5899"/>
        <w:spacing w:after="0"/>
        <w:rPr>
          <w:sz w:val="20"/>
          <w:szCs w:val="20"/>
          <w:color w:val="auto"/>
        </w:rPr>
      </w:pPr>
      <w:r>
        <w:rPr>
          <w:rFonts w:ascii="Courier New" w:cs="Courier New" w:eastAsia="Courier New" w:hAnsi="Courier New"/>
          <w:sz w:val="18"/>
          <w:szCs w:val="18"/>
          <w:color w:val="auto"/>
        </w:rPr>
        <w:t>share........ 0.69 (0.20) (0.15)</w:t>
      </w:r>
    </w:p>
    <w:p>
      <w:pPr>
        <w:spacing w:after="0" w:line="372" w:lineRule="exact"/>
        <w:rPr>
          <w:sz w:val="20"/>
          <w:szCs w:val="20"/>
          <w:color w:val="auto"/>
        </w:rPr>
      </w:pPr>
    </w:p>
    <w:p>
      <w:pPr>
        <w:ind w:right="1999" w:firstLine="527"/>
        <w:spacing w:after="0" w:line="289" w:lineRule="auto"/>
        <w:rPr>
          <w:sz w:val="20"/>
          <w:szCs w:val="20"/>
          <w:color w:val="auto"/>
        </w:rPr>
      </w:pPr>
      <w:r>
        <w:rPr>
          <w:rFonts w:ascii="Courier New" w:cs="Courier New" w:eastAsia="Courier New" w:hAnsi="Courier New"/>
          <w:sz w:val="16"/>
          <w:szCs w:val="16"/>
          <w:color w:val="auto"/>
        </w:rPr>
        <w:t>As a result of SFAS No. 142, goodwill associated with acquisitions completed after June 30, 2001 is not amortized and, accordingly, the pro forma</w:t>
      </w:r>
    </w:p>
    <w:p>
      <w:pPr>
        <w:spacing w:after="0" w:line="1" w:lineRule="exact"/>
        <w:rPr>
          <w:sz w:val="20"/>
          <w:szCs w:val="20"/>
          <w:color w:val="auto"/>
        </w:rPr>
      </w:pPr>
    </w:p>
    <w:p>
      <w:pPr>
        <w:ind w:right="2099"/>
        <w:spacing w:after="0" w:line="309" w:lineRule="auto"/>
        <w:rPr>
          <w:sz w:val="20"/>
          <w:szCs w:val="20"/>
          <w:color w:val="auto"/>
        </w:rPr>
      </w:pPr>
      <w:r>
        <w:rPr>
          <w:rFonts w:ascii="Courier New" w:cs="Courier New" w:eastAsia="Courier New" w:hAnsi="Courier New"/>
          <w:sz w:val="18"/>
          <w:szCs w:val="18"/>
          <w:color w:val="auto"/>
        </w:rPr>
        <w:t>information above reflects no amortization of goodwill related to the Clarify and Certen acquisitions.</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RELATED PARTY TRANSACTIONS</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financial information presented below includes balances with SBC Communications, Inc. ("SBC") and Certen, prior to its acquisition by the Company in July 2003. During the quarter ended</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F-21</w:t>
      </w:r>
    </w:p>
    <w:p>
      <w:pPr>
        <w:sectPr>
          <w:pgSz w:w="11900" w:h="16838" w:orient="portrait"/>
          <w:cols w:equalWidth="0" w:num="1">
            <w:col w:w="10219"/>
          </w:cols>
          <w:pgMar w:left="240" w:top="488" w:right="1440" w:bottom="0" w:gutter="0" w:footer="0" w:header="0"/>
        </w:sectPr>
      </w:pPr>
    </w:p>
    <w:bookmarkStart w:id="95" w:name="page96"/>
    <w:bookmarkEnd w:id="95"/>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December 31, 2002, SBC ceased to be a principal shareholder of the Company, according to SFAS No. 57, "Related Party Disclosures", and thus is no longer a related party.</w:t>
      </w:r>
    </w:p>
    <w:p>
      <w:pPr>
        <w:spacing w:after="0" w:line="66"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The following related party balances are included in the consolidated balance sheet as of September 30, 2002:</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gridSpan w:val="2"/>
          </w:tcPr>
          <w:p>
            <w:pPr>
              <w:spacing w:after="0"/>
              <w:rPr>
                <w:sz w:val="20"/>
                <w:szCs w:val="20"/>
                <w:color w:val="auto"/>
              </w:rPr>
            </w:pPr>
            <w:r>
              <w:rPr>
                <w:rFonts w:ascii="Courier New" w:cs="Courier New" w:eastAsia="Courier New" w:hAnsi="Courier New"/>
                <w:sz w:val="18"/>
                <w:szCs w:val="18"/>
                <w:color w:val="auto"/>
                <w:w w:val="99"/>
              </w:rPr>
              <w:t>Accounts receivable.........................................</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$55,458</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Prepaid expenses</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and other current assets(1)................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1,550</w:t>
            </w:r>
          </w:p>
        </w:tc>
      </w:tr>
      <w:tr>
        <w:trPr>
          <w:trHeight w:val="296"/>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Other noncurrent</w:t>
            </w:r>
          </w:p>
        </w:tc>
        <w:tc>
          <w:tcPr>
            <w:tcW w:w="4700" w:type="dxa"/>
            <w:vAlign w:val="bottom"/>
          </w:tcPr>
          <w:p>
            <w:pPr>
              <w:ind w:left="60"/>
              <w:spacing w:after="0"/>
              <w:rPr>
                <w:sz w:val="20"/>
                <w:szCs w:val="20"/>
                <w:color w:val="auto"/>
              </w:rPr>
            </w:pPr>
            <w:r>
              <w:rPr>
                <w:rFonts w:ascii="Courier New" w:cs="Courier New" w:eastAsia="Courier New" w:hAnsi="Courier New"/>
                <w:sz w:val="18"/>
                <w:szCs w:val="18"/>
                <w:color w:val="auto"/>
                <w:w w:val="99"/>
              </w:rPr>
              <w:t>assets(2)..................................</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48,453</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1879" w:hanging="412"/>
        <w:spacing w:after="0" w:line="309" w:lineRule="auto"/>
        <w:tabs>
          <w:tab w:leader="none" w:pos="4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interest receivable accrued on convertible debentures issued to the Company by Certen.</w:t>
      </w:r>
    </w:p>
    <w:p>
      <w:pPr>
        <w:spacing w:after="0" w:line="50" w:lineRule="exact"/>
        <w:rPr>
          <w:rFonts w:ascii="Courier New" w:cs="Courier New" w:eastAsia="Courier New" w:hAnsi="Courier New"/>
          <w:sz w:val="18"/>
          <w:szCs w:val="18"/>
          <w:color w:val="auto"/>
        </w:rPr>
      </w:pPr>
    </w:p>
    <w:p>
      <w:pPr>
        <w:ind w:left="420" w:right="1879" w:hanging="412"/>
        <w:spacing w:after="0" w:line="274" w:lineRule="auto"/>
        <w:tabs>
          <w:tab w:leader="none" w:pos="4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an investment by the Company in equity and convertible debentures of Certen. The investment in Certen was accounted for under the cost method, based on the Company's 10% ownership of Certen as of September 30, 2002.</w:t>
      </w:r>
    </w:p>
    <w:p>
      <w:pPr>
        <w:spacing w:after="0" w:line="82" w:lineRule="exact"/>
        <w:rPr>
          <w:sz w:val="20"/>
          <w:szCs w:val="20"/>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The Company has licensed software and provided computer systems integration and related services to affiliates of SBC and to Certen. The following related party revenue is included in the consolidated statements of operations:</w:t>
      </w:r>
    </w:p>
    <w:p>
      <w:pPr>
        <w:spacing w:after="0" w:line="3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1"/>
        </w:trPr>
        <w:tc>
          <w:tcPr>
            <w:tcW w:w="4000" w:type="dxa"/>
            <w:vAlign w:val="bottom"/>
            <w:gridSpan w:val="2"/>
          </w:tcPr>
          <w:p>
            <w:pPr>
              <w:ind w:left="60"/>
              <w:spacing w:after="0" w:line="201" w:lineRule="exact"/>
              <w:rPr>
                <w:sz w:val="20"/>
                <w:szCs w:val="20"/>
                <w:color w:val="auto"/>
              </w:rPr>
            </w:pPr>
            <w:r>
              <w:rPr>
                <w:rFonts w:ascii="Courier New" w:cs="Courier New" w:eastAsia="Courier New" w:hAnsi="Courier New"/>
                <w:sz w:val="18"/>
                <w:szCs w:val="18"/>
                <w:color w:val="auto"/>
                <w:w w:val="98"/>
              </w:rPr>
              <w:t>------------- 2003 2002 2001 --------</w:t>
            </w:r>
          </w:p>
        </w:tc>
        <w:tc>
          <w:tcPr>
            <w:tcW w:w="48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tcPr>
          <w:p>
            <w:pPr>
              <w:ind w:left="1120"/>
              <w:spacing w:after="0" w:line="203" w:lineRule="exact"/>
              <w:rPr>
                <w:sz w:val="20"/>
                <w:szCs w:val="20"/>
                <w:color w:val="auto"/>
              </w:rPr>
            </w:pPr>
            <w:r>
              <w:rPr>
                <w:rFonts w:ascii="Courier New" w:cs="Courier New" w:eastAsia="Courier New" w:hAnsi="Courier New"/>
                <w:sz w:val="18"/>
                <w:szCs w:val="18"/>
                <w:color w:val="auto"/>
              </w:rPr>
              <w:t>---- -------- Revenue:</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Courier New" w:cs="Courier New" w:eastAsia="Courier New" w:hAnsi="Courier New"/>
                <w:sz w:val="14"/>
                <w:szCs w:val="14"/>
                <w:color w:val="auto"/>
                <w:w w:val="74"/>
              </w:rPr>
              <w:t>License....................................</w:t>
            </w:r>
          </w:p>
        </w:tc>
        <w:tc>
          <w:tcPr>
            <w:tcW w:w="13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9"/>
              </w:rPr>
              <w:t>$ 37,356</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9"/>
              </w:rPr>
              <w:t>$ 3,827 $ 30,551</w:t>
            </w:r>
          </w:p>
        </w:tc>
        <w:tc>
          <w:tcPr>
            <w:tcW w:w="13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Courier New" w:cs="Courier New" w:eastAsia="Courier New" w:hAnsi="Courier New"/>
                <w:sz w:val="14"/>
                <w:szCs w:val="14"/>
                <w:color w:val="auto"/>
                <w:w w:val="74"/>
              </w:rPr>
              <w:t>Service....................................</w:t>
            </w:r>
          </w:p>
        </w:tc>
        <w:tc>
          <w:tcPr>
            <w:tcW w:w="130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w w:val="92"/>
              </w:rPr>
              <w:t>264,278</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00" w:type="dxa"/>
            <w:vAlign w:val="bottom"/>
          </w:tcPr>
          <w:p>
            <w:pPr>
              <w:ind w:left="1120"/>
              <w:spacing w:after="0"/>
              <w:rPr>
                <w:sz w:val="20"/>
                <w:szCs w:val="20"/>
                <w:color w:val="auto"/>
              </w:rPr>
            </w:pPr>
            <w:r>
              <w:rPr>
                <w:rFonts w:ascii="Courier New" w:cs="Courier New" w:eastAsia="Courier New" w:hAnsi="Courier New"/>
                <w:sz w:val="18"/>
                <w:szCs w:val="18"/>
                <w:color w:val="auto"/>
              </w:rPr>
              <w:t>84,122 314,341</w:t>
            </w:r>
          </w:p>
        </w:tc>
        <w:tc>
          <w:tcPr>
            <w:tcW w:w="13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 year ended September 30, 2003 includes license and service revenue related only to Certen through the acquisition date, July 2, 2003. The years ended September 30, 2002 and 2001 include license and service revenue related to SBC and Certen.</w:t>
      </w:r>
    </w:p>
    <w:p>
      <w:pPr>
        <w:spacing w:after="0" w:line="82"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The following related party expenses are included in the consolidated statements of operations:</w:t>
      </w:r>
    </w:p>
    <w:p>
      <w:pPr>
        <w:spacing w:after="0" w:line="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--------- 2003 2002 2001 ------ ------ -</w:t>
      </w:r>
    </w:p>
    <w:p>
      <w:pPr>
        <w:ind w:right="5899" w:firstLine="266"/>
        <w:spacing w:after="0" w:line="268" w:lineRule="auto"/>
        <w:tabs>
          <w:tab w:leader="none" w:pos="89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expenses(1): Cost of service..................................</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$2,642 $3,232 Selling, general and</w:t>
      </w:r>
    </w:p>
    <w:tbl>
      <w:tblPr>
        <w:tblLayout w:type="fixed"/>
        <w:tblInd w:w="100" w:type="dxa"/>
        <w:tblCellMar>
          <w:top w:w="0" w:type="dxa"/>
          <w:left w:w="0" w:type="dxa"/>
          <w:bottom w:w="0" w:type="dxa"/>
          <w:right w:w="0" w:type="dxa"/>
        </w:tblCellMar>
      </w:tblPr>
      <w:tr>
        <w:trPr>
          <w:trHeight w:val="171"/>
        </w:trPr>
        <w:tc>
          <w:tcPr>
            <w:tcW w:w="1480" w:type="dxa"/>
            <w:vAlign w:val="bottom"/>
          </w:tcPr>
          <w:p>
            <w:pPr>
              <w:spacing w:after="0" w:line="171" w:lineRule="exact"/>
              <w:rPr>
                <w:sz w:val="20"/>
                <w:szCs w:val="20"/>
                <w:color w:val="auto"/>
              </w:rPr>
            </w:pPr>
            <w:r>
              <w:rPr>
                <w:rFonts w:ascii="Courier New" w:cs="Courier New" w:eastAsia="Courier New" w:hAnsi="Courier New"/>
                <w:sz w:val="18"/>
                <w:szCs w:val="18"/>
                <w:color w:val="auto"/>
                <w:w w:val="96"/>
              </w:rPr>
              <w:t>administrative</w:t>
            </w:r>
          </w:p>
        </w:tc>
        <w:tc>
          <w:tcPr>
            <w:tcW w:w="264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97"/>
              </w:rPr>
              <w:t>.............. -- 336 663</w:t>
            </w:r>
          </w:p>
        </w:tc>
      </w:tr>
      <w:tr>
        <w:trPr>
          <w:trHeight w:val="203"/>
        </w:trPr>
        <w:tc>
          <w:tcPr>
            <w:tcW w:w="4120" w:type="dxa"/>
            <w:vAlign w:val="bottom"/>
            <w:gridSpan w:val="2"/>
          </w:tcPr>
          <w:p>
            <w:pPr>
              <w:ind w:left="700"/>
              <w:spacing w:after="0" w:line="203" w:lineRule="exact"/>
              <w:rPr>
                <w:sz w:val="20"/>
                <w:szCs w:val="20"/>
                <w:color w:val="auto"/>
              </w:rPr>
            </w:pPr>
            <w:r>
              <w:rPr>
                <w:rFonts w:ascii="Courier New" w:cs="Courier New" w:eastAsia="Courier New" w:hAnsi="Courier New"/>
                <w:sz w:val="18"/>
                <w:szCs w:val="18"/>
                <w:color w:val="auto"/>
              </w:rPr>
              <w:t>Interest income and other,</w:t>
            </w:r>
          </w:p>
        </w:tc>
      </w:tr>
      <w:tr>
        <w:trPr>
          <w:trHeight w:val="296"/>
        </w:trPr>
        <w:tc>
          <w:tcPr>
            <w:tcW w:w="1480" w:type="dxa"/>
            <w:vAlign w:val="bottom"/>
          </w:tcPr>
          <w:p>
            <w:pPr>
              <w:spacing w:after="0"/>
              <w:rPr>
                <w:sz w:val="20"/>
                <w:szCs w:val="20"/>
                <w:color w:val="auto"/>
              </w:rPr>
            </w:pPr>
            <w:r>
              <w:rPr>
                <w:rFonts w:ascii="Courier New" w:cs="Courier New" w:eastAsia="Courier New" w:hAnsi="Courier New"/>
                <w:sz w:val="14"/>
                <w:szCs w:val="14"/>
                <w:color w:val="auto"/>
                <w:w w:val="72"/>
              </w:rPr>
              <w:t>net(2)..................</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1,662 1,886 89</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2319" w:hanging="412"/>
        <w:spacing w:after="0" w:line="378" w:lineRule="auto"/>
        <w:tabs>
          <w:tab w:leader="none" w:pos="4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leased office space on a month-to-month basis and purchases other miscellaneous support services from affiliates of SBC.</w:t>
      </w:r>
    </w:p>
    <w:p>
      <w:pPr>
        <w:spacing w:after="0" w:line="4" w:lineRule="exact"/>
        <w:rPr>
          <w:rFonts w:ascii="Courier New" w:cs="Courier New" w:eastAsia="Courier New" w:hAnsi="Courier New"/>
          <w:sz w:val="16"/>
          <w:szCs w:val="16"/>
          <w:color w:val="auto"/>
        </w:rPr>
      </w:pPr>
    </w:p>
    <w:p>
      <w:pPr>
        <w:ind w:left="420" w:right="1779" w:hanging="412"/>
        <w:spacing w:after="0" w:line="306" w:lineRule="auto"/>
        <w:tabs>
          <w:tab w:leader="none" w:pos="4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interest and exchange rate differences, net of hedging, on the convertible debentures of Certen for the years ended September 30, 2002 and 2001, and for the year ended September 30, 2003 only through the acquisition date, July 2, 2003. Absent hedging, these amounts would be $9,344, $1,402 and $89 for the years ended September 30, 2003, 2002 and 2001, respectively.</w:t>
      </w:r>
    </w:p>
    <w:p>
      <w:pPr>
        <w:spacing w:after="0" w:line="6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F-22</w:t>
      </w:r>
    </w:p>
    <w:p>
      <w:pPr>
        <w:sectPr>
          <w:pgSz w:w="11900" w:h="16838" w:orient="portrait"/>
          <w:cols w:equalWidth="0" w:num="1">
            <w:col w:w="10219"/>
          </w:cols>
          <w:pgMar w:left="240" w:top="488" w:right="1440" w:bottom="1440" w:gutter="0" w:footer="0" w:header="0"/>
        </w:sectPr>
      </w:pPr>
    </w:p>
    <w:bookmarkStart w:id="96" w:name="page97"/>
    <w:bookmarkEnd w:id="9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 SHORT-TERM INTEREST-BEARING INVESTMENTS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Short-term interest-bearing investments consisted of the following:</w:t>
      </w:r>
    </w:p>
    <w:p>
      <w:pPr>
        <w:spacing w:after="0" w:line="201"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AMORTIZED COST MARKET VALUE AS OF</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SEPTEMBER 30, AS OF SEPTEMBER 30, --------</w:t>
      </w:r>
    </w:p>
    <w:tbl>
      <w:tblPr>
        <w:tblLayout w:type="fixed"/>
        <w:tblInd w:w="60" w:type="dxa"/>
        <w:tblCellMar>
          <w:top w:w="0" w:type="dxa"/>
          <w:left w:w="0" w:type="dxa"/>
          <w:bottom w:w="0" w:type="dxa"/>
          <w:right w:w="0" w:type="dxa"/>
        </w:tblCellMar>
      </w:tblPr>
      <w:tr>
        <w:trPr>
          <w:trHeight w:val="171"/>
        </w:trPr>
        <w:tc>
          <w:tcPr>
            <w:tcW w:w="9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72"/>
                <w:vertAlign w:val="subscript"/>
              </w:rPr>
              <w:t>2003</w:t>
            </w:r>
            <w:r>
              <w:rPr>
                <w:rFonts w:ascii="Courier New" w:cs="Courier New" w:eastAsia="Courier New" w:hAnsi="Courier New"/>
                <w:sz w:val="11"/>
                <w:szCs w:val="11"/>
                <w:color w:val="auto"/>
                <w:w w:val="72"/>
              </w:rPr>
              <w:t>-----------</w:t>
            </w:r>
            <w:r>
              <w:rPr>
                <w:rFonts w:ascii="Courier New" w:cs="Courier New" w:eastAsia="Courier New" w:hAnsi="Courier New"/>
                <w:sz w:val="17"/>
                <w:szCs w:val="17"/>
                <w:color w:val="auto"/>
                <w:w w:val="72"/>
                <w:vertAlign w:val="subscript"/>
              </w:rPr>
              <w:t>2002</w:t>
            </w:r>
          </w:p>
        </w:tc>
        <w:tc>
          <w:tcPr>
            <w:tcW w:w="3480" w:type="dxa"/>
            <w:vAlign w:val="bottom"/>
            <w:gridSpan w:val="2"/>
          </w:tcPr>
          <w:p>
            <w:pPr>
              <w:jc w:val="right"/>
              <w:spacing w:after="0" w:line="170" w:lineRule="exact"/>
              <w:rPr>
                <w:sz w:val="20"/>
                <w:szCs w:val="20"/>
                <w:color w:val="auto"/>
              </w:rPr>
            </w:pPr>
            <w:r>
              <w:rPr>
                <w:rFonts w:ascii="Courier New" w:cs="Courier New" w:eastAsia="Courier New" w:hAnsi="Courier New"/>
                <w:sz w:val="18"/>
                <w:szCs w:val="18"/>
                <w:color w:val="auto"/>
              </w:rPr>
              <w:t>------------------- 2003 2002</w:t>
            </w:r>
          </w:p>
        </w:tc>
        <w:tc>
          <w:tcPr>
            <w:tcW w:w="0" w:type="dxa"/>
            <w:vAlign w:val="bottom"/>
          </w:tcPr>
          <w:p>
            <w:pPr>
              <w:spacing w:after="0"/>
              <w:rPr>
                <w:sz w:val="1"/>
                <w:szCs w:val="1"/>
                <w:color w:val="auto"/>
              </w:rPr>
            </w:pPr>
          </w:p>
        </w:tc>
      </w:tr>
      <w:tr>
        <w:trPr>
          <w:trHeight w:val="203"/>
        </w:trPr>
        <w:tc>
          <w:tcPr>
            <w:tcW w:w="940" w:type="dxa"/>
            <w:vAlign w:val="bottom"/>
            <w:vMerge w:val="continue"/>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3480" w:type="dxa"/>
            <w:vAlign w:val="bottom"/>
            <w:gridSpan w:val="2"/>
          </w:tcPr>
          <w:p>
            <w:pPr>
              <w:jc w:val="right"/>
              <w:ind w:right="1552"/>
              <w:spacing w:after="0" w:line="203" w:lineRule="exact"/>
              <w:rPr>
                <w:sz w:val="20"/>
                <w:szCs w:val="20"/>
                <w:color w:val="auto"/>
              </w:rPr>
            </w:pPr>
            <w:r>
              <w:rPr>
                <w:rFonts w:ascii="Courier New" w:cs="Courier New" w:eastAsia="Courier New" w:hAnsi="Courier New"/>
                <w:sz w:val="18"/>
                <w:szCs w:val="18"/>
                <w:color w:val="auto"/>
              </w:rPr>
              <w:t>--- Federal</w:t>
            </w:r>
          </w:p>
        </w:tc>
        <w:tc>
          <w:tcPr>
            <w:tcW w:w="0" w:type="dxa"/>
            <w:vAlign w:val="bottom"/>
          </w:tcPr>
          <w:p>
            <w:pPr>
              <w:spacing w:after="0"/>
              <w:rPr>
                <w:sz w:val="1"/>
                <w:szCs w:val="1"/>
                <w:color w:val="auto"/>
              </w:rPr>
            </w:pP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agencies...........................</w:t>
            </w:r>
          </w:p>
        </w:tc>
        <w:tc>
          <w:tcPr>
            <w:tcW w:w="2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9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50,371</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$110,743</w:t>
            </w:r>
          </w:p>
        </w:tc>
        <w:tc>
          <w:tcPr>
            <w:tcW w:w="25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$ 50,403 $112,092 U.S.</w:t>
            </w:r>
          </w:p>
        </w:tc>
        <w:tc>
          <w:tcPr>
            <w:tcW w:w="0" w:type="dxa"/>
            <w:vAlign w:val="bottom"/>
          </w:tcPr>
          <w:p>
            <w:pPr>
              <w:spacing w:after="0"/>
              <w:rPr>
                <w:sz w:val="1"/>
                <w:szCs w:val="1"/>
                <w:color w:val="auto"/>
              </w:rPr>
            </w:pPr>
          </w:p>
        </w:tc>
      </w:tr>
    </w:tbl>
    <w:p>
      <w:pPr>
        <w:ind w:left="260"/>
        <w:spacing w:after="0" w:line="238" w:lineRule="auto"/>
        <w:rPr>
          <w:sz w:val="20"/>
          <w:szCs w:val="20"/>
          <w:color w:val="auto"/>
        </w:rPr>
      </w:pPr>
      <w:r>
        <w:rPr>
          <w:rFonts w:ascii="Courier New" w:cs="Courier New" w:eastAsia="Courier New" w:hAnsi="Courier New"/>
          <w:sz w:val="18"/>
          <w:szCs w:val="18"/>
          <w:color w:val="auto"/>
        </w:rPr>
        <w:t>government treasuries.................</w:t>
      </w:r>
    </w:p>
    <w:p>
      <w:pPr>
        <w:ind w:left="320"/>
        <w:spacing w:after="0"/>
        <w:rPr>
          <w:sz w:val="20"/>
          <w:szCs w:val="20"/>
          <w:color w:val="auto"/>
        </w:rPr>
      </w:pPr>
      <w:r>
        <w:rPr>
          <w:rFonts w:ascii="Courier New" w:cs="Courier New" w:eastAsia="Courier New" w:hAnsi="Courier New"/>
          <w:sz w:val="18"/>
          <w:szCs w:val="18"/>
          <w:color w:val="auto"/>
        </w:rPr>
        <w:t>23,373 77,279 23,674 79,276 Corporate</w:t>
      </w:r>
    </w:p>
    <w:tbl>
      <w:tblPr>
        <w:tblLayout w:type="fixed"/>
        <w:tblInd w:w="120" w:type="dxa"/>
        <w:tblCellMar>
          <w:top w:w="0" w:type="dxa"/>
          <w:left w:w="0" w:type="dxa"/>
          <w:bottom w:w="0" w:type="dxa"/>
          <w:right w:w="0" w:type="dxa"/>
        </w:tblCellMar>
      </w:tblPr>
      <w:tr>
        <w:trPr>
          <w:trHeight w:val="171"/>
        </w:trPr>
        <w:tc>
          <w:tcPr>
            <w:tcW w:w="3540" w:type="dxa"/>
            <w:vAlign w:val="bottom"/>
          </w:tcPr>
          <w:p>
            <w:pPr>
              <w:spacing w:after="0" w:line="170" w:lineRule="exact"/>
              <w:rPr>
                <w:sz w:val="20"/>
                <w:szCs w:val="20"/>
                <w:color w:val="auto"/>
              </w:rPr>
            </w:pPr>
            <w:r>
              <w:rPr>
                <w:rFonts w:ascii="Courier New" w:cs="Courier New" w:eastAsia="Courier New" w:hAnsi="Courier New"/>
                <w:sz w:val="18"/>
                <w:szCs w:val="18"/>
                <w:color w:val="auto"/>
                <w:w w:val="98"/>
              </w:rPr>
              <w:t>backed obligations...............</w:t>
            </w:r>
          </w:p>
        </w:tc>
        <w:tc>
          <w:tcPr>
            <w:tcW w:w="76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w w:val="97"/>
              </w:rPr>
              <w:t>197,243</w:t>
            </w:r>
          </w:p>
        </w:tc>
      </w:tr>
      <w:tr>
        <w:trPr>
          <w:trHeight w:val="203"/>
        </w:trPr>
        <w:tc>
          <w:tcPr>
            <w:tcW w:w="43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178,455 197,157 179,879 Corporate</w:t>
            </w:r>
          </w:p>
        </w:tc>
      </w:tr>
      <w:tr>
        <w:trPr>
          <w:trHeight w:val="235"/>
        </w:trPr>
        <w:tc>
          <w:tcPr>
            <w:tcW w:w="3540" w:type="dxa"/>
            <w:vAlign w:val="bottom"/>
          </w:tcPr>
          <w:p>
            <w:pPr>
              <w:ind w:left="40"/>
              <w:spacing w:after="0"/>
              <w:rPr>
                <w:sz w:val="20"/>
                <w:szCs w:val="20"/>
                <w:color w:val="auto"/>
              </w:rPr>
            </w:pPr>
            <w:r>
              <w:rPr>
                <w:rFonts w:ascii="Courier New" w:cs="Courier New" w:eastAsia="Courier New" w:hAnsi="Courier New"/>
                <w:sz w:val="18"/>
                <w:szCs w:val="18"/>
                <w:color w:val="auto"/>
                <w:w w:val="97"/>
              </w:rPr>
              <w:t>bonds............................</w:t>
            </w:r>
          </w:p>
        </w:tc>
        <w:tc>
          <w:tcPr>
            <w:tcW w:w="760" w:type="dxa"/>
            <w:vAlign w:val="bottom"/>
          </w:tcPr>
          <w:p>
            <w:pPr>
              <w:jc w:val="right"/>
              <w:spacing w:after="0"/>
              <w:rPr>
                <w:sz w:val="20"/>
                <w:szCs w:val="20"/>
                <w:color w:val="auto"/>
              </w:rPr>
            </w:pPr>
            <w:r>
              <w:rPr>
                <w:rFonts w:ascii="Courier New" w:cs="Courier New" w:eastAsia="Courier New" w:hAnsi="Courier New"/>
                <w:sz w:val="18"/>
                <w:szCs w:val="18"/>
                <w:color w:val="auto"/>
              </w:rPr>
              <w:t>64,153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100,544</w:t>
            </w:r>
          </w:p>
        </w:tc>
        <w:tc>
          <w:tcPr>
            <w:tcW w:w="3100" w:type="dxa"/>
            <w:vAlign w:val="bottom"/>
            <w:gridSpan w:val="2"/>
          </w:tcPr>
          <w:p>
            <w:pPr>
              <w:ind w:left="40"/>
              <w:spacing w:after="0" w:line="170" w:lineRule="exact"/>
              <w:rPr>
                <w:sz w:val="20"/>
                <w:szCs w:val="20"/>
                <w:color w:val="auto"/>
              </w:rPr>
            </w:pPr>
            <w:r>
              <w:rPr>
                <w:rFonts w:ascii="Courier New" w:cs="Courier New" w:eastAsia="Courier New" w:hAnsi="Courier New"/>
                <w:sz w:val="18"/>
                <w:szCs w:val="18"/>
                <w:color w:val="auto"/>
              </w:rPr>
              <w:t>64,151 102,646 Mortgages</w:t>
            </w:r>
          </w:p>
        </w:tc>
        <w:tc>
          <w:tcPr>
            <w:tcW w:w="0" w:type="dxa"/>
            <w:vAlign w:val="bottom"/>
          </w:tcPr>
          <w:p>
            <w:pPr>
              <w:spacing w:after="0"/>
              <w:rPr>
                <w:sz w:val="1"/>
                <w:szCs w:val="1"/>
                <w:color w:val="auto"/>
              </w:rPr>
            </w:pPr>
          </w:p>
        </w:tc>
      </w:tr>
      <w:tr>
        <w:trPr>
          <w:trHeight w:val="203"/>
        </w:trPr>
        <w:tc>
          <w:tcPr>
            <w:tcW w:w="4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(including government and</w:t>
            </w:r>
          </w:p>
        </w:tc>
        <w:tc>
          <w:tcPr>
            <w:tcW w:w="0" w:type="dxa"/>
            <w:vAlign w:val="bottom"/>
          </w:tcPr>
          <w:p>
            <w:pPr>
              <w:spacing w:after="0"/>
              <w:rPr>
                <w:sz w:val="1"/>
                <w:szCs w:val="1"/>
                <w:color w:val="auto"/>
              </w:rPr>
            </w:pP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corporate)...............................</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44,743 76,138 44,724 76,148 Commercial</w:t>
            </w:r>
          </w:p>
        </w:tc>
        <w:tc>
          <w:tcPr>
            <w:tcW w:w="0" w:type="dxa"/>
            <w:vAlign w:val="bottom"/>
          </w:tcPr>
          <w:p>
            <w:pPr>
              <w:spacing w:after="0"/>
              <w:rPr>
                <w:sz w:val="1"/>
                <w:szCs w:val="1"/>
                <w:color w:val="auto"/>
              </w:rPr>
            </w:pP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paper/CD........................</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35,643 --</w:t>
            </w:r>
          </w:p>
        </w:tc>
        <w:tc>
          <w:tcPr>
            <w:tcW w:w="0" w:type="dxa"/>
            <w:vAlign w:val="bottom"/>
          </w:tcPr>
          <w:p>
            <w:pPr>
              <w:spacing w:after="0"/>
              <w:rPr>
                <w:sz w:val="1"/>
                <w:szCs w:val="1"/>
                <w:color w:val="auto"/>
              </w:rPr>
            </w:pPr>
          </w:p>
        </w:tc>
      </w:tr>
      <w:tr>
        <w:trPr>
          <w:trHeight w:val="203"/>
        </w:trPr>
        <w:tc>
          <w:tcPr>
            <w:tcW w:w="138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1"/>
              </w:rPr>
              <w:t>placement..........................</w:t>
            </w:r>
          </w:p>
        </w:tc>
        <w:tc>
          <w:tcPr>
            <w:tcW w:w="3100" w:type="dxa"/>
            <w:vAlign w:val="bottom"/>
            <w:gridSpan w:val="2"/>
          </w:tcPr>
          <w:p>
            <w:pPr>
              <w:jc w:val="center"/>
              <w:ind w:right="1232"/>
              <w:spacing w:after="0" w:line="203" w:lineRule="exact"/>
              <w:rPr>
                <w:sz w:val="20"/>
                <w:szCs w:val="20"/>
                <w:color w:val="auto"/>
              </w:rPr>
            </w:pPr>
            <w:r>
              <w:rPr>
                <w:rFonts w:ascii="Courier New" w:cs="Courier New" w:eastAsia="Courier New" w:hAnsi="Courier New"/>
                <w:sz w:val="18"/>
                <w:szCs w:val="18"/>
                <w:color w:val="auto"/>
                <w:w w:val="96"/>
              </w:rPr>
              <w:t>35,457 -- Private</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26,219</w:t>
            </w:r>
          </w:p>
        </w:tc>
        <w:tc>
          <w:tcPr>
            <w:tcW w:w="0" w:type="dxa"/>
            <w:vAlign w:val="bottom"/>
          </w:tcPr>
          <w:p>
            <w:pPr>
              <w:spacing w:after="0"/>
              <w:rPr>
                <w:sz w:val="1"/>
                <w:szCs w:val="1"/>
                <w:color w:val="auto"/>
              </w:rPr>
            </w:pP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7,330</w:t>
            </w:r>
          </w:p>
        </w:tc>
        <w:tc>
          <w:tcPr>
            <w:tcW w:w="3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26,225 7,546 Municipal</w:t>
            </w:r>
          </w:p>
        </w:tc>
        <w:tc>
          <w:tcPr>
            <w:tcW w:w="0" w:type="dxa"/>
            <w:vAlign w:val="bottom"/>
          </w:tcPr>
          <w:p>
            <w:pPr>
              <w:spacing w:after="0"/>
              <w:rPr>
                <w:sz w:val="1"/>
                <w:szCs w:val="1"/>
                <w:color w:val="auto"/>
              </w:rPr>
            </w:pP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bonds............................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1,501</w:t>
            </w:r>
          </w:p>
        </w:tc>
        <w:tc>
          <w:tcPr>
            <w:tcW w:w="0" w:type="dxa"/>
            <w:vAlign w:val="bottom"/>
          </w:tcPr>
          <w:p>
            <w:pPr>
              <w:spacing w:after="0"/>
              <w:rPr>
                <w:sz w:val="1"/>
                <w:szCs w:val="1"/>
                <w:color w:val="auto"/>
              </w:rPr>
            </w:pPr>
          </w:p>
        </w:tc>
      </w:tr>
      <w:tr>
        <w:trPr>
          <w:trHeight w:val="203"/>
        </w:trPr>
        <w:tc>
          <w:tcPr>
            <w:tcW w:w="4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13,543 1,501 13,543</w:t>
            </w:r>
          </w:p>
        </w:tc>
        <w:tc>
          <w:tcPr>
            <w:tcW w:w="0" w:type="dxa"/>
            <w:vAlign w:val="bottom"/>
          </w:tcPr>
          <w:p>
            <w:pPr>
              <w:spacing w:after="0"/>
              <w:rPr>
                <w:sz w:val="1"/>
                <w:szCs w:val="1"/>
                <w:color w:val="auto"/>
              </w:rPr>
            </w:pPr>
          </w:p>
        </w:tc>
      </w:tr>
      <w:tr>
        <w:trPr>
          <w:trHeight w:val="203"/>
        </w:trPr>
        <w:tc>
          <w:tcPr>
            <w:tcW w:w="1380" w:type="dxa"/>
            <w:vAlign w:val="bottom"/>
          </w:tcPr>
          <w:p>
            <w:pPr>
              <w:jc w:val="right"/>
              <w:spacing w:after="0"/>
              <w:rPr>
                <w:sz w:val="20"/>
                <w:szCs w:val="20"/>
                <w:color w:val="auto"/>
              </w:rPr>
            </w:pPr>
            <w:r>
              <w:rPr>
                <w:rFonts w:ascii="Courier New" w:cs="Courier New" w:eastAsia="Courier New" w:hAnsi="Courier New"/>
                <w:sz w:val="7"/>
                <w:szCs w:val="7"/>
                <w:color w:val="auto"/>
                <w:w w:val="75"/>
              </w:rPr>
              <w:t>Other......................................</w:t>
            </w:r>
          </w:p>
        </w:tc>
        <w:tc>
          <w:tcPr>
            <w:tcW w:w="16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10,034</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9"/>
              </w:rPr>
              <w:t>-------- ----</w:t>
            </w:r>
          </w:p>
        </w:tc>
        <w:tc>
          <w:tcPr>
            <w:tcW w:w="0" w:type="dxa"/>
            <w:vAlign w:val="bottom"/>
          </w:tcPr>
          <w:p>
            <w:pPr>
              <w:spacing w:after="0"/>
              <w:rPr>
                <w:sz w:val="1"/>
                <w:szCs w:val="1"/>
                <w:color w:val="auto"/>
              </w:rPr>
            </w:pPr>
          </w:p>
        </w:tc>
      </w:tr>
      <w:tr>
        <w:trPr>
          <w:trHeight w:val="235"/>
        </w:trPr>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-- 10,025 --</w:t>
            </w:r>
          </w:p>
        </w:tc>
        <w:tc>
          <w:tcPr>
            <w:tcW w:w="168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580" w:right="5999" w:hanging="259"/>
        <w:spacing w:after="0" w:line="268" w:lineRule="auto"/>
        <w:tabs>
          <w:tab w:leader="none" w:pos="843"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-------- 443,246 574,057 443,292 581,164 Allowance for unrealized</w:t>
      </w:r>
    </w:p>
    <w:tbl>
      <w:tblPr>
        <w:tblLayout w:type="fixed"/>
        <w:tblInd w:w="60" w:type="dxa"/>
        <w:tblCellMar>
          <w:top w:w="0" w:type="dxa"/>
          <w:left w:w="0" w:type="dxa"/>
          <w:bottom w:w="0" w:type="dxa"/>
          <w:right w:w="0" w:type="dxa"/>
        </w:tblCellMar>
      </w:tblPr>
      <w:tr>
        <w:trPr>
          <w:trHeight w:val="171"/>
        </w:trPr>
        <w:tc>
          <w:tcPr>
            <w:tcW w:w="1320" w:type="dxa"/>
            <w:vAlign w:val="bottom"/>
          </w:tcPr>
          <w:p>
            <w:pPr>
              <w:spacing w:after="0" w:line="171" w:lineRule="exact"/>
              <w:rPr>
                <w:sz w:val="20"/>
                <w:szCs w:val="20"/>
                <w:color w:val="auto"/>
              </w:rPr>
            </w:pPr>
            <w:r>
              <w:rPr>
                <w:rFonts w:ascii="Courier New" w:cs="Courier New" w:eastAsia="Courier New" w:hAnsi="Courier New"/>
                <w:sz w:val="16"/>
                <w:szCs w:val="16"/>
                <w:color w:val="auto"/>
                <w:w w:val="75"/>
              </w:rPr>
              <w:t>gain..............</w:t>
            </w:r>
          </w:p>
        </w:tc>
        <w:tc>
          <w:tcPr>
            <w:tcW w:w="3100" w:type="dxa"/>
            <w:vAlign w:val="bottom"/>
            <w:gridSpan w:val="2"/>
          </w:tcPr>
          <w:p>
            <w:pPr>
              <w:jc w:val="right"/>
              <w:spacing w:after="0" w:line="171" w:lineRule="exact"/>
              <w:rPr>
                <w:sz w:val="20"/>
                <w:szCs w:val="20"/>
                <w:color w:val="auto"/>
              </w:rPr>
            </w:pPr>
            <w:r>
              <w:rPr>
                <w:rFonts w:ascii="Courier New" w:cs="Courier New" w:eastAsia="Courier New" w:hAnsi="Courier New"/>
                <w:sz w:val="18"/>
                <w:szCs w:val="18"/>
                <w:color w:val="auto"/>
              </w:rPr>
              <w:t>46 7,107 -- -- --------</w:t>
            </w:r>
          </w:p>
        </w:tc>
        <w:tc>
          <w:tcPr>
            <w:tcW w:w="0" w:type="dxa"/>
            <w:vAlign w:val="bottom"/>
          </w:tcPr>
          <w:p>
            <w:pPr>
              <w:spacing w:after="0"/>
              <w:rPr>
                <w:sz w:val="1"/>
                <w:szCs w:val="1"/>
                <w:color w:val="auto"/>
              </w:rPr>
            </w:pPr>
          </w:p>
        </w:tc>
      </w:tr>
      <w:tr>
        <w:trPr>
          <w:trHeight w:val="203"/>
        </w:trPr>
        <w:tc>
          <w:tcPr>
            <w:tcW w:w="1320" w:type="dxa"/>
            <w:vAlign w:val="bottom"/>
            <w:vMerge w:val="restart"/>
          </w:tcPr>
          <w:p>
            <w:pPr>
              <w:spacing w:after="0"/>
              <w:rPr>
                <w:sz w:val="20"/>
                <w:szCs w:val="20"/>
                <w:color w:val="auto"/>
              </w:rPr>
            </w:pPr>
            <w:r>
              <w:rPr>
                <w:rFonts w:ascii="Courier New" w:cs="Courier New" w:eastAsia="Courier New" w:hAnsi="Courier New"/>
                <w:sz w:val="4"/>
                <w:szCs w:val="4"/>
                <w:color w:val="auto"/>
              </w:rPr>
              <w:t>Total............................</w:t>
            </w:r>
            <w:r>
              <w:rPr>
                <w:rFonts w:ascii="Courier New" w:cs="Courier New" w:eastAsia="Courier New" w:hAnsi="Courier New"/>
                <w:sz w:val="8"/>
                <w:szCs w:val="8"/>
                <w:color w:val="auto"/>
                <w:vertAlign w:val="superscript"/>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2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$443,292</w:t>
            </w:r>
          </w:p>
        </w:tc>
        <w:tc>
          <w:tcPr>
            <w:tcW w:w="0" w:type="dxa"/>
            <w:vAlign w:val="bottom"/>
          </w:tcPr>
          <w:p>
            <w:pPr>
              <w:spacing w:after="0"/>
              <w:rPr>
                <w:sz w:val="1"/>
                <w:szCs w:val="1"/>
                <w:color w:val="auto"/>
              </w:rPr>
            </w:pPr>
          </w:p>
        </w:tc>
      </w:tr>
      <w:tr>
        <w:trPr>
          <w:trHeight w:val="203"/>
        </w:trPr>
        <w:tc>
          <w:tcPr>
            <w:tcW w:w="1320" w:type="dxa"/>
            <w:vAlign w:val="bottom"/>
          </w:tcPr>
          <w:p>
            <w:pPr>
              <w:jc w:val="right"/>
              <w:ind w:right="51"/>
              <w:spacing w:after="0" w:line="203" w:lineRule="exact"/>
              <w:rPr>
                <w:sz w:val="20"/>
                <w:szCs w:val="20"/>
                <w:color w:val="auto"/>
              </w:rPr>
            </w:pPr>
            <w:r>
              <w:rPr>
                <w:rFonts w:ascii="Courier New" w:cs="Courier New" w:eastAsia="Courier New" w:hAnsi="Courier New"/>
                <w:sz w:val="18"/>
                <w:szCs w:val="18"/>
                <w:color w:val="auto"/>
              </w:rPr>
              <w:t>$581,164</w:t>
            </w:r>
          </w:p>
        </w:tc>
        <w:tc>
          <w:tcPr>
            <w:tcW w:w="31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$443,292 $581,164 ========</w:t>
            </w:r>
          </w:p>
        </w:tc>
        <w:tc>
          <w:tcPr>
            <w:tcW w:w="0" w:type="dxa"/>
            <w:vAlign w:val="bottom"/>
          </w:tcPr>
          <w:p>
            <w:pPr>
              <w:spacing w:after="0"/>
              <w:rPr>
                <w:sz w:val="1"/>
                <w:szCs w:val="1"/>
                <w:color w:val="auto"/>
              </w:rPr>
            </w:pPr>
          </w:p>
        </w:tc>
      </w:tr>
      <w:tr>
        <w:trPr>
          <w:trHeight w:val="296"/>
        </w:trPr>
        <w:tc>
          <w:tcPr>
            <w:tcW w:w="2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As of September 30, 2003, short-term interest-bearing investments had the following expected maturity dates: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060" w:type="dxa"/>
            <w:vAlign w:val="bottom"/>
            <w:vMerge w:val="restart"/>
          </w:tcPr>
          <w:p>
            <w:pPr>
              <w:spacing w:after="0"/>
              <w:rPr>
                <w:sz w:val="20"/>
                <w:szCs w:val="20"/>
                <w:color w:val="auto"/>
              </w:rPr>
            </w:pPr>
            <w:r>
              <w:rPr>
                <w:rFonts w:ascii="Courier New" w:cs="Courier New" w:eastAsia="Courier New" w:hAnsi="Courier New"/>
                <w:sz w:val="3"/>
                <w:szCs w:val="3"/>
                <w:color w:val="auto"/>
                <w:w w:val="74"/>
                <w:vertAlign w:val="superscript"/>
              </w:rPr>
              <w:t>2004........................................................</w:t>
            </w:r>
            <w:r>
              <w:rPr>
                <w:rFonts w:ascii="Courier New" w:cs="Courier New" w:eastAsia="Courier New" w:hAnsi="Courier New"/>
                <w:sz w:val="2"/>
                <w:szCs w:val="2"/>
                <w:color w:val="auto"/>
                <w:w w:val="74"/>
              </w:rPr>
              <w:t>........................................................</w:t>
            </w:r>
            <w:r>
              <w:rPr>
                <w:rFonts w:ascii="Courier New" w:cs="Courier New" w:eastAsia="Courier New" w:hAnsi="Courier New"/>
                <w:sz w:val="3"/>
                <w:szCs w:val="3"/>
                <w:color w:val="auto"/>
                <w:w w:val="74"/>
                <w:vertAlign w:val="subscript"/>
              </w:rPr>
              <w:t>................................................................................................................</w:t>
            </w:r>
          </w:p>
        </w:tc>
        <w:tc>
          <w:tcPr>
            <w:tcW w:w="4220" w:type="dxa"/>
            <w:vAlign w:val="bottom"/>
          </w:tcPr>
          <w:p>
            <w:pPr>
              <w:jc w:val="right"/>
              <w:ind w:right="1912"/>
              <w:spacing w:after="0"/>
              <w:rPr>
                <w:sz w:val="20"/>
                <w:szCs w:val="20"/>
                <w:color w:val="auto"/>
              </w:rPr>
            </w:pPr>
            <w:r>
              <w:rPr>
                <w:rFonts w:ascii="Courier New" w:cs="Courier New" w:eastAsia="Courier New" w:hAnsi="Courier New"/>
                <w:sz w:val="18"/>
                <w:szCs w:val="18"/>
                <w:color w:val="auto"/>
                <w:w w:val="96"/>
              </w:rPr>
              <w:t>MARKET VALUE --------</w:t>
            </w:r>
          </w:p>
        </w:tc>
        <w:tc>
          <w:tcPr>
            <w:tcW w:w="0" w:type="dxa"/>
            <w:vAlign w:val="bottom"/>
          </w:tcPr>
          <w:p>
            <w:pPr>
              <w:spacing w:after="0"/>
              <w:rPr>
                <w:sz w:val="1"/>
                <w:szCs w:val="1"/>
                <w:color w:val="auto"/>
              </w:rPr>
            </w:pPr>
          </w:p>
        </w:tc>
      </w:tr>
      <w:tr>
        <w:trPr>
          <w:trHeight w:val="287"/>
        </w:trPr>
        <w:tc>
          <w:tcPr>
            <w:tcW w:w="2060" w:type="dxa"/>
            <w:vAlign w:val="bottom"/>
            <w:vMerge w:val="continue"/>
          </w:tcPr>
          <w:p>
            <w:pPr>
              <w:spacing w:after="0"/>
              <w:rPr>
                <w:sz w:val="24"/>
                <w:szCs w:val="24"/>
                <w:color w:val="auto"/>
              </w:rPr>
            </w:pPr>
          </w:p>
        </w:tc>
        <w:tc>
          <w:tcPr>
            <w:tcW w:w="4220" w:type="dxa"/>
            <w:vAlign w:val="bottom"/>
            <w:vMerge w:val="restart"/>
          </w:tcPr>
          <w:p>
            <w:pPr>
              <w:jc w:val="center"/>
              <w:ind w:right="1932"/>
              <w:spacing w:after="0"/>
              <w:rPr>
                <w:sz w:val="20"/>
                <w:szCs w:val="20"/>
                <w:color w:val="auto"/>
              </w:rPr>
            </w:pPr>
            <w:r>
              <w:rPr>
                <w:rFonts w:ascii="Courier New" w:cs="Courier New" w:eastAsia="Courier New" w:hAnsi="Courier New"/>
                <w:sz w:val="18"/>
                <w:szCs w:val="18"/>
                <w:color w:val="auto"/>
                <w:w w:val="97"/>
              </w:rPr>
              <w:t>$138,419</w:t>
            </w:r>
          </w:p>
        </w:tc>
        <w:tc>
          <w:tcPr>
            <w:tcW w:w="0" w:type="dxa"/>
            <w:vAlign w:val="bottom"/>
          </w:tcPr>
          <w:p>
            <w:pPr>
              <w:spacing w:after="0"/>
              <w:rPr>
                <w:sz w:val="1"/>
                <w:szCs w:val="1"/>
                <w:color w:val="auto"/>
              </w:rPr>
            </w:pPr>
          </w:p>
        </w:tc>
      </w:tr>
      <w:tr>
        <w:trPr>
          <w:trHeight w:val="118"/>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2005</w:t>
            </w:r>
          </w:p>
        </w:tc>
        <w:tc>
          <w:tcPr>
            <w:tcW w:w="4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60" w:type="dxa"/>
            <w:vAlign w:val="bottom"/>
            <w:vMerge w:val="continue"/>
          </w:tcPr>
          <w:p>
            <w:pPr>
              <w:spacing w:after="0"/>
              <w:rPr>
                <w:sz w:val="17"/>
                <w:szCs w:val="17"/>
                <w:color w:val="auto"/>
              </w:rPr>
            </w:pPr>
          </w:p>
        </w:tc>
        <w:tc>
          <w:tcPr>
            <w:tcW w:w="4220" w:type="dxa"/>
            <w:vAlign w:val="bottom"/>
            <w:vMerge w:val="restart"/>
          </w:tcPr>
          <w:p>
            <w:pPr>
              <w:jc w:val="center"/>
              <w:ind w:right="1912"/>
              <w:spacing w:after="0"/>
              <w:rPr>
                <w:sz w:val="20"/>
                <w:szCs w:val="20"/>
                <w:color w:val="auto"/>
              </w:rPr>
            </w:pPr>
            <w:r>
              <w:rPr>
                <w:rFonts w:ascii="Courier New" w:cs="Courier New" w:eastAsia="Courier New" w:hAnsi="Courier New"/>
                <w:sz w:val="18"/>
                <w:szCs w:val="18"/>
                <w:color w:val="auto"/>
                <w:w w:val="97"/>
              </w:rPr>
              <w:t>130,818</w:t>
            </w:r>
          </w:p>
        </w:tc>
        <w:tc>
          <w:tcPr>
            <w:tcW w:w="0" w:type="dxa"/>
            <w:vAlign w:val="bottom"/>
          </w:tcPr>
          <w:p>
            <w:pPr>
              <w:spacing w:after="0"/>
              <w:rPr>
                <w:sz w:val="1"/>
                <w:szCs w:val="1"/>
                <w:color w:val="auto"/>
              </w:rPr>
            </w:pPr>
          </w:p>
        </w:tc>
      </w:tr>
      <w:tr>
        <w:trPr>
          <w:trHeight w:val="203"/>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2006</w:t>
            </w:r>
          </w:p>
        </w:tc>
        <w:tc>
          <w:tcPr>
            <w:tcW w:w="4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vMerge w:val="continue"/>
          </w:tcPr>
          <w:p>
            <w:pPr>
              <w:spacing w:after="0"/>
              <w:rPr>
                <w:sz w:val="17"/>
                <w:szCs w:val="17"/>
                <w:color w:val="auto"/>
              </w:rPr>
            </w:pPr>
          </w:p>
        </w:tc>
        <w:tc>
          <w:tcPr>
            <w:tcW w:w="4220" w:type="dxa"/>
            <w:vAlign w:val="bottom"/>
            <w:vMerge w:val="restart"/>
          </w:tcPr>
          <w:p>
            <w:pPr>
              <w:jc w:val="center"/>
              <w:ind w:right="1912"/>
              <w:spacing w:after="0"/>
              <w:rPr>
                <w:sz w:val="20"/>
                <w:szCs w:val="20"/>
                <w:color w:val="auto"/>
              </w:rPr>
            </w:pPr>
            <w:r>
              <w:rPr>
                <w:rFonts w:ascii="Courier New" w:cs="Courier New" w:eastAsia="Courier New" w:hAnsi="Courier New"/>
                <w:sz w:val="18"/>
                <w:szCs w:val="18"/>
                <w:color w:val="auto"/>
                <w:w w:val="97"/>
              </w:rPr>
              <w:t>128,555</w:t>
            </w:r>
          </w:p>
        </w:tc>
        <w:tc>
          <w:tcPr>
            <w:tcW w:w="0" w:type="dxa"/>
            <w:vAlign w:val="bottom"/>
          </w:tcPr>
          <w:p>
            <w:pPr>
              <w:spacing w:after="0"/>
              <w:rPr>
                <w:sz w:val="1"/>
                <w:szCs w:val="1"/>
                <w:color w:val="auto"/>
              </w:rPr>
            </w:pPr>
          </w:p>
        </w:tc>
      </w:tr>
      <w:tr>
        <w:trPr>
          <w:trHeight w:val="203"/>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2007</w:t>
            </w:r>
          </w:p>
        </w:tc>
        <w:tc>
          <w:tcPr>
            <w:tcW w:w="4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vMerge w:val="continue"/>
          </w:tcPr>
          <w:p>
            <w:pPr>
              <w:spacing w:after="0"/>
              <w:rPr>
                <w:sz w:val="17"/>
                <w:szCs w:val="17"/>
                <w:color w:val="auto"/>
              </w:rPr>
            </w:pPr>
          </w:p>
        </w:tc>
        <w:tc>
          <w:tcPr>
            <w:tcW w:w="4220" w:type="dxa"/>
            <w:vAlign w:val="bottom"/>
            <w:vMerge w:val="restart"/>
          </w:tcPr>
          <w:p>
            <w:pPr>
              <w:jc w:val="center"/>
              <w:ind w:right="1912"/>
              <w:spacing w:after="0"/>
              <w:rPr>
                <w:sz w:val="20"/>
                <w:szCs w:val="20"/>
                <w:color w:val="auto"/>
              </w:rPr>
            </w:pPr>
            <w:r>
              <w:rPr>
                <w:rFonts w:ascii="Courier New" w:cs="Courier New" w:eastAsia="Courier New" w:hAnsi="Courier New"/>
                <w:sz w:val="18"/>
                <w:szCs w:val="18"/>
                <w:color w:val="auto"/>
                <w:w w:val="97"/>
              </w:rPr>
              <w:t>45,500 --------</w:t>
            </w:r>
          </w:p>
        </w:tc>
        <w:tc>
          <w:tcPr>
            <w:tcW w:w="0" w:type="dxa"/>
            <w:vAlign w:val="bottom"/>
          </w:tcPr>
          <w:p>
            <w:pPr>
              <w:spacing w:after="0"/>
              <w:rPr>
                <w:sz w:val="1"/>
                <w:szCs w:val="1"/>
                <w:color w:val="auto"/>
              </w:rPr>
            </w:pPr>
          </w:p>
        </w:tc>
      </w:tr>
      <w:tr>
        <w:trPr>
          <w:trHeight w:val="109"/>
        </w:trPr>
        <w:tc>
          <w:tcPr>
            <w:tcW w:w="20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Total</w:t>
            </w:r>
          </w:p>
        </w:tc>
        <w:tc>
          <w:tcPr>
            <w:tcW w:w="4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60" w:type="dxa"/>
            <w:vAlign w:val="bottom"/>
            <w:vMerge w:val="continue"/>
          </w:tcPr>
          <w:p>
            <w:pPr>
              <w:ind w:left="580"/>
              <w:spacing w:after="0"/>
              <w:rPr>
                <w:sz w:val="20"/>
                <w:szCs w:val="20"/>
                <w:color w:val="auto"/>
              </w:rPr>
            </w:pPr>
            <w:r>
              <w:rPr>
                <w:rFonts w:ascii="Courier New" w:cs="Courier New" w:eastAsia="Courier New" w:hAnsi="Courier New"/>
                <w:sz w:val="7"/>
                <w:szCs w:val="7"/>
                <w:color w:val="auto"/>
                <w:w w:val="77"/>
              </w:rPr>
              <w:t>.............................................</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$443,292</w:t>
            </w: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4"/>
                <w:szCs w:val="24"/>
                <w:color w:val="auto"/>
              </w:rPr>
            </w:pPr>
          </w:p>
        </w:tc>
        <w:tc>
          <w:tcPr>
            <w:tcW w:w="4220" w:type="dxa"/>
            <w:vAlign w:val="bottom"/>
          </w:tcPr>
          <w:p>
            <w:pPr>
              <w:jc w:val="center"/>
              <w:ind w:right="193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 ACCOUNTS RECEIVABLE, NET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Accounts receivable, net consists of the following:</w:t>
      </w:r>
    </w:p>
    <w:p>
      <w:pPr>
        <w:spacing w:after="0" w:line="201"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AS OF SEPTEMBER 30, ------------------- 2003</w:t>
      </w:r>
    </w:p>
    <w:tbl>
      <w:tblPr>
        <w:tblLayout w:type="fixed"/>
        <w:tblInd w:w="0" w:type="dxa"/>
        <w:tblCellMar>
          <w:top w:w="0" w:type="dxa"/>
          <w:left w:w="0" w:type="dxa"/>
          <w:bottom w:w="0" w:type="dxa"/>
          <w:right w:w="0" w:type="dxa"/>
        </w:tblCellMar>
      </w:tblPr>
      <w:tr>
        <w:trPr>
          <w:trHeight w:val="201"/>
        </w:trPr>
        <w:tc>
          <w:tcPr>
            <w:tcW w:w="1700" w:type="dxa"/>
            <w:vAlign w:val="bottom"/>
          </w:tcPr>
          <w:p>
            <w:pPr>
              <w:jc w:val="right"/>
              <w:ind w:right="47"/>
              <w:spacing w:after="0" w:line="201" w:lineRule="exact"/>
              <w:rPr>
                <w:sz w:val="20"/>
                <w:szCs w:val="20"/>
                <w:color w:val="auto"/>
              </w:rPr>
            </w:pPr>
            <w:r>
              <w:rPr>
                <w:rFonts w:ascii="Courier New" w:cs="Courier New" w:eastAsia="Courier New" w:hAnsi="Courier New"/>
                <w:sz w:val="18"/>
                <w:szCs w:val="18"/>
                <w:color w:val="auto"/>
              </w:rPr>
              <w:t>2002 --------</w:t>
            </w:r>
          </w:p>
        </w:tc>
        <w:tc>
          <w:tcPr>
            <w:tcW w:w="3420" w:type="dxa"/>
            <w:vAlign w:val="bottom"/>
            <w:gridSpan w:val="2"/>
          </w:tcPr>
          <w:p>
            <w:pPr>
              <w:spacing w:after="0" w:line="201" w:lineRule="exact"/>
              <w:rPr>
                <w:sz w:val="20"/>
                <w:szCs w:val="20"/>
                <w:color w:val="auto"/>
              </w:rPr>
            </w:pPr>
            <w:r>
              <w:rPr>
                <w:rFonts w:ascii="Courier New" w:cs="Courier New" w:eastAsia="Courier New" w:hAnsi="Courier New"/>
                <w:sz w:val="18"/>
                <w:szCs w:val="18"/>
                <w:color w:val="auto"/>
              </w:rPr>
              <w:t>-------- Accounts receivable --</w:t>
            </w:r>
          </w:p>
        </w:tc>
        <w:tc>
          <w:tcPr>
            <w:tcW w:w="0" w:type="dxa"/>
            <w:vAlign w:val="bottom"/>
          </w:tcPr>
          <w:p>
            <w:pPr>
              <w:spacing w:after="0"/>
              <w:rPr>
                <w:sz w:val="1"/>
                <w:szCs w:val="1"/>
                <w:color w:val="auto"/>
              </w:rPr>
            </w:pPr>
          </w:p>
        </w:tc>
      </w:tr>
      <w:tr>
        <w:trPr>
          <w:trHeight w:val="203"/>
        </w:trPr>
        <w:tc>
          <w:tcPr>
            <w:tcW w:w="21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billed............................</w:t>
            </w:r>
          </w:p>
        </w:tc>
        <w:tc>
          <w:tcPr>
            <w:tcW w:w="3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$200,220</w:t>
            </w:r>
          </w:p>
        </w:tc>
        <w:tc>
          <w:tcPr>
            <w:tcW w:w="0" w:type="dxa"/>
            <w:vAlign w:val="bottom"/>
          </w:tcPr>
          <w:p>
            <w:pPr>
              <w:spacing w:after="0"/>
              <w:rPr>
                <w:sz w:val="1"/>
                <w:szCs w:val="1"/>
                <w:color w:val="auto"/>
              </w:rPr>
            </w:pPr>
          </w:p>
        </w:tc>
      </w:tr>
      <w:tr>
        <w:trPr>
          <w:trHeight w:val="203"/>
        </w:trPr>
        <w:tc>
          <w:tcPr>
            <w:tcW w:w="51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$314,828 Accounts receivable --</w:t>
            </w:r>
          </w:p>
        </w:tc>
        <w:tc>
          <w:tcPr>
            <w:tcW w:w="0" w:type="dxa"/>
            <w:vAlign w:val="bottom"/>
          </w:tcPr>
          <w:p>
            <w:pPr>
              <w:spacing w:after="0"/>
              <w:rPr>
                <w:sz w:val="1"/>
                <w:szCs w:val="1"/>
                <w:color w:val="auto"/>
              </w:rPr>
            </w:pPr>
          </w:p>
        </w:tc>
      </w:tr>
      <w:tr>
        <w:trPr>
          <w:trHeight w:val="203"/>
        </w:trPr>
        <w:tc>
          <w:tcPr>
            <w:tcW w:w="21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unbilled..........................</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16,072 24,144</w:t>
            </w:r>
          </w:p>
        </w:tc>
        <w:tc>
          <w:tcPr>
            <w:tcW w:w="0" w:type="dxa"/>
            <w:vAlign w:val="bottom"/>
          </w:tcPr>
          <w:p>
            <w:pPr>
              <w:spacing w:after="0"/>
              <w:rPr>
                <w:sz w:val="1"/>
                <w:szCs w:val="1"/>
                <w:color w:val="auto"/>
              </w:rPr>
            </w:pPr>
          </w:p>
        </w:tc>
      </w:tr>
      <w:tr>
        <w:trPr>
          <w:trHeight w:val="296"/>
        </w:trPr>
        <w:tc>
          <w:tcPr>
            <w:tcW w:w="2120" w:type="dxa"/>
            <w:vAlign w:val="bottom"/>
            <w:gridSpan w:val="2"/>
            <w:vMerge w:val="restart"/>
          </w:tcPr>
          <w:p>
            <w:pPr>
              <w:jc w:val="right"/>
              <w:spacing w:after="0"/>
              <w:rPr>
                <w:sz w:val="20"/>
                <w:szCs w:val="20"/>
                <w:color w:val="auto"/>
              </w:rPr>
            </w:pPr>
            <w:r>
              <w:rPr>
                <w:rFonts w:ascii="Courier New" w:cs="Courier New" w:eastAsia="Courier New" w:hAnsi="Courier New"/>
                <w:sz w:val="10"/>
                <w:szCs w:val="10"/>
                <w:color w:val="auto"/>
                <w:w w:val="71"/>
              </w:rPr>
              <w:t>allowances.......................................</w:t>
            </w:r>
          </w:p>
        </w:tc>
        <w:tc>
          <w:tcPr>
            <w:tcW w:w="3000" w:type="dxa"/>
            <w:vAlign w:val="bottom"/>
          </w:tcPr>
          <w:p>
            <w:pPr>
              <w:jc w:val="center"/>
              <w:ind w:right="1972"/>
              <w:spacing w:after="0"/>
              <w:rPr>
                <w:sz w:val="20"/>
                <w:szCs w:val="20"/>
                <w:color w:val="auto"/>
              </w:rPr>
            </w:pPr>
            <w:r>
              <w:rPr>
                <w:rFonts w:ascii="Courier New" w:cs="Courier New" w:eastAsia="Courier New" w:hAnsi="Courier New"/>
                <w:sz w:val="18"/>
                <w:szCs w:val="18"/>
                <w:color w:val="auto"/>
                <w:w w:val="97"/>
              </w:rPr>
              <w:t>Less --</w:t>
            </w:r>
          </w:p>
        </w:tc>
        <w:tc>
          <w:tcPr>
            <w:tcW w:w="0" w:type="dxa"/>
            <w:vAlign w:val="bottom"/>
          </w:tcPr>
          <w:p>
            <w:pPr>
              <w:spacing w:after="0"/>
              <w:rPr>
                <w:sz w:val="1"/>
                <w:szCs w:val="1"/>
                <w:color w:val="auto"/>
              </w:rPr>
            </w:pPr>
          </w:p>
        </w:tc>
      </w:tr>
      <w:tr>
        <w:trPr>
          <w:trHeight w:val="109"/>
        </w:trPr>
        <w:tc>
          <w:tcPr>
            <w:tcW w:w="17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300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 -------- Accounts</w:t>
            </w:r>
          </w:p>
        </w:tc>
        <w:tc>
          <w:tcPr>
            <w:tcW w:w="0" w:type="dxa"/>
            <w:vAlign w:val="bottom"/>
          </w:tcPr>
          <w:p>
            <w:pPr>
              <w:spacing w:after="0"/>
              <w:rPr>
                <w:sz w:val="1"/>
                <w:szCs w:val="1"/>
                <w:color w:val="auto"/>
              </w:rPr>
            </w:pPr>
          </w:p>
        </w:tc>
      </w:tr>
      <w:tr>
        <w:trPr>
          <w:trHeight w:val="203"/>
        </w:trPr>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(18,018) (26,240)</w:t>
            </w:r>
          </w:p>
        </w:tc>
        <w:tc>
          <w:tcPr>
            <w:tcW w:w="3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jc w:val="right"/>
              <w:spacing w:after="0"/>
              <w:rPr>
                <w:sz w:val="20"/>
                <w:szCs w:val="20"/>
                <w:color w:val="auto"/>
              </w:rPr>
            </w:pPr>
            <w:r>
              <w:rPr>
                <w:rFonts w:ascii="Courier New" w:cs="Courier New" w:eastAsia="Courier New" w:hAnsi="Courier New"/>
                <w:sz w:val="8"/>
                <w:szCs w:val="8"/>
                <w:color w:val="auto"/>
                <w:w w:val="74"/>
              </w:rPr>
              <w:t>receivable, net................................</w:t>
            </w:r>
          </w:p>
        </w:tc>
        <w:tc>
          <w:tcPr>
            <w:tcW w:w="342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$312,732 ======== ========</w:t>
            </w:r>
          </w:p>
        </w:tc>
        <w:tc>
          <w:tcPr>
            <w:tcW w:w="0" w:type="dxa"/>
            <w:vAlign w:val="bottom"/>
          </w:tcPr>
          <w:p>
            <w:pPr>
              <w:spacing w:after="0"/>
              <w:rPr>
                <w:sz w:val="1"/>
                <w:szCs w:val="1"/>
                <w:color w:val="auto"/>
              </w:rPr>
            </w:pPr>
          </w:p>
        </w:tc>
      </w:tr>
      <w:tr>
        <w:trPr>
          <w:trHeight w:val="296"/>
        </w:trPr>
        <w:tc>
          <w:tcPr>
            <w:tcW w:w="1700" w:type="dxa"/>
            <w:vAlign w:val="bottom"/>
          </w:tcPr>
          <w:p>
            <w:pPr>
              <w:jc w:val="right"/>
              <w:ind w:right="47"/>
              <w:spacing w:after="0"/>
              <w:rPr>
                <w:sz w:val="20"/>
                <w:szCs w:val="20"/>
                <w:color w:val="auto"/>
              </w:rPr>
            </w:pPr>
            <w:r>
              <w:rPr>
                <w:rFonts w:ascii="Courier New" w:cs="Courier New" w:eastAsia="Courier New" w:hAnsi="Courier New"/>
                <w:sz w:val="18"/>
                <w:szCs w:val="18"/>
                <w:color w:val="auto"/>
              </w:rPr>
              <w:t>$198,274</w:t>
            </w:r>
          </w:p>
        </w:tc>
        <w:tc>
          <w:tcPr>
            <w:tcW w:w="34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0" w:type="dxa"/>
            <w:vAlign w:val="bottom"/>
          </w:tcPr>
          <w:p>
            <w:pPr>
              <w:ind w:left="2000"/>
              <w:spacing w:after="0"/>
              <w:rPr>
                <w:sz w:val="20"/>
                <w:szCs w:val="20"/>
                <w:color w:val="auto"/>
              </w:rPr>
            </w:pPr>
            <w:r>
              <w:rPr>
                <w:rFonts w:ascii="Courier New" w:cs="Courier New" w:eastAsia="Courier New" w:hAnsi="Courier New"/>
                <w:sz w:val="18"/>
                <w:szCs w:val="18"/>
                <w:color w:val="auto"/>
              </w:rPr>
              <w:t>F-23</w:t>
            </w: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498" w:gutter="0" w:footer="0" w:header="0"/>
        </w:sectPr>
      </w:pPr>
    </w:p>
    <w:bookmarkStart w:id="97" w:name="page98"/>
    <w:bookmarkEnd w:id="9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7 -- EQUIPMENT, VEHICLES AND LEASEHOLD IMPROVEMENTS, NET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Components of equipment, vehicles and leasehold improvements, net are:</w:t>
      </w:r>
    </w:p>
    <w:p>
      <w:pPr>
        <w:spacing w:after="0" w:line="201"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AS OF SEPTEMBER 30, ------------------- 2003</w:t>
      </w:r>
    </w:p>
    <w:tbl>
      <w:tblPr>
        <w:tblLayout w:type="fixed"/>
        <w:tblInd w:w="0" w:type="dxa"/>
        <w:tblCellMar>
          <w:top w:w="0" w:type="dxa"/>
          <w:left w:w="0" w:type="dxa"/>
          <w:bottom w:w="0" w:type="dxa"/>
          <w:right w:w="0" w:type="dxa"/>
        </w:tblCellMar>
      </w:tblPr>
      <w:tr>
        <w:trPr>
          <w:trHeight w:val="201"/>
        </w:trPr>
        <w:tc>
          <w:tcPr>
            <w:tcW w:w="1380" w:type="dxa"/>
            <w:vAlign w:val="bottom"/>
          </w:tcPr>
          <w:p>
            <w:pPr>
              <w:jc w:val="right"/>
              <w:ind w:right="58"/>
              <w:spacing w:after="0" w:line="201" w:lineRule="exact"/>
              <w:rPr>
                <w:sz w:val="20"/>
                <w:szCs w:val="20"/>
                <w:color w:val="auto"/>
              </w:rPr>
            </w:pPr>
            <w:r>
              <w:rPr>
                <w:rFonts w:ascii="Courier New" w:cs="Courier New" w:eastAsia="Courier New" w:hAnsi="Courier New"/>
                <w:sz w:val="18"/>
                <w:szCs w:val="18"/>
                <w:color w:val="auto"/>
              </w:rPr>
              <w:t>2002</w:t>
            </w:r>
          </w:p>
        </w:tc>
        <w:tc>
          <w:tcPr>
            <w:tcW w:w="3260" w:type="dxa"/>
            <w:vAlign w:val="bottom"/>
          </w:tcPr>
          <w:p>
            <w:pPr>
              <w:spacing w:after="0" w:line="201" w:lineRule="exact"/>
              <w:rPr>
                <w:sz w:val="20"/>
                <w:szCs w:val="20"/>
                <w:color w:val="auto"/>
              </w:rPr>
            </w:pPr>
            <w:r>
              <w:rPr>
                <w:rFonts w:ascii="Courier New" w:cs="Courier New" w:eastAsia="Courier New" w:hAnsi="Courier New"/>
                <w:sz w:val="18"/>
                <w:szCs w:val="18"/>
                <w:color w:val="auto"/>
              </w:rPr>
              <w:t>-------- -------- Computer</w:t>
            </w:r>
          </w:p>
        </w:tc>
        <w:tc>
          <w:tcPr>
            <w:tcW w:w="0" w:type="dxa"/>
            <w:vAlign w:val="bottom"/>
          </w:tcPr>
          <w:p>
            <w:pPr>
              <w:spacing w:after="0"/>
              <w:rPr>
                <w:sz w:val="1"/>
                <w:szCs w:val="1"/>
                <w:color w:val="auto"/>
              </w:rPr>
            </w:pPr>
          </w:p>
        </w:tc>
      </w:tr>
      <w:tr>
        <w:trPr>
          <w:trHeight w:val="203"/>
        </w:trPr>
        <w:tc>
          <w:tcPr>
            <w:tcW w:w="1380" w:type="dxa"/>
            <w:vAlign w:val="bottom"/>
          </w:tcPr>
          <w:p>
            <w:pPr>
              <w:jc w:val="right"/>
              <w:spacing w:after="0"/>
              <w:rPr>
                <w:sz w:val="20"/>
                <w:szCs w:val="20"/>
                <w:color w:val="auto"/>
              </w:rPr>
            </w:pPr>
            <w:r>
              <w:rPr>
                <w:rFonts w:ascii="Courier New" w:cs="Courier New" w:eastAsia="Courier New" w:hAnsi="Courier New"/>
                <w:sz w:val="5"/>
                <w:szCs w:val="5"/>
                <w:color w:val="auto"/>
                <w:w w:val="96"/>
              </w:rPr>
              <w:t>equipment......................................</w:t>
            </w:r>
          </w:p>
        </w:tc>
        <w:tc>
          <w:tcPr>
            <w:tcW w:w="326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$211,010 Vehicles furnished to</w:t>
            </w:r>
          </w:p>
        </w:tc>
        <w:tc>
          <w:tcPr>
            <w:tcW w:w="0" w:type="dxa"/>
            <w:vAlign w:val="bottom"/>
          </w:tcPr>
          <w:p>
            <w:pPr>
              <w:spacing w:after="0"/>
              <w:rPr>
                <w:sz w:val="1"/>
                <w:szCs w:val="1"/>
                <w:color w:val="auto"/>
              </w:rPr>
            </w:pPr>
          </w:p>
        </w:tc>
      </w:tr>
      <w:tr>
        <w:trPr>
          <w:trHeight w:val="203"/>
        </w:trPr>
        <w:tc>
          <w:tcPr>
            <w:tcW w:w="1380" w:type="dxa"/>
            <w:vAlign w:val="bottom"/>
          </w:tcPr>
          <w:p>
            <w:pPr>
              <w:jc w:val="right"/>
              <w:ind w:right="58"/>
              <w:spacing w:after="0" w:line="203" w:lineRule="exact"/>
              <w:rPr>
                <w:sz w:val="20"/>
                <w:szCs w:val="20"/>
                <w:color w:val="auto"/>
              </w:rPr>
            </w:pPr>
            <w:r>
              <w:rPr>
                <w:rFonts w:ascii="Courier New" w:cs="Courier New" w:eastAsia="Courier New" w:hAnsi="Courier New"/>
                <w:sz w:val="18"/>
                <w:szCs w:val="18"/>
                <w:color w:val="auto"/>
              </w:rPr>
              <w:t>$311,319</w:t>
            </w:r>
          </w:p>
        </w:tc>
        <w:tc>
          <w:tcPr>
            <w:tcW w:w="3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jc w:val="right"/>
              <w:spacing w:after="0"/>
              <w:rPr>
                <w:sz w:val="20"/>
                <w:szCs w:val="20"/>
                <w:color w:val="auto"/>
              </w:rPr>
            </w:pPr>
            <w:r>
              <w:rPr>
                <w:rFonts w:ascii="Courier New" w:cs="Courier New" w:eastAsia="Courier New" w:hAnsi="Courier New"/>
                <w:sz w:val="9"/>
                <w:szCs w:val="9"/>
                <w:color w:val="auto"/>
                <w:w w:val="74"/>
              </w:rPr>
              <w:t>employees.........................</w:t>
            </w: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50,080</w:t>
            </w:r>
          </w:p>
        </w:tc>
        <w:tc>
          <w:tcPr>
            <w:tcW w:w="0" w:type="dxa"/>
            <w:vAlign w:val="bottom"/>
          </w:tcPr>
          <w:p>
            <w:pPr>
              <w:spacing w:after="0"/>
              <w:rPr>
                <w:sz w:val="1"/>
                <w:szCs w:val="1"/>
                <w:color w:val="auto"/>
              </w:rPr>
            </w:pPr>
          </w:p>
        </w:tc>
      </w:tr>
      <w:tr>
        <w:trPr>
          <w:trHeight w:val="235"/>
        </w:trPr>
        <w:tc>
          <w:tcPr>
            <w:tcW w:w="1380" w:type="dxa"/>
            <w:vAlign w:val="bottom"/>
          </w:tcPr>
          <w:p>
            <w:pPr>
              <w:spacing w:after="0"/>
              <w:rPr>
                <w:sz w:val="20"/>
                <w:szCs w:val="20"/>
                <w:color w:val="auto"/>
              </w:rPr>
            </w:pPr>
          </w:p>
        </w:tc>
        <w:tc>
          <w:tcPr>
            <w:tcW w:w="3260" w:type="dxa"/>
            <w:vAlign w:val="bottom"/>
          </w:tcPr>
          <w:p>
            <w:pPr>
              <w:ind w:left="260"/>
              <w:spacing w:after="0"/>
              <w:rPr>
                <w:sz w:val="20"/>
                <w:szCs w:val="20"/>
                <w:color w:val="auto"/>
              </w:rPr>
            </w:pPr>
            <w:r>
              <w:rPr>
                <w:rFonts w:ascii="Courier New" w:cs="Courier New" w:eastAsia="Courier New" w:hAnsi="Courier New"/>
                <w:sz w:val="18"/>
                <w:szCs w:val="18"/>
                <w:color w:val="auto"/>
              </w:rPr>
              <w:t>53,696 Leasehold</w:t>
            </w:r>
          </w:p>
        </w:tc>
        <w:tc>
          <w:tcPr>
            <w:tcW w:w="0" w:type="dxa"/>
            <w:vAlign w:val="bottom"/>
          </w:tcPr>
          <w:p>
            <w:pPr>
              <w:spacing w:after="0"/>
              <w:rPr>
                <w:sz w:val="1"/>
                <w:szCs w:val="1"/>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improvements..................................</w:t>
      </w:r>
    </w:p>
    <w:p>
      <w:pPr>
        <w:ind w:left="1060"/>
        <w:spacing w:after="0"/>
        <w:rPr>
          <w:sz w:val="20"/>
          <w:szCs w:val="20"/>
          <w:color w:val="auto"/>
        </w:rPr>
      </w:pPr>
      <w:r>
        <w:rPr>
          <w:rFonts w:ascii="Courier New" w:cs="Courier New" w:eastAsia="Courier New" w:hAnsi="Courier New"/>
          <w:sz w:val="18"/>
          <w:szCs w:val="18"/>
          <w:color w:val="auto"/>
        </w:rPr>
        <w:t>49,834 54,319 Furniture and</w:t>
      </w:r>
    </w:p>
    <w:tbl>
      <w:tblPr>
        <w:tblLayout w:type="fixed"/>
        <w:tblInd w:w="260" w:type="dxa"/>
        <w:tblCellMar>
          <w:top w:w="0" w:type="dxa"/>
          <w:left w:w="0" w:type="dxa"/>
          <w:bottom w:w="0" w:type="dxa"/>
          <w:right w:w="0" w:type="dxa"/>
        </w:tblCellMar>
      </w:tblPr>
      <w:tr>
        <w:trPr>
          <w:trHeight w:val="171"/>
        </w:trPr>
        <w:tc>
          <w:tcPr>
            <w:tcW w:w="2580" w:type="dxa"/>
            <w:vAlign w:val="bottom"/>
          </w:tcPr>
          <w:p>
            <w:pPr>
              <w:spacing w:after="0"/>
              <w:rPr>
                <w:sz w:val="20"/>
                <w:szCs w:val="20"/>
                <w:color w:val="auto"/>
              </w:rPr>
            </w:pPr>
            <w:r>
              <w:rPr>
                <w:rFonts w:ascii="Courier New" w:cs="Courier New" w:eastAsia="Courier New" w:hAnsi="Courier New"/>
                <w:sz w:val="14"/>
                <w:szCs w:val="14"/>
                <w:color w:val="auto"/>
                <w:w w:val="72"/>
              </w:rPr>
              <w:t>fixtures..................................</w:t>
            </w:r>
          </w:p>
        </w:tc>
        <w:tc>
          <w:tcPr>
            <w:tcW w:w="1860" w:type="dxa"/>
            <w:vAlign w:val="bottom"/>
            <w:gridSpan w:val="2"/>
            <w:vMerge w:val="restart"/>
          </w:tcPr>
          <w:p>
            <w:pPr>
              <w:jc w:val="right"/>
              <w:ind w:right="72"/>
              <w:spacing w:after="0"/>
              <w:rPr>
                <w:sz w:val="20"/>
                <w:szCs w:val="20"/>
                <w:color w:val="auto"/>
              </w:rPr>
            </w:pPr>
            <w:r>
              <w:rPr>
                <w:rFonts w:ascii="Courier New" w:cs="Courier New" w:eastAsia="Courier New" w:hAnsi="Courier New"/>
                <w:sz w:val="18"/>
                <w:szCs w:val="18"/>
                <w:color w:val="auto"/>
                <w:w w:val="97"/>
              </w:rPr>
              <w:t>-------- 451,342</w:t>
            </w:r>
          </w:p>
        </w:tc>
        <w:tc>
          <w:tcPr>
            <w:tcW w:w="0" w:type="dxa"/>
            <w:vAlign w:val="bottom"/>
          </w:tcPr>
          <w:p>
            <w:pPr>
              <w:spacing w:after="0"/>
              <w:rPr>
                <w:sz w:val="1"/>
                <w:szCs w:val="1"/>
                <w:color w:val="auto"/>
              </w:rPr>
            </w:pPr>
          </w:p>
        </w:tc>
      </w:tr>
      <w:tr>
        <w:trPr>
          <w:trHeight w:val="203"/>
        </w:trPr>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40,109 38,672 --------</w:t>
            </w:r>
          </w:p>
        </w:tc>
        <w:tc>
          <w:tcPr>
            <w:tcW w:w="1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357,697 Less accumulated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160"/>
              <w:spacing w:after="0"/>
              <w:rPr>
                <w:sz w:val="20"/>
                <w:szCs w:val="20"/>
                <w:color w:val="auto"/>
              </w:rPr>
            </w:pPr>
            <w:r>
              <w:rPr>
                <w:rFonts w:ascii="Courier New" w:cs="Courier New" w:eastAsia="Courier New" w:hAnsi="Courier New"/>
                <w:sz w:val="14"/>
                <w:szCs w:val="14"/>
                <w:color w:val="auto"/>
                <w:w w:val="73"/>
              </w:rPr>
              <w:t>depreciation...........................</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$203,467</w:t>
            </w:r>
          </w:p>
        </w:tc>
        <w:tc>
          <w:tcPr>
            <w:tcW w:w="0" w:type="dxa"/>
            <w:vAlign w:val="bottom"/>
          </w:tcPr>
          <w:p>
            <w:pPr>
              <w:spacing w:after="0"/>
              <w:rPr>
                <w:sz w:val="1"/>
                <w:szCs w:val="1"/>
                <w:color w:val="auto"/>
              </w:rPr>
            </w:pPr>
          </w:p>
        </w:tc>
      </w:tr>
      <w:tr>
        <w:trPr>
          <w:trHeight w:val="23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247,875 196,795 --------</w:t>
            </w:r>
          </w:p>
        </w:tc>
        <w:tc>
          <w:tcPr>
            <w:tcW w:w="96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120"/>
        <w:spacing w:after="0"/>
        <w:rPr>
          <w:sz w:val="20"/>
          <w:szCs w:val="20"/>
          <w:color w:val="auto"/>
        </w:rPr>
      </w:pPr>
      <w:r>
        <w:rPr>
          <w:rFonts w:ascii="Courier New" w:cs="Courier New" w:eastAsia="Courier New" w:hAnsi="Courier New"/>
          <w:sz w:val="18"/>
          <w:szCs w:val="18"/>
          <w:color w:val="auto"/>
        </w:rPr>
        <w:t>$160,902 ======== ========</w:t>
      </w:r>
    </w:p>
    <w:p>
      <w:pPr>
        <w:spacing w:after="0" w:line="372"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The Company has entered into various arrangements for the leasing of vehicles for periods of five years, carrying interest rates of LIBOR plus an interest rate ranging 0.5% to 0.9% (between 1.66% to 2.06% as of September 30, 2003). Vehicles under capital lease arrangements had cost of $43,918 and $49,582 with related accumulated depreciation of $26,121 and $21,520 as of September 30, 2003 and 2002, respectively. As a result of the Certen acquisition, the Company assumed various arrangements for the leasing of computer equipment (hardware and software) for remaining periods of two to three years, denominated in Canadian dollars with interest rates ranging between 5.16% to 11.7%. Computer equipment under capital lease arrangements had a cost of $48,203 with related accumulated depreciation of $2,111 as of September 30, 2003.</w:t>
      </w:r>
    </w:p>
    <w:p>
      <w:pPr>
        <w:spacing w:after="0" w:line="294"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The Company has accounted for these as capital leases and amortization costs have been included in depreciation expense.</w:t>
      </w:r>
    </w:p>
    <w:p>
      <w:pPr>
        <w:spacing w:after="0" w:line="18"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Capital lease payments, excluding interest, due over the next five years are as follows:</w:t>
      </w:r>
    </w:p>
    <w:p>
      <w:pPr>
        <w:spacing w:after="0" w:line="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SEPTEMBER 30, - ------</w:t>
      </w:r>
    </w:p>
    <w:p>
      <w:pPr>
        <w:spacing w:after="0" w:line="29"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2004.......................................</w:t>
      </w:r>
    </w:p>
    <w:p>
      <w:pPr>
        <w:jc w:val="center"/>
        <w:ind w:right="5679"/>
        <w:spacing w:after="0"/>
        <w:rPr>
          <w:sz w:val="20"/>
          <w:szCs w:val="20"/>
          <w:color w:val="auto"/>
        </w:rPr>
      </w:pPr>
      <w:r>
        <w:rPr>
          <w:rFonts w:ascii="Courier New" w:cs="Courier New" w:eastAsia="Courier New" w:hAnsi="Courier New"/>
          <w:sz w:val="18"/>
          <w:szCs w:val="18"/>
          <w:color w:val="auto"/>
        </w:rPr>
        <w:t>$25,472</w:t>
      </w:r>
    </w:p>
    <w:p>
      <w:pPr>
        <w:spacing w:after="0" w:line="238" w:lineRule="auto"/>
        <w:rPr>
          <w:sz w:val="20"/>
          <w:szCs w:val="20"/>
          <w:color w:val="auto"/>
        </w:rPr>
      </w:pPr>
      <w:r>
        <w:rPr>
          <w:rFonts w:ascii="Courier New" w:cs="Courier New" w:eastAsia="Courier New" w:hAnsi="Courier New"/>
          <w:sz w:val="18"/>
          <w:szCs w:val="18"/>
          <w:color w:val="auto"/>
        </w:rPr>
        <w:t>2005.......................................</w:t>
      </w:r>
    </w:p>
    <w:p>
      <w:pPr>
        <w:jc w:val="center"/>
        <w:ind w:right="5679"/>
        <w:spacing w:after="0"/>
        <w:rPr>
          <w:sz w:val="20"/>
          <w:szCs w:val="20"/>
          <w:color w:val="auto"/>
        </w:rPr>
      </w:pPr>
      <w:r>
        <w:rPr>
          <w:rFonts w:ascii="Courier New" w:cs="Courier New" w:eastAsia="Courier New" w:hAnsi="Courier New"/>
          <w:sz w:val="18"/>
          <w:szCs w:val="18"/>
          <w:color w:val="auto"/>
        </w:rPr>
        <w:t>18,859</w:t>
      </w:r>
    </w:p>
    <w:p>
      <w:pPr>
        <w:spacing w:after="0" w:line="238" w:lineRule="auto"/>
        <w:rPr>
          <w:sz w:val="20"/>
          <w:szCs w:val="20"/>
          <w:color w:val="auto"/>
        </w:rPr>
      </w:pPr>
      <w:r>
        <w:rPr>
          <w:rFonts w:ascii="Courier New" w:cs="Courier New" w:eastAsia="Courier New" w:hAnsi="Courier New"/>
          <w:sz w:val="18"/>
          <w:szCs w:val="18"/>
          <w:color w:val="auto"/>
        </w:rPr>
        <w:t>2006.......................................</w:t>
      </w:r>
    </w:p>
    <w:p>
      <w:pPr>
        <w:jc w:val="center"/>
        <w:ind w:right="5679"/>
        <w:spacing w:after="0"/>
        <w:rPr>
          <w:sz w:val="20"/>
          <w:szCs w:val="20"/>
          <w:color w:val="auto"/>
        </w:rPr>
      </w:pPr>
      <w:r>
        <w:rPr>
          <w:rFonts w:ascii="Courier New" w:cs="Courier New" w:eastAsia="Courier New" w:hAnsi="Courier New"/>
          <w:sz w:val="18"/>
          <w:szCs w:val="18"/>
          <w:color w:val="auto"/>
        </w:rPr>
        <w:t>3,761</w:t>
      </w:r>
    </w:p>
    <w:p>
      <w:pPr>
        <w:spacing w:after="0" w:line="238" w:lineRule="auto"/>
        <w:rPr>
          <w:sz w:val="20"/>
          <w:szCs w:val="20"/>
          <w:color w:val="auto"/>
        </w:rPr>
      </w:pPr>
      <w:r>
        <w:rPr>
          <w:rFonts w:ascii="Courier New" w:cs="Courier New" w:eastAsia="Courier New" w:hAnsi="Courier New"/>
          <w:sz w:val="18"/>
          <w:szCs w:val="18"/>
          <w:color w:val="auto"/>
        </w:rPr>
        <w:t>2007.......................................</w:t>
      </w:r>
    </w:p>
    <w:p>
      <w:pPr>
        <w:ind w:left="2160"/>
        <w:spacing w:after="0"/>
        <w:rPr>
          <w:sz w:val="20"/>
          <w:szCs w:val="20"/>
          <w:color w:val="auto"/>
        </w:rPr>
      </w:pPr>
      <w:r>
        <w:rPr>
          <w:rFonts w:ascii="Courier New" w:cs="Courier New" w:eastAsia="Courier New" w:hAnsi="Courier New"/>
          <w:sz w:val="18"/>
          <w:szCs w:val="18"/>
          <w:color w:val="auto"/>
        </w:rPr>
        <w:t>69</w:t>
      </w:r>
    </w:p>
    <w:p>
      <w:pPr>
        <w:spacing w:after="0" w:line="372"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 above capital lease payments do not reflect a liability of $2,804, reflecting adjustment to fair value, resulting from the preliminary valuation of capital lease agreements assumed in the acquisition of Certen. This adjustment will be amortized over the life of the lease.</w:t>
      </w:r>
    </w:p>
    <w:p>
      <w:pPr>
        <w:spacing w:after="0" w:line="82"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The above capital lease payments include a sale-leaseback transaction that was recognized on Certen's books as of the acquisition date. The proceeds for this transaction were received after the acquisition date, and are reflected in the consolidated cash flow statement for fiscal 2003 as "proceeds from sale-leaseback transaction".</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F-24</w:t>
      </w:r>
    </w:p>
    <w:p>
      <w:pPr>
        <w:sectPr>
          <w:pgSz w:w="11900" w:h="16838" w:orient="portrait"/>
          <w:cols w:equalWidth="0" w:num="1">
            <w:col w:w="10219"/>
          </w:cols>
          <w:pgMar w:left="240" w:top="488" w:right="1440" w:bottom="1440" w:gutter="0" w:footer="0" w:header="0"/>
        </w:sectPr>
      </w:pPr>
    </w:p>
    <w:bookmarkStart w:id="98" w:name="page99"/>
    <w:bookmarkEnd w:id="98"/>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8 -- GOODWILL AND OTHER INTANGIBLE ASSETS, NET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Goodwill and other intangible assets, net are: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AS OF SEPTEMBER 30, ESTIMATED USEFUL</w:t>
      </w:r>
    </w:p>
    <w:tbl>
      <w:tblPr>
        <w:tblLayout w:type="fixed"/>
        <w:tblInd w:w="0" w:type="dxa"/>
        <w:tblCellMar>
          <w:top w:w="0" w:type="dxa"/>
          <w:left w:w="0" w:type="dxa"/>
          <w:bottom w:w="0" w:type="dxa"/>
          <w:right w:w="0" w:type="dxa"/>
        </w:tblCellMar>
      </w:tblPr>
      <w:tr>
        <w:trPr>
          <w:trHeight w:val="201"/>
        </w:trPr>
        <w:tc>
          <w:tcPr>
            <w:tcW w:w="200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0"/>
              </w:rPr>
              <w:t>2003</w:t>
            </w:r>
            <w:r>
              <w:rPr>
                <w:rFonts w:ascii="Courier New" w:cs="Courier New" w:eastAsia="Courier New" w:hAnsi="Courier New"/>
                <w:sz w:val="16"/>
                <w:szCs w:val="16"/>
                <w:color w:val="auto"/>
                <w:w w:val="70"/>
                <w:vertAlign w:val="superscript"/>
              </w:rPr>
              <w:t>-------------------</w:t>
            </w:r>
            <w:r>
              <w:rPr>
                <w:rFonts w:ascii="Courier New" w:cs="Courier New" w:eastAsia="Courier New" w:hAnsi="Courier New"/>
                <w:sz w:val="11"/>
                <w:szCs w:val="11"/>
                <w:color w:val="auto"/>
                <w:w w:val="70"/>
              </w:rPr>
              <w:t>2002----------------</w:t>
            </w:r>
          </w:p>
        </w:tc>
        <w:tc>
          <w:tcPr>
            <w:tcW w:w="1960" w:type="dxa"/>
            <w:vAlign w:val="bottom"/>
          </w:tcPr>
          <w:p>
            <w:pPr>
              <w:jc w:val="right"/>
              <w:ind w:right="12"/>
              <w:spacing w:after="0" w:line="201" w:lineRule="exact"/>
              <w:rPr>
                <w:sz w:val="20"/>
                <w:szCs w:val="20"/>
                <w:color w:val="auto"/>
              </w:rPr>
            </w:pPr>
            <w:r>
              <w:rPr>
                <w:rFonts w:ascii="Courier New" w:cs="Courier New" w:eastAsia="Courier New" w:hAnsi="Courier New"/>
                <w:sz w:val="18"/>
                <w:szCs w:val="18"/>
                <w:color w:val="auto"/>
              </w:rPr>
              <w:t>LIFE (IN YEARS)</w:t>
            </w:r>
          </w:p>
        </w:tc>
        <w:tc>
          <w:tcPr>
            <w:tcW w:w="0" w:type="dxa"/>
            <w:vAlign w:val="bottom"/>
          </w:tcPr>
          <w:p>
            <w:pPr>
              <w:spacing w:after="0"/>
              <w:rPr>
                <w:sz w:val="1"/>
                <w:szCs w:val="1"/>
                <w:color w:val="auto"/>
              </w:rPr>
            </w:pPr>
          </w:p>
        </w:tc>
      </w:tr>
      <w:tr>
        <w:trPr>
          <w:trHeight w:val="203"/>
        </w:trPr>
        <w:tc>
          <w:tcPr>
            <w:tcW w:w="2000" w:type="dxa"/>
            <w:vAlign w:val="bottom"/>
            <w:vMerge w:val="continue"/>
          </w:tcPr>
          <w:p>
            <w:pPr>
              <w:spacing w:after="0"/>
              <w:rPr>
                <w:sz w:val="17"/>
                <w:szCs w:val="17"/>
                <w:color w:val="auto"/>
              </w:rPr>
            </w:pPr>
          </w:p>
        </w:tc>
        <w:tc>
          <w:tcPr>
            <w:tcW w:w="19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203"/>
        </w:trPr>
        <w:tc>
          <w:tcPr>
            <w:tcW w:w="39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Intellectual property rights</w:t>
            </w:r>
          </w:p>
        </w:tc>
        <w:tc>
          <w:tcPr>
            <w:tcW w:w="0" w:type="dxa"/>
            <w:vAlign w:val="bottom"/>
          </w:tcPr>
          <w:p>
            <w:pPr>
              <w:spacing w:after="0"/>
              <w:rPr>
                <w:sz w:val="1"/>
                <w:szCs w:val="1"/>
                <w:color w:val="auto"/>
              </w:rPr>
            </w:pPr>
          </w:p>
        </w:tc>
      </w:tr>
      <w:tr>
        <w:trPr>
          <w:trHeight w:val="203"/>
        </w:trPr>
        <w:tc>
          <w:tcPr>
            <w:tcW w:w="39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and purchased computer</w:t>
            </w:r>
          </w:p>
        </w:tc>
        <w:tc>
          <w:tcPr>
            <w:tcW w:w="0" w:type="dxa"/>
            <w:vAlign w:val="bottom"/>
          </w:tcPr>
          <w:p>
            <w:pPr>
              <w:spacing w:after="0"/>
              <w:rPr>
                <w:sz w:val="1"/>
                <w:szCs w:val="1"/>
                <w:color w:val="auto"/>
              </w:rPr>
            </w:pPr>
          </w:p>
        </w:tc>
      </w:tr>
      <w:tr>
        <w:trPr>
          <w:trHeight w:val="203"/>
        </w:trPr>
        <w:tc>
          <w:tcPr>
            <w:tcW w:w="2000" w:type="dxa"/>
            <w:vAlign w:val="bottom"/>
          </w:tcPr>
          <w:p>
            <w:pPr>
              <w:jc w:val="right"/>
              <w:spacing w:after="0"/>
              <w:rPr>
                <w:sz w:val="20"/>
                <w:szCs w:val="20"/>
                <w:color w:val="auto"/>
              </w:rPr>
            </w:pPr>
            <w:r>
              <w:rPr>
                <w:rFonts w:ascii="Courier New" w:cs="Courier New" w:eastAsia="Courier New" w:hAnsi="Courier New"/>
                <w:sz w:val="12"/>
                <w:szCs w:val="12"/>
                <w:color w:val="auto"/>
                <w:w w:val="72"/>
              </w:rPr>
              <w:t>software..............................</w:t>
            </w:r>
          </w:p>
        </w:tc>
        <w:tc>
          <w:tcPr>
            <w:tcW w:w="19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w w:val="96"/>
              </w:rPr>
              <w:t>$ 91,758 Other</w:t>
            </w:r>
          </w:p>
        </w:tc>
        <w:tc>
          <w:tcPr>
            <w:tcW w:w="0" w:type="dxa"/>
            <w:vAlign w:val="bottom"/>
          </w:tcPr>
          <w:p>
            <w:pPr>
              <w:spacing w:after="0"/>
              <w:rPr>
                <w:sz w:val="1"/>
                <w:szCs w:val="1"/>
                <w:color w:val="auto"/>
              </w:rPr>
            </w:pPr>
          </w:p>
        </w:tc>
      </w:tr>
      <w:tr>
        <w:trPr>
          <w:trHeight w:val="203"/>
        </w:trPr>
        <w:tc>
          <w:tcPr>
            <w:tcW w:w="2000" w:type="dxa"/>
            <w:vAlign w:val="bottom"/>
          </w:tcPr>
          <w:p>
            <w:pPr>
              <w:jc w:val="right"/>
              <w:ind w:right="22"/>
              <w:spacing w:after="0" w:line="203" w:lineRule="exact"/>
              <w:rPr>
                <w:sz w:val="20"/>
                <w:szCs w:val="20"/>
                <w:color w:val="auto"/>
              </w:rPr>
            </w:pPr>
            <w:r>
              <w:rPr>
                <w:rFonts w:ascii="Courier New" w:cs="Courier New" w:eastAsia="Courier New" w:hAnsi="Courier New"/>
                <w:sz w:val="18"/>
                <w:szCs w:val="18"/>
                <w:color w:val="auto"/>
              </w:rPr>
              <w:t>2-10 $ 96,531</w:t>
            </w: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intangible</w:t>
            </w:r>
          </w:p>
        </w:tc>
        <w:tc>
          <w:tcPr>
            <w:tcW w:w="0" w:type="dxa"/>
            <w:vAlign w:val="bottom"/>
          </w:tcPr>
          <w:p>
            <w:pPr>
              <w:spacing w:after="0"/>
              <w:rPr>
                <w:sz w:val="1"/>
                <w:szCs w:val="1"/>
                <w:color w:val="auto"/>
              </w:rPr>
            </w:pPr>
          </w:p>
        </w:tc>
      </w:tr>
      <w:tr>
        <w:trPr>
          <w:trHeight w:val="203"/>
        </w:trPr>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w w:val="73"/>
              </w:rPr>
              <w:t>assets..........................</w:t>
            </w:r>
          </w:p>
        </w:tc>
        <w:tc>
          <w:tcPr>
            <w:tcW w:w="1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2000" w:type="dxa"/>
            <w:vAlign w:val="bottom"/>
          </w:tcPr>
          <w:p>
            <w:pPr>
              <w:jc w:val="center"/>
              <w:ind w:left="42"/>
              <w:spacing w:after="0" w:line="203" w:lineRule="exact"/>
              <w:rPr>
                <w:sz w:val="20"/>
                <w:szCs w:val="20"/>
                <w:color w:val="auto"/>
              </w:rPr>
            </w:pPr>
            <w:r>
              <w:rPr>
                <w:rFonts w:ascii="Courier New" w:cs="Courier New" w:eastAsia="Courier New" w:hAnsi="Courier New"/>
                <w:sz w:val="18"/>
                <w:szCs w:val="18"/>
                <w:color w:val="auto"/>
                <w:w w:val="98"/>
              </w:rPr>
              <w:t>7.5 70,073 36,658</w:t>
            </w:r>
          </w:p>
        </w:tc>
        <w:tc>
          <w:tcPr>
            <w:tcW w:w="1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39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166,604 128,416 Less accumulated</w:t>
            </w:r>
          </w:p>
        </w:tc>
        <w:tc>
          <w:tcPr>
            <w:tcW w:w="0" w:type="dxa"/>
            <w:vAlign w:val="bottom"/>
          </w:tcPr>
          <w:p>
            <w:pPr>
              <w:spacing w:after="0"/>
              <w:rPr>
                <w:sz w:val="1"/>
                <w:szCs w:val="1"/>
                <w:color w:val="auto"/>
              </w:rPr>
            </w:pPr>
          </w:p>
        </w:tc>
      </w:tr>
      <w:tr>
        <w:trPr>
          <w:trHeight w:val="203"/>
        </w:trPr>
        <w:tc>
          <w:tcPr>
            <w:tcW w:w="2000" w:type="dxa"/>
            <w:vAlign w:val="bottom"/>
          </w:tcPr>
          <w:p>
            <w:pPr>
              <w:jc w:val="right"/>
              <w:spacing w:after="0"/>
              <w:rPr>
                <w:sz w:val="20"/>
                <w:szCs w:val="20"/>
                <w:color w:val="auto"/>
              </w:rPr>
            </w:pPr>
            <w:r>
              <w:rPr>
                <w:rFonts w:ascii="Courier New" w:cs="Courier New" w:eastAsia="Courier New" w:hAnsi="Courier New"/>
                <w:sz w:val="11"/>
                <w:szCs w:val="11"/>
                <w:color w:val="auto"/>
                <w:w w:val="74"/>
              </w:rPr>
              <w:t>amortization....................</w:t>
            </w:r>
            <w:r>
              <w:rPr>
                <w:rFonts w:ascii="Courier New" w:cs="Courier New" w:eastAsia="Courier New" w:hAnsi="Courier New"/>
                <w:sz w:val="17"/>
                <w:szCs w:val="17"/>
                <w:color w:val="auto"/>
                <w:w w:val="74"/>
                <w:vertAlign w:val="subscript"/>
              </w:rPr>
              <w:t>--------</w:t>
            </w:r>
          </w:p>
        </w:tc>
        <w:tc>
          <w:tcPr>
            <w:tcW w:w="19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000" w:type="dxa"/>
            <w:vAlign w:val="bottom"/>
          </w:tcPr>
          <w:p>
            <w:pPr>
              <w:jc w:val="center"/>
              <w:ind w:left="42"/>
              <w:spacing w:after="0" w:line="203" w:lineRule="exact"/>
              <w:rPr>
                <w:sz w:val="20"/>
                <w:szCs w:val="20"/>
                <w:color w:val="auto"/>
              </w:rPr>
            </w:pPr>
            <w:r>
              <w:rPr>
                <w:rFonts w:ascii="Courier New" w:cs="Courier New" w:eastAsia="Courier New" w:hAnsi="Courier New"/>
                <w:sz w:val="18"/>
                <w:szCs w:val="18"/>
                <w:color w:val="auto"/>
                <w:w w:val="97"/>
              </w:rPr>
              <w:t>107,763 83,748</w:t>
            </w: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58,841 44,668 Goodwill, net(1)</w:t>
            </w:r>
          </w:p>
        </w:tc>
        <w:tc>
          <w:tcPr>
            <w:tcW w:w="0" w:type="dxa"/>
            <w:vAlign w:val="bottom"/>
          </w:tcPr>
          <w:p>
            <w:pPr>
              <w:spacing w:after="0"/>
              <w:rPr>
                <w:sz w:val="1"/>
                <w:szCs w:val="1"/>
                <w:color w:val="auto"/>
              </w:rPr>
            </w:pPr>
          </w:p>
        </w:tc>
      </w:tr>
      <w:tr>
        <w:trPr>
          <w:trHeight w:val="203"/>
        </w:trPr>
        <w:tc>
          <w:tcPr>
            <w:tcW w:w="2000" w:type="dxa"/>
            <w:vAlign w:val="bottom"/>
          </w:tcPr>
          <w:p>
            <w:pPr>
              <w:jc w:val="right"/>
              <w:spacing w:after="0"/>
              <w:rPr>
                <w:sz w:val="20"/>
                <w:szCs w:val="20"/>
                <w:color w:val="auto"/>
              </w:rPr>
            </w:pPr>
            <w:r>
              <w:rPr>
                <w:rFonts w:ascii="Courier New" w:cs="Courier New" w:eastAsia="Courier New" w:hAnsi="Courier New"/>
                <w:sz w:val="11"/>
                <w:szCs w:val="11"/>
                <w:color w:val="auto"/>
                <w:w w:val="72"/>
              </w:rPr>
              <w:t>(2)..............................</w:t>
            </w:r>
            <w:r>
              <w:rPr>
                <w:rFonts w:ascii="Courier New" w:cs="Courier New" w:eastAsia="Courier New" w:hAnsi="Courier New"/>
                <w:sz w:val="17"/>
                <w:szCs w:val="17"/>
                <w:color w:val="auto"/>
                <w:w w:val="72"/>
                <w:vertAlign w:val="subscript"/>
              </w:rPr>
              <w:t>--------</w:t>
            </w:r>
          </w:p>
        </w:tc>
        <w:tc>
          <w:tcPr>
            <w:tcW w:w="1960" w:type="dxa"/>
            <w:vAlign w:val="bottom"/>
            <w:vMerge w:val="restart"/>
          </w:tcPr>
          <w:p>
            <w:pPr>
              <w:ind w:left="90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2000" w:type="dxa"/>
            <w:vAlign w:val="bottom"/>
          </w:tcPr>
          <w:p>
            <w:pPr>
              <w:jc w:val="center"/>
              <w:ind w:left="22"/>
              <w:spacing w:after="0"/>
              <w:rPr>
                <w:sz w:val="20"/>
                <w:szCs w:val="20"/>
                <w:color w:val="auto"/>
              </w:rPr>
            </w:pPr>
            <w:r>
              <w:rPr>
                <w:rFonts w:ascii="Courier New" w:cs="Courier New" w:eastAsia="Courier New" w:hAnsi="Courier New"/>
                <w:sz w:val="18"/>
                <w:szCs w:val="18"/>
                <w:color w:val="auto"/>
                <w:w w:val="97"/>
              </w:rPr>
              <w:t>797,134 705,862</w:t>
            </w:r>
          </w:p>
        </w:tc>
        <w:tc>
          <w:tcPr>
            <w:tcW w:w="1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60"/>
        <w:spacing w:after="0"/>
        <w:rPr>
          <w:sz w:val="20"/>
          <w:szCs w:val="20"/>
          <w:color w:val="auto"/>
        </w:rPr>
      </w:pPr>
      <w:r>
        <w:rPr>
          <w:rFonts w:ascii="Courier New" w:cs="Courier New" w:eastAsia="Courier New" w:hAnsi="Courier New"/>
          <w:sz w:val="18"/>
          <w:szCs w:val="18"/>
          <w:color w:val="auto"/>
        </w:rPr>
        <w:t>$855,975 $750,530 ======== ========</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1779" w:hanging="412"/>
        <w:spacing w:after="0" w:line="252" w:lineRule="auto"/>
        <w:tabs>
          <w:tab w:leader="none" w:pos="4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SFAS No. 142, goodwill from acquisitions completed after June 30, 2001 is not amortized, but is subject to periodic impairment tests. Under SFAS No. 142, amortization of goodwill ceased, for acquisitions completed prior to July 1, 2001, on October 1, 2002. In accordance with SFAS No. 141's new definition of intangible assets, workforce-in-place was reclassified to goodwill.</w:t>
      </w:r>
    </w:p>
    <w:p>
      <w:pPr>
        <w:spacing w:after="0" w:line="101" w:lineRule="exact"/>
        <w:rPr>
          <w:rFonts w:ascii="Courier New" w:cs="Courier New" w:eastAsia="Courier New" w:hAnsi="Courier New"/>
          <w:sz w:val="18"/>
          <w:szCs w:val="18"/>
          <w:color w:val="auto"/>
        </w:rPr>
      </w:pPr>
    </w:p>
    <w:p>
      <w:pPr>
        <w:jc w:val="both"/>
        <w:ind w:left="420" w:right="1879" w:hanging="412"/>
        <w:spacing w:after="0" w:line="292" w:lineRule="auto"/>
        <w:tabs>
          <w:tab w:leader="none" w:pos="4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September 2002, the Company recorded a reduction of the goodwill related to an acquisition due to a release of a valuation allowance with respect to a tax asset that existed at the acquisition date. See Note 10.</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9 -- OTHER NONCURRENT ASSETS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Other noncurrent assets consist of the following:</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-------------------- 2003 2002 --------</w:t>
      </w:r>
    </w:p>
    <w:tbl>
      <w:tblPr>
        <w:tblLayout w:type="fixed"/>
        <w:tblInd w:w="0" w:type="dxa"/>
        <w:tblCellMar>
          <w:top w:w="0" w:type="dxa"/>
          <w:left w:w="0" w:type="dxa"/>
          <w:bottom w:w="0" w:type="dxa"/>
          <w:right w:w="0" w:type="dxa"/>
        </w:tblCellMar>
      </w:tblPr>
      <w:tr>
        <w:trPr>
          <w:trHeight w:val="201"/>
        </w:trPr>
        <w:tc>
          <w:tcPr>
            <w:tcW w:w="6280" w:type="dxa"/>
            <w:vAlign w:val="bottom"/>
            <w:gridSpan w:val="3"/>
          </w:tcPr>
          <w:p>
            <w:pPr>
              <w:jc w:val="center"/>
              <w:spacing w:after="0" w:line="201" w:lineRule="exact"/>
              <w:rPr>
                <w:sz w:val="20"/>
                <w:szCs w:val="20"/>
                <w:color w:val="auto"/>
              </w:rPr>
            </w:pPr>
            <w:r>
              <w:rPr>
                <w:rFonts w:ascii="Courier New" w:cs="Courier New" w:eastAsia="Courier New" w:hAnsi="Courier New"/>
                <w:sz w:val="18"/>
                <w:szCs w:val="18"/>
                <w:color w:val="auto"/>
                <w:w w:val="97"/>
              </w:rPr>
              <w:t>--------- Funded employee benefit</w:t>
            </w:r>
          </w:p>
        </w:tc>
        <w:tc>
          <w:tcPr>
            <w:tcW w:w="0" w:type="dxa"/>
            <w:vAlign w:val="bottom"/>
          </w:tcPr>
          <w:p>
            <w:pPr>
              <w:spacing w:after="0"/>
              <w:rPr>
                <w:sz w:val="1"/>
                <w:szCs w:val="1"/>
                <w:color w:val="auto"/>
              </w:rPr>
            </w:pPr>
          </w:p>
        </w:tc>
      </w:tr>
      <w:tr>
        <w:trPr>
          <w:trHeight w:val="203"/>
        </w:trPr>
        <w:tc>
          <w:tcPr>
            <w:tcW w:w="428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9"/>
              </w:rPr>
              <w:t>costs(1)............................</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$49,020 $ 40,495</w:t>
            </w:r>
          </w:p>
        </w:tc>
        <w:tc>
          <w:tcPr>
            <w:tcW w:w="0" w:type="dxa"/>
            <w:vAlign w:val="bottom"/>
          </w:tcPr>
          <w:p>
            <w:pPr>
              <w:spacing w:after="0"/>
              <w:rPr>
                <w:sz w:val="1"/>
                <w:szCs w:val="1"/>
                <w:color w:val="auto"/>
              </w:rPr>
            </w:pPr>
          </w:p>
        </w:tc>
      </w:tr>
      <w:tr>
        <w:trPr>
          <w:trHeight w:val="203"/>
        </w:trPr>
        <w:tc>
          <w:tcPr>
            <w:tcW w:w="4280" w:type="dxa"/>
            <w:vAlign w:val="bottom"/>
            <w:gridSpan w:val="2"/>
          </w:tcPr>
          <w:p>
            <w:pPr>
              <w:jc w:val="right"/>
              <w:spacing w:after="0" w:line="202" w:lineRule="exact"/>
              <w:rPr>
                <w:sz w:val="20"/>
                <w:szCs w:val="20"/>
                <w:color w:val="auto"/>
              </w:rPr>
            </w:pPr>
            <w:r>
              <w:rPr>
                <w:rFonts w:ascii="Courier New" w:cs="Courier New" w:eastAsia="Courier New" w:hAnsi="Courier New"/>
                <w:sz w:val="13"/>
                <w:szCs w:val="13"/>
                <w:color w:val="auto"/>
              </w:rPr>
              <w:t>...................................</w:t>
            </w:r>
            <w:r>
              <w:rPr>
                <w:rFonts w:ascii="Courier New" w:cs="Courier New" w:eastAsia="Courier New" w:hAnsi="Courier New"/>
                <w:sz w:val="23"/>
                <w:szCs w:val="23"/>
                <w:color w:val="auto"/>
                <w:vertAlign w:val="superscript"/>
              </w:rPr>
              <w:t>Managedservices</w:t>
            </w:r>
          </w:p>
        </w:tc>
        <w:tc>
          <w:tcPr>
            <w:tcW w:w="20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15,916 --</w:t>
            </w:r>
          </w:p>
        </w:tc>
        <w:tc>
          <w:tcPr>
            <w:tcW w:w="0" w:type="dxa"/>
            <w:vAlign w:val="bottom"/>
          </w:tcPr>
          <w:p>
            <w:pPr>
              <w:spacing w:after="0"/>
              <w:rPr>
                <w:sz w:val="1"/>
                <w:szCs w:val="1"/>
                <w:color w:val="auto"/>
              </w:rPr>
            </w:pPr>
          </w:p>
        </w:tc>
      </w:tr>
      <w:tr>
        <w:trPr>
          <w:trHeight w:val="203"/>
        </w:trPr>
        <w:tc>
          <w:tcPr>
            <w:tcW w:w="2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costs(2)</w:t>
            </w:r>
          </w:p>
        </w:tc>
        <w:tc>
          <w:tcPr>
            <w:tcW w:w="1740" w:type="dxa"/>
            <w:vAlign w:val="bottom"/>
          </w:tcPr>
          <w:p>
            <w:pPr>
              <w:spacing w:after="0"/>
              <w:rPr>
                <w:sz w:val="17"/>
                <w:szCs w:val="17"/>
                <w:color w:val="auto"/>
              </w:rPr>
            </w:pP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Noncurrent investments, at cost(3)</w:t>
            </w:r>
          </w:p>
        </w:tc>
        <w:tc>
          <w:tcPr>
            <w:tcW w:w="0" w:type="dxa"/>
            <w:vAlign w:val="bottom"/>
          </w:tcPr>
          <w:p>
            <w:pPr>
              <w:spacing w:after="0"/>
              <w:rPr>
                <w:sz w:val="1"/>
                <w:szCs w:val="1"/>
                <w:color w:val="auto"/>
              </w:rPr>
            </w:pP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(4).......................</w:t>
            </w:r>
          </w:p>
        </w:tc>
        <w:tc>
          <w:tcPr>
            <w:tcW w:w="3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-- 7,596 Noncurrent investment</w:t>
            </w:r>
          </w:p>
        </w:tc>
        <w:tc>
          <w:tcPr>
            <w:tcW w:w="0" w:type="dxa"/>
            <w:vAlign w:val="bottom"/>
          </w:tcPr>
          <w:p>
            <w:pPr>
              <w:spacing w:after="0"/>
              <w:rPr>
                <w:sz w:val="1"/>
                <w:szCs w:val="1"/>
                <w:color w:val="auto"/>
              </w:rPr>
            </w:pPr>
          </w:p>
        </w:tc>
      </w:tr>
      <w:tr>
        <w:trPr>
          <w:trHeight w:val="203"/>
        </w:trPr>
        <w:tc>
          <w:tcPr>
            <w:tcW w:w="4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convertible debentures(3)..........</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-- 40,857</w:t>
            </w:r>
          </w:p>
        </w:tc>
        <w:tc>
          <w:tcPr>
            <w:tcW w:w="0" w:type="dxa"/>
            <w:vAlign w:val="bottom"/>
          </w:tcPr>
          <w:p>
            <w:pPr>
              <w:spacing w:after="0"/>
              <w:rPr>
                <w:sz w:val="1"/>
                <w:szCs w:val="1"/>
                <w:color w:val="auto"/>
              </w:rPr>
            </w:pP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Convertible notes issuance cost,</w:t>
            </w:r>
          </w:p>
        </w:tc>
        <w:tc>
          <w:tcPr>
            <w:tcW w:w="0" w:type="dxa"/>
            <w:vAlign w:val="bottom"/>
          </w:tcPr>
          <w:p>
            <w:pPr>
              <w:spacing w:after="0"/>
              <w:rPr>
                <w:sz w:val="1"/>
                <w:szCs w:val="1"/>
                <w:color w:val="auto"/>
              </w:rPr>
            </w:pP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net........................</w:t>
            </w:r>
          </w:p>
        </w:tc>
        <w:tc>
          <w:tcPr>
            <w:tcW w:w="3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2,096 5,934 Restricted cash and</w:t>
            </w:r>
          </w:p>
        </w:tc>
        <w:tc>
          <w:tcPr>
            <w:tcW w:w="0" w:type="dxa"/>
            <w:vAlign w:val="bottom"/>
          </w:tcPr>
          <w:p>
            <w:pPr>
              <w:spacing w:after="0"/>
              <w:rPr>
                <w:sz w:val="1"/>
                <w:szCs w:val="1"/>
                <w:color w:val="auto"/>
              </w:rPr>
            </w:pPr>
          </w:p>
        </w:tc>
      </w:tr>
      <w:tr>
        <w:trPr>
          <w:trHeight w:val="203"/>
        </w:trPr>
        <w:tc>
          <w:tcPr>
            <w:tcW w:w="4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cash equivalents(5).....................</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234 5,072</w:t>
            </w:r>
          </w:p>
        </w:tc>
        <w:tc>
          <w:tcPr>
            <w:tcW w:w="0" w:type="dxa"/>
            <w:vAlign w:val="bottom"/>
          </w:tcPr>
          <w:p>
            <w:pPr>
              <w:spacing w:after="0"/>
              <w:rPr>
                <w:sz w:val="1"/>
                <w:szCs w:val="1"/>
                <w:color w:val="auto"/>
              </w:rPr>
            </w:pPr>
          </w:p>
        </w:tc>
      </w:tr>
      <w:tr>
        <w:trPr>
          <w:trHeight w:val="203"/>
        </w:trPr>
        <w:tc>
          <w:tcPr>
            <w:tcW w:w="2540" w:type="dxa"/>
            <w:vAlign w:val="bottom"/>
          </w:tcPr>
          <w:p>
            <w:pPr>
              <w:jc w:val="right"/>
              <w:spacing w:after="0"/>
              <w:rPr>
                <w:sz w:val="20"/>
                <w:szCs w:val="20"/>
                <w:color w:val="auto"/>
              </w:rPr>
            </w:pPr>
            <w:r>
              <w:rPr>
                <w:rFonts w:ascii="Courier New" w:cs="Courier New" w:eastAsia="Courier New" w:hAnsi="Courier New"/>
                <w:sz w:val="9"/>
                <w:szCs w:val="9"/>
                <w:color w:val="auto"/>
                <w:w w:val="77"/>
              </w:rPr>
              <w:t>Other.......................................................</w:t>
            </w:r>
          </w:p>
        </w:tc>
        <w:tc>
          <w:tcPr>
            <w:tcW w:w="1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 $76,196</w:t>
            </w:r>
          </w:p>
        </w:tc>
        <w:tc>
          <w:tcPr>
            <w:tcW w:w="2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9"/>
              </w:rPr>
              <w:t>$110,179 =======</w:t>
            </w:r>
          </w:p>
        </w:tc>
        <w:tc>
          <w:tcPr>
            <w:tcW w:w="0" w:type="dxa"/>
            <w:vAlign w:val="bottom"/>
          </w:tcPr>
          <w:p>
            <w:pPr>
              <w:spacing w:after="0"/>
              <w:rPr>
                <w:sz w:val="1"/>
                <w:szCs w:val="1"/>
                <w:color w:val="auto"/>
              </w:rPr>
            </w:pPr>
          </w:p>
        </w:tc>
      </w:tr>
      <w:tr>
        <w:trPr>
          <w:trHeight w:val="203"/>
        </w:trPr>
        <w:tc>
          <w:tcPr>
            <w:tcW w:w="254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8,930 10,225 -------</w:t>
            </w:r>
          </w:p>
        </w:tc>
        <w:tc>
          <w:tcPr>
            <w:tcW w:w="174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1740" w:type="dxa"/>
            <w:vAlign w:val="bottom"/>
          </w:tcPr>
          <w:p>
            <w:pPr>
              <w:jc w:val="center"/>
              <w:ind w:right="412"/>
              <w:spacing w:after="0"/>
              <w:rPr>
                <w:sz w:val="20"/>
                <w:szCs w:val="20"/>
                <w:color w:val="auto"/>
              </w:rPr>
            </w:pPr>
            <w:r>
              <w:rPr>
                <w:rFonts w:ascii="Courier New" w:cs="Courier New" w:eastAsia="Courier New" w:hAnsi="Courier New"/>
                <w:sz w:val="18"/>
                <w:szCs w:val="18"/>
                <w:color w:val="auto"/>
                <w:w w:val="97"/>
              </w:rPr>
              <w:t>========</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 See Note 16.</w:t>
      </w:r>
    </w:p>
    <w:p>
      <w:pPr>
        <w:spacing w:after="0" w:line="169" w:lineRule="exact"/>
        <w:rPr>
          <w:sz w:val="20"/>
          <w:szCs w:val="20"/>
          <w:color w:val="auto"/>
        </w:rPr>
      </w:pPr>
    </w:p>
    <w:p>
      <w:pPr>
        <w:ind w:left="420" w:hanging="412"/>
        <w:spacing w:after="0"/>
        <w:tabs>
          <w:tab w:leader="none" w:pos="4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2.</w:t>
      </w:r>
    </w:p>
    <w:p>
      <w:pPr>
        <w:spacing w:after="0" w:line="201" w:lineRule="exact"/>
        <w:rPr>
          <w:rFonts w:ascii="Courier New" w:cs="Courier New" w:eastAsia="Courier New" w:hAnsi="Courier New"/>
          <w:sz w:val="18"/>
          <w:szCs w:val="18"/>
          <w:color w:val="auto"/>
        </w:rPr>
      </w:pPr>
    </w:p>
    <w:p>
      <w:pPr>
        <w:ind w:left="420" w:right="1779" w:hanging="412"/>
        <w:spacing w:after="0" w:line="292" w:lineRule="auto"/>
        <w:tabs>
          <w:tab w:leader="none" w:pos="4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September 30, 2002 consisted of investment in Certen under the cost method. As of September 30, 2003, Certen is a wholly owned subsidiary of the Company and is consolidated as of that date. See Note 3.</w:t>
      </w:r>
    </w:p>
    <w:p>
      <w:pPr>
        <w:spacing w:after="0" w:line="66" w:lineRule="exact"/>
        <w:rPr>
          <w:rFonts w:ascii="Courier New" w:cs="Courier New" w:eastAsia="Courier New" w:hAnsi="Courier New"/>
          <w:sz w:val="18"/>
          <w:szCs w:val="18"/>
          <w:color w:val="auto"/>
        </w:rPr>
      </w:pPr>
    </w:p>
    <w:p>
      <w:pPr>
        <w:ind w:left="420" w:right="1779" w:hanging="412"/>
        <w:spacing w:after="0" w:line="256" w:lineRule="auto"/>
        <w:tabs>
          <w:tab w:leader="none" w:pos="4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2002, the Company recorded pretax charges of $5,500 to adjust the carrying value of two investments, accounted for by the Company under the cost method. The declines in the fair values of the investments were judged to be other than temporary and, therefore, the cost basis was written down. The write-downs were taken due to the severe financial difficulties the individual companies were facing, combined with a lack of earnings potential and other going concern issues in accordance</w:t>
      </w:r>
    </w:p>
    <w:p>
      <w:pPr>
        <w:spacing w:after="0" w:line="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F-25</w:t>
      </w:r>
    </w:p>
    <w:p>
      <w:pPr>
        <w:sectPr>
          <w:pgSz w:w="11900" w:h="16838" w:orient="portrait"/>
          <w:cols w:equalWidth="0" w:num="1">
            <w:col w:w="10219"/>
          </w:cols>
          <w:pgMar w:left="240" w:top="488" w:right="1440" w:bottom="0" w:gutter="0" w:footer="0" w:header="0"/>
        </w:sectPr>
      </w:pPr>
    </w:p>
    <w:bookmarkStart w:id="99" w:name="page100"/>
    <w:bookmarkEnd w:id="99"/>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left="420" w:right="1779"/>
        <w:spacing w:after="0" w:line="246" w:lineRule="auto"/>
        <w:rPr>
          <w:sz w:val="20"/>
          <w:szCs w:val="20"/>
          <w:color w:val="auto"/>
        </w:rPr>
      </w:pPr>
      <w:r>
        <w:rPr>
          <w:rFonts w:ascii="Courier New" w:cs="Courier New" w:eastAsia="Courier New" w:hAnsi="Courier New"/>
          <w:sz w:val="18"/>
          <w:szCs w:val="18"/>
          <w:color w:val="auto"/>
        </w:rPr>
        <w:t>with SAB 59, "Accounting for Noncurrent Marketable Equity Securities." Further, the fair value of each investee had been substantially less than the cost of the investment and the Company's management did not expect a recovery in fair value. Some of the companies have ceased operations and the others are privately-held companies with minimal operations. All of the companies were small private companies that had prospects for developing technology that might be of interest to the Company. In fiscal 2001, the Company recorded pretax charges of $6,750 to adjust the carrying value of four investments, accounted for by the Company under the cost method. Following these adjustments, as of September 30, 2002, the Company had one remaining investment, the investment in Certen. As of September 30, 2003, following the acquisition of Certen and the adjustments described above, all the Company's remaining cost method investments are presented at nil fair value.</w:t>
      </w:r>
    </w:p>
    <w:p>
      <w:pPr>
        <w:spacing w:after="0" w:line="113" w:lineRule="exact"/>
        <w:rPr>
          <w:sz w:val="20"/>
          <w:szCs w:val="20"/>
          <w:color w:val="auto"/>
        </w:rPr>
      </w:pPr>
    </w:p>
    <w:p>
      <w:pPr>
        <w:ind w:left="420" w:right="2099" w:hanging="412"/>
        <w:spacing w:after="0" w:line="347" w:lineRule="auto"/>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was required to maintain restricted cash and cash equivalents balances relating to letters of credit and bank guarantees.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10 -- INCOME TAXES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provision for income taxes consists of the following:</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1"/>
        </w:trPr>
        <w:tc>
          <w:tcPr>
            <w:tcW w:w="2440" w:type="dxa"/>
            <w:vAlign w:val="bottom"/>
            <w:gridSpan w:val="2"/>
          </w:tcPr>
          <w:p>
            <w:pPr>
              <w:jc w:val="right"/>
              <w:ind w:right="41"/>
              <w:spacing w:after="0" w:line="201" w:lineRule="exact"/>
              <w:rPr>
                <w:sz w:val="20"/>
                <w:szCs w:val="20"/>
                <w:color w:val="auto"/>
              </w:rPr>
            </w:pPr>
            <w:r>
              <w:rPr>
                <w:rFonts w:ascii="Courier New" w:cs="Courier New" w:eastAsia="Courier New" w:hAnsi="Courier New"/>
                <w:sz w:val="18"/>
                <w:szCs w:val="18"/>
                <w:color w:val="auto"/>
              </w:rPr>
              <w:t>2003 2001 2000</w:t>
            </w:r>
          </w:p>
        </w:tc>
        <w:tc>
          <w:tcPr>
            <w:tcW w:w="3200" w:type="dxa"/>
            <w:vAlign w:val="bottom"/>
          </w:tcPr>
          <w:p>
            <w:pPr>
              <w:jc w:val="right"/>
              <w:ind w:right="592"/>
              <w:spacing w:after="0" w:line="201" w:lineRule="exact"/>
              <w:rPr>
                <w:sz w:val="20"/>
                <w:szCs w:val="20"/>
                <w:color w:val="auto"/>
              </w:rPr>
            </w:pPr>
            <w:r>
              <w:rPr>
                <w:rFonts w:ascii="Courier New" w:cs="Courier New" w:eastAsia="Courier New" w:hAnsi="Courier New"/>
                <w:sz w:val="18"/>
                <w:szCs w:val="18"/>
                <w:color w:val="auto"/>
                <w:w w:val="96"/>
              </w:rPr>
              <w:t>------- ------- --------</w:t>
            </w:r>
          </w:p>
        </w:tc>
        <w:tc>
          <w:tcPr>
            <w:tcW w:w="0" w:type="dxa"/>
            <w:vAlign w:val="bottom"/>
          </w:tcPr>
          <w:p>
            <w:pPr>
              <w:spacing w:after="0"/>
              <w:rPr>
                <w:sz w:val="1"/>
                <w:szCs w:val="1"/>
                <w:color w:val="auto"/>
              </w:rPr>
            </w:pPr>
          </w:p>
        </w:tc>
      </w:tr>
      <w:tr>
        <w:trPr>
          <w:trHeight w:val="381"/>
        </w:trPr>
        <w:tc>
          <w:tcPr>
            <w:tcW w:w="1580" w:type="dxa"/>
            <w:vAlign w:val="bottom"/>
          </w:tcPr>
          <w:p>
            <w:pPr>
              <w:spacing w:after="0"/>
              <w:rPr>
                <w:sz w:val="20"/>
                <w:szCs w:val="20"/>
                <w:color w:val="auto"/>
              </w:rPr>
            </w:pPr>
            <w:r>
              <w:rPr>
                <w:rFonts w:ascii="Courier New" w:cs="Courier New" w:eastAsia="Courier New" w:hAnsi="Courier New"/>
                <w:sz w:val="3"/>
                <w:szCs w:val="3"/>
                <w:color w:val="auto"/>
                <w:w w:val="73"/>
              </w:rPr>
              <w:t>Current................................................</w:t>
            </w:r>
            <w:r>
              <w:rPr>
                <w:rFonts w:ascii="Courier New" w:cs="Courier New" w:eastAsia="Courier New" w:hAnsi="Courier New"/>
                <w:sz w:val="6"/>
                <w:szCs w:val="6"/>
                <w:color w:val="auto"/>
                <w:w w:val="73"/>
                <w:vertAlign w:val="subscript"/>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$52,293</w:t>
            </w:r>
          </w:p>
        </w:tc>
        <w:tc>
          <w:tcPr>
            <w:tcW w:w="3200" w:type="dxa"/>
            <w:vAlign w:val="bottom"/>
            <w:vMerge w:val="restart"/>
          </w:tcPr>
          <w:p>
            <w:pPr>
              <w:jc w:val="right"/>
              <w:ind w:right="1392"/>
              <w:spacing w:after="0"/>
              <w:rPr>
                <w:sz w:val="20"/>
                <w:szCs w:val="20"/>
                <w:color w:val="auto"/>
              </w:rPr>
            </w:pPr>
            <w:r>
              <w:rPr>
                <w:rFonts w:ascii="Courier New" w:cs="Courier New" w:eastAsia="Courier New" w:hAnsi="Courier New"/>
                <w:sz w:val="18"/>
                <w:szCs w:val="18"/>
                <w:color w:val="auto"/>
                <w:w w:val="98"/>
              </w:rPr>
              <w:t>$75,185 $110,163</w:t>
            </w:r>
          </w:p>
        </w:tc>
        <w:tc>
          <w:tcPr>
            <w:tcW w:w="0" w:type="dxa"/>
            <w:vAlign w:val="bottom"/>
          </w:tcPr>
          <w:p>
            <w:pPr>
              <w:spacing w:after="0"/>
              <w:rPr>
                <w:sz w:val="1"/>
                <w:szCs w:val="1"/>
                <w:color w:val="auto"/>
              </w:rPr>
            </w:pPr>
          </w:p>
        </w:tc>
      </w:tr>
      <w:tr>
        <w:trPr>
          <w:trHeight w:val="118"/>
        </w:trPr>
        <w:tc>
          <w:tcPr>
            <w:tcW w:w="1580" w:type="dxa"/>
            <w:vAlign w:val="bottom"/>
            <w:vMerge w:val="restart"/>
          </w:tcPr>
          <w:p>
            <w:pPr>
              <w:spacing w:after="0"/>
              <w:rPr>
                <w:sz w:val="20"/>
                <w:szCs w:val="20"/>
                <w:color w:val="auto"/>
              </w:rPr>
            </w:pPr>
            <w:r>
              <w:rPr>
                <w:rFonts w:ascii="Courier New" w:cs="Courier New" w:eastAsia="Courier New" w:hAnsi="Courier New"/>
                <w:sz w:val="18"/>
                <w:szCs w:val="18"/>
                <w:color w:val="auto"/>
              </w:rPr>
              <w:t>Deferred</w:t>
            </w:r>
          </w:p>
        </w:tc>
        <w:tc>
          <w:tcPr>
            <w:tcW w:w="860" w:type="dxa"/>
            <w:vAlign w:val="bottom"/>
            <w:vMerge w:val="continue"/>
          </w:tcPr>
          <w:p>
            <w:pPr>
              <w:spacing w:after="0"/>
              <w:rPr>
                <w:sz w:val="10"/>
                <w:szCs w:val="10"/>
                <w:color w:val="auto"/>
              </w:rPr>
            </w:pPr>
          </w:p>
        </w:tc>
        <w:tc>
          <w:tcPr>
            <w:tcW w:w="3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860" w:type="dxa"/>
            <w:vAlign w:val="bottom"/>
          </w:tcPr>
          <w:p>
            <w:pPr>
              <w:jc w:val="right"/>
              <w:spacing w:after="0" w:line="109" w:lineRule="exact"/>
              <w:rPr>
                <w:sz w:val="20"/>
                <w:szCs w:val="20"/>
                <w:color w:val="auto"/>
              </w:rPr>
            </w:pPr>
            <w:r>
              <w:rPr>
                <w:rFonts w:ascii="Courier New" w:cs="Courier New" w:eastAsia="Courier New" w:hAnsi="Courier New"/>
                <w:sz w:val="12"/>
                <w:szCs w:val="12"/>
                <w:color w:val="auto"/>
              </w:rPr>
              <w:t>-------</w:t>
            </w:r>
          </w:p>
        </w:tc>
        <w:tc>
          <w:tcPr>
            <w:tcW w:w="3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 $56,294</w:t>
            </w:r>
          </w:p>
        </w:tc>
        <w:tc>
          <w:tcPr>
            <w:tcW w:w="0" w:type="dxa"/>
            <w:vAlign w:val="bottom"/>
          </w:tcPr>
          <w:p>
            <w:pPr>
              <w:spacing w:after="0"/>
              <w:rPr>
                <w:sz w:val="1"/>
                <w:szCs w:val="1"/>
                <w:color w:val="auto"/>
              </w:rPr>
            </w:pPr>
          </w:p>
        </w:tc>
      </w:tr>
      <w:tr>
        <w:trPr>
          <w:trHeight w:val="203"/>
        </w:trPr>
        <w:tc>
          <w:tcPr>
            <w:tcW w:w="2440" w:type="dxa"/>
            <w:vAlign w:val="bottom"/>
            <w:gridSpan w:val="2"/>
          </w:tcPr>
          <w:p>
            <w:pPr>
              <w:jc w:val="right"/>
              <w:ind w:right="201"/>
              <w:spacing w:after="0" w:line="203" w:lineRule="exact"/>
              <w:rPr>
                <w:sz w:val="20"/>
                <w:szCs w:val="20"/>
                <w:color w:val="auto"/>
              </w:rPr>
            </w:pPr>
            <w:r>
              <w:rPr>
                <w:rFonts w:ascii="Courier New" w:cs="Courier New" w:eastAsia="Courier New" w:hAnsi="Courier New"/>
                <w:sz w:val="18"/>
                <w:szCs w:val="18"/>
                <w:color w:val="auto"/>
              </w:rPr>
              <w:t>4,001 (1,665) 5,018</w:t>
            </w:r>
          </w:p>
        </w:tc>
        <w:tc>
          <w:tcPr>
            <w:tcW w:w="3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580" w:type="dxa"/>
            <w:vAlign w:val="bottom"/>
          </w:tcPr>
          <w:p>
            <w:pPr>
              <w:jc w:val="right"/>
              <w:ind w:right="27"/>
              <w:spacing w:after="0"/>
              <w:rPr>
                <w:sz w:val="20"/>
                <w:szCs w:val="20"/>
                <w:color w:val="auto"/>
              </w:rPr>
            </w:pPr>
            <w:r>
              <w:rPr>
                <w:rFonts w:ascii="Courier New" w:cs="Courier New" w:eastAsia="Courier New" w:hAnsi="Courier New"/>
                <w:sz w:val="18"/>
                <w:szCs w:val="18"/>
                <w:color w:val="auto"/>
              </w:rPr>
              <w:t>$73,520</w:t>
            </w:r>
          </w:p>
        </w:tc>
        <w:tc>
          <w:tcPr>
            <w:tcW w:w="406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w w:val="97"/>
              </w:rPr>
              <w:t>$115,181 ======= ======= ========</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Deferred income taxes are comprised of the following components: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------------------- 2003 2002 ---</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 Deferred tax assets: Deferred</w:t>
      </w:r>
    </w:p>
    <w:tbl>
      <w:tblPr>
        <w:tblLayout w:type="fixed"/>
        <w:tblInd w:w="160" w:type="dxa"/>
        <w:tblCellMar>
          <w:top w:w="0" w:type="dxa"/>
          <w:left w:w="0" w:type="dxa"/>
          <w:bottom w:w="0" w:type="dxa"/>
          <w:right w:w="0" w:type="dxa"/>
        </w:tblCellMar>
      </w:tblPr>
      <w:tr>
        <w:trPr>
          <w:trHeight w:val="171"/>
        </w:trPr>
        <w:tc>
          <w:tcPr>
            <w:tcW w:w="960" w:type="dxa"/>
            <w:vAlign w:val="bottom"/>
          </w:tcPr>
          <w:p>
            <w:pPr>
              <w:ind w:left="220"/>
              <w:spacing w:after="0" w:line="170" w:lineRule="exact"/>
              <w:rPr>
                <w:sz w:val="20"/>
                <w:szCs w:val="20"/>
                <w:color w:val="auto"/>
              </w:rPr>
            </w:pPr>
            <w:r>
              <w:rPr>
                <w:rFonts w:ascii="Courier New" w:cs="Courier New" w:eastAsia="Courier New" w:hAnsi="Courier New"/>
                <w:sz w:val="18"/>
                <w:szCs w:val="18"/>
                <w:color w:val="auto"/>
                <w:w w:val="95"/>
              </w:rPr>
              <w:t>revenue</w:t>
            </w:r>
          </w:p>
        </w:tc>
        <w:tc>
          <w:tcPr>
            <w:tcW w:w="1360" w:type="dxa"/>
            <w:vAlign w:val="bottom"/>
          </w:tcPr>
          <w:p>
            <w:pPr>
              <w:spacing w:after="0"/>
              <w:rPr>
                <w:sz w:val="20"/>
                <w:szCs w:val="20"/>
                <w:color w:val="auto"/>
              </w:rPr>
            </w:pPr>
            <w:r>
              <w:rPr>
                <w:rFonts w:ascii="Courier New" w:cs="Courier New" w:eastAsia="Courier New" w:hAnsi="Courier New"/>
                <w:sz w:val="8"/>
                <w:szCs w:val="8"/>
                <w:color w:val="auto"/>
                <w:w w:val="73"/>
              </w:rPr>
              <w:t>......................................</w:t>
            </w:r>
          </w:p>
        </w:tc>
        <w:tc>
          <w:tcPr>
            <w:tcW w:w="3060" w:type="dxa"/>
            <w:vAlign w:val="bottom"/>
          </w:tcPr>
          <w:p>
            <w:pPr>
              <w:jc w:val="right"/>
              <w:ind w:right="132"/>
              <w:spacing w:after="0" w:line="170"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960" w:type="dxa"/>
            <w:vAlign w:val="bottom"/>
            <w:vMerge w:val="restart"/>
          </w:tcPr>
          <w:p>
            <w:pPr>
              <w:spacing w:after="0"/>
              <w:rPr>
                <w:sz w:val="20"/>
                <w:szCs w:val="20"/>
                <w:color w:val="auto"/>
              </w:rPr>
            </w:pPr>
            <w:r>
              <w:rPr>
                <w:rFonts w:ascii="Courier New" w:cs="Courier New" w:eastAsia="Courier New" w:hAnsi="Courier New"/>
                <w:sz w:val="5"/>
                <w:szCs w:val="5"/>
                <w:color w:val="auto"/>
                <w:w w:val="84"/>
              </w:rPr>
              <w:t>costs................................</w:t>
            </w:r>
          </w:p>
        </w:tc>
        <w:tc>
          <w:tcPr>
            <w:tcW w:w="4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27,056 $ 23,303 Accrued employee</w:t>
            </w:r>
          </w:p>
        </w:tc>
        <w:tc>
          <w:tcPr>
            <w:tcW w:w="0" w:type="dxa"/>
            <w:vAlign w:val="bottom"/>
          </w:tcPr>
          <w:p>
            <w:pPr>
              <w:spacing w:after="0"/>
              <w:rPr>
                <w:sz w:val="1"/>
                <w:szCs w:val="1"/>
                <w:color w:val="auto"/>
              </w:rPr>
            </w:pPr>
          </w:p>
        </w:tc>
      </w:tr>
      <w:tr>
        <w:trPr>
          <w:trHeight w:val="203"/>
        </w:trPr>
        <w:tc>
          <w:tcPr>
            <w:tcW w:w="96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26,333 19,367</w:t>
            </w:r>
          </w:p>
        </w:tc>
        <w:tc>
          <w:tcPr>
            <w:tcW w:w="0" w:type="dxa"/>
            <w:vAlign w:val="bottom"/>
          </w:tcPr>
          <w:p>
            <w:pPr>
              <w:spacing w:after="0"/>
              <w:rPr>
                <w:sz w:val="1"/>
                <w:szCs w:val="1"/>
                <w:color w:val="auto"/>
              </w:rPr>
            </w:pPr>
          </w:p>
        </w:tc>
      </w:tr>
      <w:tr>
        <w:trPr>
          <w:trHeight w:val="203"/>
        </w:trPr>
        <w:tc>
          <w:tcPr>
            <w:tcW w:w="2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Equipment, vehicles</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leasehold improvements,</w:t>
            </w:r>
          </w:p>
        </w:tc>
        <w:tc>
          <w:tcPr>
            <w:tcW w:w="0" w:type="dxa"/>
            <w:vAlign w:val="bottom"/>
          </w:tcPr>
          <w:p>
            <w:pPr>
              <w:spacing w:after="0"/>
              <w:rPr>
                <w:sz w:val="1"/>
                <w:szCs w:val="1"/>
                <w:color w:val="auto"/>
              </w:rPr>
            </w:pP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47,932 3,315</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computer</w:t>
            </w: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software</w:t>
            </w:r>
          </w:p>
        </w:tc>
        <w:tc>
          <w:tcPr>
            <w:tcW w:w="3060" w:type="dxa"/>
            <w:vAlign w:val="bottom"/>
          </w:tcPr>
          <w:p>
            <w:pPr>
              <w:spacing w:after="0"/>
              <w:rPr>
                <w:sz w:val="20"/>
                <w:szCs w:val="20"/>
                <w:color w:val="auto"/>
              </w:rPr>
            </w:pPr>
            <w:r>
              <w:rPr>
                <w:rFonts w:ascii="Courier New" w:cs="Courier New" w:eastAsia="Courier New" w:hAnsi="Courier New"/>
                <w:sz w:val="18"/>
                <w:szCs w:val="18"/>
                <w:color w:val="auto"/>
              </w:rPr>
              <w:t>and intellectual</w:t>
            </w:r>
          </w:p>
        </w:tc>
        <w:tc>
          <w:tcPr>
            <w:tcW w:w="0" w:type="dxa"/>
            <w:vAlign w:val="bottom"/>
          </w:tcPr>
          <w:p>
            <w:pPr>
              <w:spacing w:after="0"/>
              <w:rPr>
                <w:sz w:val="1"/>
                <w:szCs w:val="1"/>
                <w:color w:val="auto"/>
              </w:rPr>
            </w:pPr>
          </w:p>
        </w:tc>
      </w:tr>
    </w:tbl>
    <w:p>
      <w:pPr>
        <w:ind w:left="160"/>
        <w:spacing w:after="0" w:line="238" w:lineRule="auto"/>
        <w:rPr>
          <w:sz w:val="20"/>
          <w:szCs w:val="20"/>
          <w:color w:val="auto"/>
        </w:rPr>
      </w:pPr>
      <w:r>
        <w:rPr>
          <w:rFonts w:ascii="Courier New" w:cs="Courier New" w:eastAsia="Courier New" w:hAnsi="Courier New"/>
          <w:sz w:val="18"/>
          <w:szCs w:val="18"/>
          <w:color w:val="auto"/>
        </w:rPr>
        <w:t>property...........................................</w:t>
      </w:r>
    </w:p>
    <w:p>
      <w:pPr>
        <w:ind w:left="840"/>
        <w:spacing w:after="0"/>
        <w:rPr>
          <w:sz w:val="20"/>
          <w:szCs w:val="20"/>
          <w:color w:val="auto"/>
        </w:rPr>
      </w:pPr>
      <w:r>
        <w:rPr>
          <w:rFonts w:ascii="Courier New" w:cs="Courier New" w:eastAsia="Courier New" w:hAnsi="Courier New"/>
          <w:sz w:val="18"/>
          <w:szCs w:val="18"/>
          <w:color w:val="auto"/>
        </w:rPr>
        <w:t>15,052 14,790 Net operating loss carry</w:t>
      </w:r>
    </w:p>
    <w:tbl>
      <w:tblPr>
        <w:tblLayout w:type="fixed"/>
        <w:tblInd w:w="0" w:type="dxa"/>
        <w:tblCellMar>
          <w:top w:w="0" w:type="dxa"/>
          <w:left w:w="0" w:type="dxa"/>
          <w:bottom w:w="0" w:type="dxa"/>
          <w:right w:w="0" w:type="dxa"/>
        </w:tblCellMar>
      </w:tblPr>
      <w:tr>
        <w:trPr>
          <w:trHeight w:val="171"/>
        </w:trPr>
        <w:tc>
          <w:tcPr>
            <w:tcW w:w="2800" w:type="dxa"/>
            <w:vAlign w:val="bottom"/>
            <w:gridSpan w:val="2"/>
          </w:tcPr>
          <w:p>
            <w:pPr>
              <w:jc w:val="right"/>
              <w:spacing w:after="0" w:line="170" w:lineRule="exact"/>
              <w:rPr>
                <w:sz w:val="20"/>
                <w:szCs w:val="20"/>
                <w:color w:val="auto"/>
              </w:rPr>
            </w:pPr>
            <w:r>
              <w:rPr>
                <w:rFonts w:ascii="Courier New" w:cs="Courier New" w:eastAsia="Courier New" w:hAnsi="Courier New"/>
                <w:sz w:val="18"/>
                <w:szCs w:val="18"/>
                <w:color w:val="auto"/>
                <w:w w:val="88"/>
              </w:rPr>
              <w:t>forwards.....................</w:t>
            </w:r>
          </w:p>
        </w:tc>
        <w:tc>
          <w:tcPr>
            <w:tcW w:w="2840" w:type="dxa"/>
            <w:vAlign w:val="bottom"/>
            <w:gridSpan w:val="2"/>
          </w:tcPr>
          <w:p>
            <w:pPr>
              <w:jc w:val="right"/>
              <w:ind w:right="432"/>
              <w:spacing w:after="0" w:line="170" w:lineRule="exact"/>
              <w:rPr>
                <w:sz w:val="20"/>
                <w:szCs w:val="20"/>
                <w:color w:val="auto"/>
              </w:rPr>
            </w:pPr>
            <w:r>
              <w:rPr>
                <w:rFonts w:ascii="Courier New" w:cs="Courier New" w:eastAsia="Courier New" w:hAnsi="Courier New"/>
                <w:sz w:val="18"/>
                <w:szCs w:val="18"/>
                <w:color w:val="auto"/>
              </w:rPr>
              <w:t>13,629 19,342</w:t>
            </w:r>
          </w:p>
        </w:tc>
        <w:tc>
          <w:tcPr>
            <w:tcW w:w="0" w:type="dxa"/>
            <w:vAlign w:val="bottom"/>
          </w:tcPr>
          <w:p>
            <w:pPr>
              <w:spacing w:after="0"/>
              <w:rPr>
                <w:sz w:val="1"/>
                <w:szCs w:val="1"/>
                <w:color w:val="auto"/>
              </w:rPr>
            </w:pPr>
          </w:p>
        </w:tc>
      </w:tr>
      <w:tr>
        <w:trPr>
          <w:trHeight w:val="203"/>
        </w:trPr>
        <w:tc>
          <w:tcPr>
            <w:tcW w:w="28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Other.................................................</w:t>
            </w:r>
          </w:p>
        </w:tc>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3"/>
          </w:tcPr>
          <w:p>
            <w:pPr>
              <w:jc w:val="right"/>
              <w:spacing w:after="0" w:line="202" w:lineRule="exact"/>
              <w:rPr>
                <w:sz w:val="20"/>
                <w:szCs w:val="20"/>
                <w:color w:val="auto"/>
              </w:rPr>
            </w:pPr>
            <w:r>
              <w:rPr>
                <w:rFonts w:ascii="Courier New" w:cs="Courier New" w:eastAsia="Courier New" w:hAnsi="Courier New"/>
                <w:sz w:val="13"/>
                <w:szCs w:val="13"/>
                <w:color w:val="auto"/>
                <w:w w:val="96"/>
              </w:rPr>
              <w:t>..................................</w:t>
            </w:r>
            <w:r>
              <w:rPr>
                <w:rFonts w:ascii="Courier New" w:cs="Courier New" w:eastAsia="Courier New" w:hAnsi="Courier New"/>
                <w:sz w:val="23"/>
                <w:szCs w:val="23"/>
                <w:color w:val="auto"/>
                <w:w w:val="96"/>
                <w:vertAlign w:val="superscript"/>
              </w:rPr>
              <w:t>23,06111,899Valuation</w:t>
            </w:r>
          </w:p>
        </w:tc>
        <w:tc>
          <w:tcPr>
            <w:tcW w:w="12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allowances</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(10,704) --------</w:t>
            </w:r>
          </w:p>
        </w:tc>
        <w:tc>
          <w:tcPr>
            <w:tcW w:w="326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 Total deferred tax</w:t>
            </w:r>
          </w:p>
        </w:tc>
        <w:tc>
          <w:tcPr>
            <w:tcW w:w="0" w:type="dxa"/>
            <w:vAlign w:val="bottom"/>
          </w:tcPr>
          <w:p>
            <w:pPr>
              <w:spacing w:after="0"/>
              <w:rPr>
                <w:sz w:val="1"/>
                <w:szCs w:val="1"/>
                <w:color w:val="auto"/>
              </w:rPr>
            </w:pPr>
          </w:p>
        </w:tc>
      </w:tr>
      <w:tr>
        <w:trPr>
          <w:trHeight w:val="203"/>
        </w:trPr>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assets.....................</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153,063 81,312 -------- -</w:t>
            </w:r>
          </w:p>
        </w:tc>
        <w:tc>
          <w:tcPr>
            <w:tcW w:w="0" w:type="dxa"/>
            <w:vAlign w:val="bottom"/>
          </w:tcPr>
          <w:p>
            <w:pPr>
              <w:spacing w:after="0"/>
              <w:rPr>
                <w:sz w:val="1"/>
                <w:szCs w:val="1"/>
                <w:color w:val="auto"/>
              </w:rPr>
            </w:pPr>
          </w:p>
        </w:tc>
      </w:tr>
      <w:tr>
        <w:trPr>
          <w:trHeight w:val="203"/>
        </w:trPr>
        <w:tc>
          <w:tcPr>
            <w:tcW w:w="56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Deferred tax liabilities: Anticipated</w:t>
            </w:r>
          </w:p>
        </w:tc>
        <w:tc>
          <w:tcPr>
            <w:tcW w:w="0" w:type="dxa"/>
            <w:vAlign w:val="bottom"/>
          </w:tcPr>
          <w:p>
            <w:pPr>
              <w:spacing w:after="0"/>
              <w:rPr>
                <w:sz w:val="1"/>
                <w:szCs w:val="1"/>
                <w:color w:val="auto"/>
              </w:rPr>
            </w:pPr>
          </w:p>
        </w:tc>
      </w:tr>
      <w:tr>
        <w:trPr>
          <w:trHeight w:val="203"/>
        </w:trPr>
        <w:tc>
          <w:tcPr>
            <w:tcW w:w="4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withholdings on subsidiaries' earnings....</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(43,046)</w:t>
            </w:r>
          </w:p>
        </w:tc>
        <w:tc>
          <w:tcPr>
            <w:tcW w:w="0" w:type="dxa"/>
            <w:vAlign w:val="bottom"/>
          </w:tcPr>
          <w:p>
            <w:pPr>
              <w:spacing w:after="0"/>
              <w:rPr>
                <w:sz w:val="1"/>
                <w:szCs w:val="1"/>
                <w:color w:val="auto"/>
              </w:rPr>
            </w:pPr>
          </w:p>
        </w:tc>
      </w:tr>
      <w:tr>
        <w:trPr>
          <w:trHeight w:val="203"/>
        </w:trPr>
        <w:tc>
          <w:tcPr>
            <w:tcW w:w="56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(42,149) Equipment, vehicles and leasehold</w:t>
            </w:r>
          </w:p>
        </w:tc>
        <w:tc>
          <w:tcPr>
            <w:tcW w:w="0" w:type="dxa"/>
            <w:vAlign w:val="bottom"/>
          </w:tcPr>
          <w:p>
            <w:pPr>
              <w:spacing w:after="0"/>
              <w:rPr>
                <w:sz w:val="1"/>
                <w:szCs w:val="1"/>
                <w:color w:val="auto"/>
              </w:rPr>
            </w:pPr>
          </w:p>
        </w:tc>
      </w:tr>
      <w:tr>
        <w:trPr>
          <w:trHeight w:val="203"/>
        </w:trPr>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1"/>
              </w:rPr>
              <w:t>improvements, net...</w:t>
            </w:r>
          </w:p>
        </w:tc>
        <w:tc>
          <w:tcPr>
            <w:tcW w:w="326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(6,634) (4,254) Intangible</w:t>
            </w:r>
          </w:p>
        </w:tc>
        <w:tc>
          <w:tcPr>
            <w:tcW w:w="0" w:type="dxa"/>
            <w:vAlign w:val="bottom"/>
          </w:tcPr>
          <w:p>
            <w:pPr>
              <w:spacing w:after="0"/>
              <w:rPr>
                <w:sz w:val="1"/>
                <w:szCs w:val="1"/>
                <w:color w:val="auto"/>
              </w:rPr>
            </w:pPr>
          </w:p>
        </w:tc>
      </w:tr>
      <w:tr>
        <w:trPr>
          <w:trHeight w:val="203"/>
        </w:trPr>
        <w:tc>
          <w:tcPr>
            <w:tcW w:w="56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assets, computer software and intellectual</w:t>
            </w:r>
          </w:p>
        </w:tc>
        <w:tc>
          <w:tcPr>
            <w:tcW w:w="0" w:type="dxa"/>
            <w:vAlign w:val="bottom"/>
          </w:tcPr>
          <w:p>
            <w:pPr>
              <w:spacing w:after="0"/>
              <w:rPr>
                <w:sz w:val="1"/>
                <w:szCs w:val="1"/>
                <w:color w:val="auto"/>
              </w:rPr>
            </w:pPr>
          </w:p>
        </w:tc>
      </w:tr>
      <w:tr>
        <w:trPr>
          <w:trHeight w:val="203"/>
        </w:trPr>
        <w:tc>
          <w:tcPr>
            <w:tcW w:w="28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property...........................................</w:t>
            </w:r>
          </w:p>
        </w:tc>
        <w:tc>
          <w:tcPr>
            <w:tcW w:w="1640" w:type="dxa"/>
            <w:vAlign w:val="bottom"/>
            <w:vMerge w:val="restart"/>
          </w:tcPr>
          <w:p>
            <w:pPr>
              <w:jc w:val="right"/>
              <w:ind w:right="612"/>
              <w:spacing w:after="0"/>
              <w:rPr>
                <w:sz w:val="20"/>
                <w:szCs w:val="20"/>
                <w:color w:val="auto"/>
              </w:rPr>
            </w:pPr>
            <w:r>
              <w:rPr>
                <w:rFonts w:ascii="Courier New" w:cs="Courier New" w:eastAsia="Courier New" w:hAnsi="Courier New"/>
                <w:sz w:val="18"/>
                <w:szCs w:val="18"/>
                <w:color w:val="auto"/>
              </w:rPr>
              <w:t>(10,007)</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(28,563)</w:t>
            </w:r>
          </w:p>
        </w:tc>
        <w:tc>
          <w:tcPr>
            <w:tcW w:w="164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Other.................................................</w:t>
            </w:r>
          </w:p>
        </w:tc>
        <w:tc>
          <w:tcPr>
            <w:tcW w:w="284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6"/>
              </w:rPr>
              <w:t>-------- Total deferred tax</w:t>
            </w:r>
          </w:p>
        </w:tc>
        <w:tc>
          <w:tcPr>
            <w:tcW w:w="0" w:type="dxa"/>
            <w:vAlign w:val="bottom"/>
          </w:tcPr>
          <w:p>
            <w:pPr>
              <w:spacing w:after="0"/>
              <w:rPr>
                <w:sz w:val="1"/>
                <w:szCs w:val="1"/>
                <w:color w:val="auto"/>
              </w:rPr>
            </w:pPr>
          </w:p>
        </w:tc>
      </w:tr>
      <w:tr>
        <w:trPr>
          <w:trHeight w:val="203"/>
        </w:trPr>
        <w:tc>
          <w:tcPr>
            <w:tcW w:w="28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(14,867) (4,268) --------</w:t>
            </w:r>
          </w:p>
        </w:tc>
        <w:tc>
          <w:tcPr>
            <w:tcW w:w="2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liabilities................</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(93,110) (60,678) -------</w:t>
            </w:r>
          </w:p>
        </w:tc>
        <w:tc>
          <w:tcPr>
            <w:tcW w:w="0" w:type="dxa"/>
            <w:vAlign w:val="bottom"/>
          </w:tcPr>
          <w:p>
            <w:pPr>
              <w:spacing w:after="0"/>
              <w:rPr>
                <w:sz w:val="1"/>
                <w:szCs w:val="1"/>
                <w:color w:val="auto"/>
              </w:rPr>
            </w:pPr>
          </w:p>
        </w:tc>
      </w:tr>
      <w:tr>
        <w:trPr>
          <w:trHeight w:val="203"/>
        </w:trPr>
        <w:tc>
          <w:tcPr>
            <w:tcW w:w="4440" w:type="dxa"/>
            <w:vAlign w:val="bottom"/>
            <w:gridSpan w:val="3"/>
          </w:tcPr>
          <w:p>
            <w:pPr>
              <w:jc w:val="center"/>
              <w:ind w:left="1178"/>
              <w:spacing w:after="0" w:line="203" w:lineRule="exact"/>
              <w:rPr>
                <w:sz w:val="20"/>
                <w:szCs w:val="20"/>
                <w:color w:val="auto"/>
              </w:rPr>
            </w:pPr>
            <w:r>
              <w:rPr>
                <w:rFonts w:ascii="Courier New" w:cs="Courier New" w:eastAsia="Courier New" w:hAnsi="Courier New"/>
                <w:sz w:val="18"/>
                <w:szCs w:val="18"/>
                <w:color w:val="auto"/>
                <w:w w:val="98"/>
              </w:rPr>
              <w:t>- -------- Net deferred tax</w:t>
            </w:r>
          </w:p>
        </w:tc>
        <w:tc>
          <w:tcPr>
            <w:tcW w:w="12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4"/>
              </w:rPr>
              <w:t>$ 59,953 $</w:t>
            </w:r>
          </w:p>
        </w:tc>
        <w:tc>
          <w:tcPr>
            <w:tcW w:w="0" w:type="dxa"/>
            <w:vAlign w:val="bottom"/>
          </w:tcPr>
          <w:p>
            <w:pPr>
              <w:spacing w:after="0"/>
              <w:rPr>
                <w:sz w:val="1"/>
                <w:szCs w:val="1"/>
                <w:color w:val="auto"/>
              </w:rPr>
            </w:pPr>
          </w:p>
        </w:tc>
      </w:tr>
      <w:tr>
        <w:trPr>
          <w:trHeight w:val="203"/>
        </w:trPr>
        <w:tc>
          <w:tcPr>
            <w:tcW w:w="2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assets.................................</w:t>
            </w:r>
          </w:p>
        </w:tc>
        <w:tc>
          <w:tcPr>
            <w:tcW w:w="16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440" w:type="dxa"/>
            <w:vAlign w:val="bottom"/>
            <w:gridSpan w:val="3"/>
          </w:tcPr>
          <w:p>
            <w:pPr>
              <w:jc w:val="center"/>
              <w:ind w:left="1178"/>
              <w:spacing w:after="0"/>
              <w:rPr>
                <w:sz w:val="20"/>
                <w:szCs w:val="20"/>
                <w:color w:val="auto"/>
              </w:rPr>
            </w:pPr>
            <w:r>
              <w:rPr>
                <w:rFonts w:ascii="Courier New" w:cs="Courier New" w:eastAsia="Courier New" w:hAnsi="Courier New"/>
                <w:sz w:val="18"/>
                <w:szCs w:val="18"/>
                <w:color w:val="auto"/>
                <w:w w:val="97"/>
              </w:rPr>
              <w:t>20,634 ======== ========</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40" w:type="dxa"/>
            <w:vAlign w:val="bottom"/>
            <w:gridSpan w:val="2"/>
          </w:tcPr>
          <w:p>
            <w:pPr>
              <w:jc w:val="right"/>
              <w:ind w:right="1012"/>
              <w:spacing w:after="0"/>
              <w:rPr>
                <w:sz w:val="20"/>
                <w:szCs w:val="20"/>
                <w:color w:val="auto"/>
              </w:rPr>
            </w:pPr>
            <w:r>
              <w:rPr>
                <w:rFonts w:ascii="Courier New" w:cs="Courier New" w:eastAsia="Courier New" w:hAnsi="Courier New"/>
                <w:sz w:val="18"/>
                <w:szCs w:val="18"/>
                <w:color w:val="auto"/>
              </w:rPr>
              <w:t>F-26</w:t>
            </w: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498" w:gutter="0" w:footer="0" w:header="0"/>
        </w:sectPr>
      </w:pPr>
    </w:p>
    <w:bookmarkStart w:id="100" w:name="page101"/>
    <w:bookmarkEnd w:id="10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The effective income tax rate varied from the statutory Guernsey tax rate as follows:</w:t>
      </w:r>
    </w:p>
    <w:p>
      <w:pPr>
        <w:spacing w:after="0" w:line="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YEAR ENDED SEPTEMBER 30, ------------------ 2003</w:t>
      </w:r>
    </w:p>
    <w:p>
      <w:pPr>
        <w:spacing w:after="0" w:line="29"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2002 2001 ---- ---- ---- Statutory Guernsey tax</w:t>
      </w:r>
    </w:p>
    <w:tbl>
      <w:tblPr>
        <w:tblLayout w:type="fixed"/>
        <w:tblInd w:w="0" w:type="dxa"/>
        <w:tblCellMar>
          <w:top w:w="0" w:type="dxa"/>
          <w:left w:w="0" w:type="dxa"/>
          <w:bottom w:w="0" w:type="dxa"/>
          <w:right w:w="0" w:type="dxa"/>
        </w:tblCellMar>
      </w:tblPr>
      <w:tr>
        <w:trPr>
          <w:trHeight w:val="171"/>
        </w:trPr>
        <w:tc>
          <w:tcPr>
            <w:tcW w:w="1640" w:type="dxa"/>
            <w:vAlign w:val="bottom"/>
          </w:tcPr>
          <w:p>
            <w:pPr>
              <w:jc w:val="right"/>
              <w:spacing w:after="0"/>
              <w:rPr>
                <w:sz w:val="20"/>
                <w:szCs w:val="20"/>
                <w:color w:val="auto"/>
              </w:rPr>
            </w:pPr>
            <w:r>
              <w:rPr>
                <w:rFonts w:ascii="Courier New" w:cs="Courier New" w:eastAsia="Courier New" w:hAnsi="Courier New"/>
                <w:sz w:val="11"/>
                <w:szCs w:val="11"/>
                <w:color w:val="auto"/>
                <w:w w:val="70"/>
              </w:rPr>
              <w:t>rate...............................</w:t>
            </w:r>
          </w:p>
        </w:tc>
        <w:tc>
          <w:tcPr>
            <w:tcW w:w="354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20% 20% 20%</w:t>
            </w:r>
          </w:p>
        </w:tc>
        <w:tc>
          <w:tcPr>
            <w:tcW w:w="0" w:type="dxa"/>
            <w:vAlign w:val="bottom"/>
          </w:tcPr>
          <w:p>
            <w:pPr>
              <w:spacing w:after="0"/>
              <w:rPr>
                <w:sz w:val="1"/>
                <w:szCs w:val="1"/>
                <w:color w:val="auto"/>
              </w:rPr>
            </w:pPr>
          </w:p>
        </w:tc>
      </w:tr>
      <w:tr>
        <w:trPr>
          <w:trHeight w:val="203"/>
        </w:trPr>
        <w:tc>
          <w:tcPr>
            <w:tcW w:w="164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1"/>
              </w:rPr>
              <w:t>status................................</w:t>
            </w:r>
          </w:p>
        </w:tc>
        <w:tc>
          <w:tcPr>
            <w:tcW w:w="3540" w:type="dxa"/>
            <w:vAlign w:val="bottom"/>
          </w:tcPr>
          <w:p>
            <w:pPr>
              <w:jc w:val="center"/>
              <w:ind w:right="1452"/>
              <w:spacing w:after="0" w:line="203" w:lineRule="exact"/>
              <w:rPr>
                <w:sz w:val="20"/>
                <w:szCs w:val="20"/>
                <w:color w:val="auto"/>
              </w:rPr>
            </w:pPr>
            <w:r>
              <w:rPr>
                <w:rFonts w:ascii="Courier New" w:cs="Courier New" w:eastAsia="Courier New" w:hAnsi="Courier New"/>
                <w:sz w:val="18"/>
                <w:szCs w:val="18"/>
                <w:color w:val="auto"/>
                <w:w w:val="97"/>
              </w:rPr>
              <w:t>Guernsey tax-exempt</w:t>
            </w:r>
          </w:p>
        </w:tc>
        <w:tc>
          <w:tcPr>
            <w:tcW w:w="0" w:type="dxa"/>
            <w:vAlign w:val="bottom"/>
          </w:tcPr>
          <w:p>
            <w:pPr>
              <w:spacing w:after="0"/>
              <w:rPr>
                <w:sz w:val="1"/>
                <w:szCs w:val="1"/>
                <w:color w:val="auto"/>
              </w:rPr>
            </w:pPr>
          </w:p>
        </w:tc>
      </w:tr>
      <w:tr>
        <w:trPr>
          <w:trHeight w:val="203"/>
        </w:trPr>
        <w:tc>
          <w:tcPr>
            <w:tcW w:w="1640" w:type="dxa"/>
            <w:vAlign w:val="bottom"/>
            <w:vMerge w:val="continue"/>
          </w:tcPr>
          <w:p>
            <w:pPr>
              <w:spacing w:after="0"/>
              <w:rPr>
                <w:sz w:val="17"/>
                <w:szCs w:val="17"/>
                <w:color w:val="auto"/>
              </w:rPr>
            </w:pPr>
          </w:p>
        </w:tc>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 (20)</w:t>
            </w:r>
          </w:p>
        </w:tc>
        <w:tc>
          <w:tcPr>
            <w:tcW w:w="0" w:type="dxa"/>
            <w:vAlign w:val="bottom"/>
          </w:tcPr>
          <w:p>
            <w:pPr>
              <w:spacing w:after="0"/>
              <w:rPr>
                <w:sz w:val="1"/>
                <w:szCs w:val="1"/>
                <w:color w:val="auto"/>
              </w:rPr>
            </w:pPr>
          </w:p>
        </w:tc>
      </w:tr>
      <w:tr>
        <w:trPr>
          <w:trHeight w:val="296"/>
        </w:trPr>
        <w:tc>
          <w:tcPr>
            <w:tcW w:w="164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7"/>
              </w:rPr>
              <w:t>taxes.............................................</w:t>
            </w:r>
          </w:p>
        </w:tc>
        <w:tc>
          <w:tcPr>
            <w:tcW w:w="3540" w:type="dxa"/>
            <w:vAlign w:val="bottom"/>
          </w:tcPr>
          <w:p>
            <w:pPr>
              <w:jc w:val="center"/>
              <w:ind w:right="1452"/>
              <w:spacing w:after="0"/>
              <w:rPr>
                <w:sz w:val="20"/>
                <w:szCs w:val="20"/>
                <w:color w:val="auto"/>
              </w:rPr>
            </w:pPr>
            <w:r>
              <w:rPr>
                <w:rFonts w:ascii="Courier New" w:cs="Courier New" w:eastAsia="Courier New" w:hAnsi="Courier New"/>
                <w:sz w:val="18"/>
                <w:szCs w:val="18"/>
                <w:color w:val="auto"/>
                <w:w w:val="98"/>
              </w:rPr>
              <w:t>(20) Foreign</w:t>
            </w:r>
          </w:p>
        </w:tc>
        <w:tc>
          <w:tcPr>
            <w:tcW w:w="0" w:type="dxa"/>
            <w:vAlign w:val="bottom"/>
          </w:tcPr>
          <w:p>
            <w:pPr>
              <w:spacing w:after="0"/>
              <w:rPr>
                <w:sz w:val="1"/>
                <w:szCs w:val="1"/>
                <w:color w:val="auto"/>
              </w:rPr>
            </w:pPr>
          </w:p>
        </w:tc>
      </w:tr>
      <w:tr>
        <w:trPr>
          <w:trHeight w:val="203"/>
        </w:trPr>
        <w:tc>
          <w:tcPr>
            <w:tcW w:w="1640" w:type="dxa"/>
            <w:vAlign w:val="bottom"/>
            <w:vMerge w:val="continue"/>
          </w:tcPr>
          <w:p>
            <w:pPr>
              <w:spacing w:after="0"/>
              <w:rPr>
                <w:sz w:val="17"/>
                <w:szCs w:val="17"/>
                <w:color w:val="auto"/>
              </w:rPr>
            </w:pPr>
          </w:p>
        </w:tc>
        <w:tc>
          <w:tcPr>
            <w:tcW w:w="3540" w:type="dxa"/>
            <w:vAlign w:val="bottom"/>
            <w:vMerge w:val="restart"/>
          </w:tcPr>
          <w:p>
            <w:pPr>
              <w:jc w:val="center"/>
              <w:ind w:right="1452"/>
              <w:spacing w:after="0"/>
              <w:rPr>
                <w:sz w:val="20"/>
                <w:szCs w:val="20"/>
                <w:color w:val="auto"/>
              </w:rPr>
            </w:pPr>
            <w:r>
              <w:rPr>
                <w:rFonts w:ascii="Courier New" w:cs="Courier New" w:eastAsia="Courier New" w:hAnsi="Courier New"/>
                <w:sz w:val="18"/>
                <w:szCs w:val="18"/>
                <w:color w:val="auto"/>
                <w:w w:val="96"/>
              </w:rPr>
              <w:t>30 28 30 Valuation</w:t>
            </w:r>
          </w:p>
        </w:tc>
        <w:tc>
          <w:tcPr>
            <w:tcW w:w="0" w:type="dxa"/>
            <w:vAlign w:val="bottom"/>
          </w:tcPr>
          <w:p>
            <w:pPr>
              <w:spacing w:after="0"/>
              <w:rPr>
                <w:sz w:val="1"/>
                <w:szCs w:val="1"/>
                <w:color w:val="auto"/>
              </w:rPr>
            </w:pPr>
          </w:p>
        </w:tc>
      </w:tr>
      <w:tr>
        <w:trPr>
          <w:trHeight w:val="203"/>
        </w:trPr>
        <w:tc>
          <w:tcPr>
            <w:tcW w:w="1640" w:type="dxa"/>
            <w:vAlign w:val="bottom"/>
            <w:vMerge w:val="restart"/>
          </w:tcPr>
          <w:p>
            <w:pPr>
              <w:jc w:val="right"/>
              <w:ind w:right="526"/>
              <w:spacing w:after="0"/>
              <w:rPr>
                <w:sz w:val="20"/>
                <w:szCs w:val="20"/>
                <w:color w:val="auto"/>
              </w:rPr>
            </w:pPr>
            <w:r>
              <w:rPr>
                <w:rFonts w:ascii="Courier New" w:cs="Courier New" w:eastAsia="Courier New" w:hAnsi="Courier New"/>
                <w:sz w:val="18"/>
                <w:szCs w:val="18"/>
                <w:color w:val="auto"/>
              </w:rPr>
              <w:t>allowance</w:t>
            </w:r>
          </w:p>
        </w:tc>
        <w:tc>
          <w:tcPr>
            <w:tcW w:w="3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5180" w:type="dxa"/>
            <w:vAlign w:val="bottom"/>
            <w:gridSpan w:val="2"/>
            <w:vMerge w:val="continue"/>
          </w:tcPr>
          <w:p>
            <w:pPr>
              <w:jc w:val="right"/>
              <w:spacing w:after="0" w:line="85" w:lineRule="exact"/>
              <w:rPr>
                <w:sz w:val="20"/>
                <w:szCs w:val="20"/>
                <w:color w:val="auto"/>
              </w:rPr>
            </w:pPr>
            <w:r>
              <w:rPr>
                <w:rFonts w:ascii="Courier New" w:cs="Courier New" w:eastAsia="Courier New" w:hAnsi="Courier New"/>
                <w:sz w:val="9"/>
                <w:szCs w:val="9"/>
                <w:color w:val="auto"/>
              </w:rPr>
              <w:t>.......................................</w:t>
            </w:r>
          </w:p>
        </w:tc>
        <w:tc>
          <w:tcPr>
            <w:tcW w:w="0" w:type="dxa"/>
            <w:vAlign w:val="bottom"/>
          </w:tcPr>
          <w:p>
            <w:pPr>
              <w:spacing w:after="0"/>
              <w:rPr>
                <w:sz w:val="1"/>
                <w:szCs w:val="1"/>
                <w:color w:val="auto"/>
              </w:rPr>
            </w:pPr>
          </w:p>
        </w:tc>
      </w:tr>
    </w:tbl>
    <w:p>
      <w:pPr>
        <w:ind w:left="740" w:right="5259" w:hanging="416"/>
        <w:spacing w:after="0" w:line="268" w:lineRule="auto"/>
        <w:tabs>
          <w:tab w:leader="none" w:pos="7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Income tax rate before effect of acquisition-related costs,</w:t>
      </w:r>
    </w:p>
    <w:p>
      <w:pPr>
        <w:jc w:val="center"/>
        <w:ind w:right="4939"/>
        <w:spacing w:after="0"/>
        <w:rPr>
          <w:sz w:val="20"/>
          <w:szCs w:val="20"/>
          <w:color w:val="auto"/>
        </w:rPr>
      </w:pPr>
      <w:r>
        <w:rPr>
          <w:rFonts w:ascii="Courier New" w:cs="Courier New" w:eastAsia="Courier New" w:hAnsi="Courier New"/>
          <w:sz w:val="18"/>
          <w:szCs w:val="18"/>
          <w:color w:val="auto"/>
        </w:rPr>
        <w:t>restructuring charges and gains from the</w:t>
      </w:r>
    </w:p>
    <w:p>
      <w:pPr>
        <w:jc w:val="center"/>
        <w:ind w:right="4939"/>
        <w:spacing w:after="0" w:line="238" w:lineRule="auto"/>
        <w:rPr>
          <w:sz w:val="20"/>
          <w:szCs w:val="20"/>
          <w:color w:val="auto"/>
        </w:rPr>
      </w:pPr>
      <w:r>
        <w:rPr>
          <w:rFonts w:ascii="Courier New" w:cs="Courier New" w:eastAsia="Courier New" w:hAnsi="Courier New"/>
          <w:sz w:val="18"/>
          <w:szCs w:val="18"/>
          <w:color w:val="auto"/>
        </w:rPr>
        <w:t>repurchases of convertible</w:t>
      </w:r>
    </w:p>
    <w:tbl>
      <w:tblPr>
        <w:tblLayout w:type="fixed"/>
        <w:tblInd w:w="60" w:type="dxa"/>
        <w:tblCellMar>
          <w:top w:w="0" w:type="dxa"/>
          <w:left w:w="0" w:type="dxa"/>
          <w:bottom w:w="0" w:type="dxa"/>
          <w:right w:w="0" w:type="dxa"/>
        </w:tblCellMar>
      </w:tblPr>
      <w:tr>
        <w:trPr>
          <w:trHeight w:val="171"/>
        </w:trPr>
        <w:tc>
          <w:tcPr>
            <w:tcW w:w="1580" w:type="dxa"/>
            <w:vAlign w:val="bottom"/>
          </w:tcPr>
          <w:p>
            <w:pPr>
              <w:jc w:val="right"/>
              <w:spacing w:after="0"/>
              <w:rPr>
                <w:sz w:val="20"/>
                <w:szCs w:val="20"/>
                <w:color w:val="auto"/>
              </w:rPr>
            </w:pPr>
            <w:r>
              <w:rPr>
                <w:rFonts w:ascii="Courier New" w:cs="Courier New" w:eastAsia="Courier New" w:hAnsi="Courier New"/>
                <w:sz w:val="12"/>
                <w:szCs w:val="12"/>
                <w:color w:val="auto"/>
                <w:w w:val="74"/>
              </w:rPr>
              <w:t>notes........................</w:t>
            </w:r>
          </w:p>
        </w:tc>
        <w:tc>
          <w:tcPr>
            <w:tcW w:w="358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25 28 30 Effect of:</w:t>
            </w:r>
          </w:p>
        </w:tc>
        <w:tc>
          <w:tcPr>
            <w:tcW w:w="0" w:type="dxa"/>
            <w:vAlign w:val="bottom"/>
          </w:tcPr>
          <w:p>
            <w:pPr>
              <w:spacing w:after="0"/>
              <w:rPr>
                <w:sz w:val="1"/>
                <w:szCs w:val="1"/>
                <w:color w:val="auto"/>
              </w:rPr>
            </w:pPr>
          </w:p>
        </w:tc>
      </w:tr>
      <w:tr>
        <w:trPr>
          <w:trHeight w:val="203"/>
        </w:trPr>
        <w:tc>
          <w:tcPr>
            <w:tcW w:w="158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2"/>
              </w:rPr>
              <w:t>costs...............................</w:t>
            </w:r>
          </w:p>
        </w:tc>
        <w:tc>
          <w:tcPr>
            <w:tcW w:w="358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Acquisition-related</w:t>
            </w: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3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-- 59 33</w:t>
            </w:r>
          </w:p>
        </w:tc>
        <w:tc>
          <w:tcPr>
            <w:tcW w:w="0" w:type="dxa"/>
            <w:vAlign w:val="bottom"/>
          </w:tcPr>
          <w:p>
            <w:pPr>
              <w:spacing w:after="0"/>
              <w:rPr>
                <w:sz w:val="1"/>
                <w:szCs w:val="1"/>
                <w:color w:val="auto"/>
              </w:rPr>
            </w:pPr>
          </w:p>
        </w:tc>
      </w:tr>
      <w:tr>
        <w:trPr>
          <w:trHeight w:val="203"/>
        </w:trPr>
        <w:tc>
          <w:tcPr>
            <w:tcW w:w="1580" w:type="dxa"/>
            <w:vAlign w:val="bottom"/>
            <w:vMerge w:val="restart"/>
          </w:tcPr>
          <w:p>
            <w:pPr>
              <w:jc w:val="right"/>
              <w:ind w:right="703"/>
              <w:spacing w:after="0"/>
              <w:rPr>
                <w:sz w:val="20"/>
                <w:szCs w:val="20"/>
                <w:color w:val="auto"/>
              </w:rPr>
            </w:pPr>
            <w:r>
              <w:rPr>
                <w:rFonts w:ascii="Courier New" w:cs="Courier New" w:eastAsia="Courier New" w:hAnsi="Courier New"/>
                <w:sz w:val="18"/>
                <w:szCs w:val="18"/>
                <w:color w:val="auto"/>
              </w:rPr>
              <w:t>charges</w:t>
            </w:r>
          </w:p>
        </w:tc>
        <w:tc>
          <w:tcPr>
            <w:tcW w:w="358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6"/>
              </w:rPr>
              <w:t>Restructuring</w:t>
            </w:r>
          </w:p>
        </w:tc>
        <w:tc>
          <w:tcPr>
            <w:tcW w:w="0" w:type="dxa"/>
            <w:vAlign w:val="bottom"/>
          </w:tcPr>
          <w:p>
            <w:pPr>
              <w:spacing w:after="0"/>
              <w:rPr>
                <w:sz w:val="1"/>
                <w:szCs w:val="1"/>
                <w:color w:val="auto"/>
              </w:rPr>
            </w:pPr>
          </w:p>
        </w:tc>
      </w:tr>
      <w:tr>
        <w:trPr>
          <w:trHeight w:val="203"/>
        </w:trPr>
        <w:tc>
          <w:tcPr>
            <w:tcW w:w="158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3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-- 30</w:t>
            </w:r>
          </w:p>
        </w:tc>
        <w:tc>
          <w:tcPr>
            <w:tcW w:w="0" w:type="dxa"/>
            <w:vAlign w:val="bottom"/>
          </w:tcPr>
          <w:p>
            <w:pPr>
              <w:spacing w:after="0"/>
              <w:rPr>
                <w:sz w:val="1"/>
                <w:szCs w:val="1"/>
                <w:color w:val="auto"/>
              </w:rPr>
            </w:pPr>
          </w:p>
        </w:tc>
      </w:tr>
      <w:tr>
        <w:trPr>
          <w:trHeight w:val="203"/>
        </w:trPr>
        <w:tc>
          <w:tcPr>
            <w:tcW w:w="5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Gains from the repurchases of convertible</w:t>
            </w:r>
          </w:p>
        </w:tc>
        <w:tc>
          <w:tcPr>
            <w:tcW w:w="0" w:type="dxa"/>
            <w:vAlign w:val="bottom"/>
          </w:tcPr>
          <w:p>
            <w:pPr>
              <w:spacing w:after="0"/>
              <w:rPr>
                <w:sz w:val="1"/>
                <w:szCs w:val="1"/>
                <w:color w:val="auto"/>
              </w:rPr>
            </w:pPr>
          </w:p>
        </w:tc>
      </w:tr>
      <w:tr>
        <w:trPr>
          <w:trHeight w:val="203"/>
        </w:trPr>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notes.........</w:t>
            </w:r>
          </w:p>
        </w:tc>
        <w:tc>
          <w:tcPr>
            <w:tcW w:w="3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(10) -- --- --- --- 25% 107%</w:t>
            </w:r>
          </w:p>
        </w:tc>
        <w:tc>
          <w:tcPr>
            <w:tcW w:w="0" w:type="dxa"/>
            <w:vAlign w:val="bottom"/>
          </w:tcPr>
          <w:p>
            <w:pPr>
              <w:spacing w:after="0"/>
              <w:rPr>
                <w:sz w:val="1"/>
                <w:szCs w:val="1"/>
                <w:color w:val="auto"/>
              </w:rPr>
            </w:pPr>
          </w:p>
        </w:tc>
      </w:tr>
      <w:tr>
        <w:trPr>
          <w:trHeight w:val="296"/>
        </w:trPr>
        <w:tc>
          <w:tcPr>
            <w:tcW w:w="1580" w:type="dxa"/>
            <w:vAlign w:val="bottom"/>
          </w:tcPr>
          <w:p>
            <w:pPr>
              <w:spacing w:after="0"/>
              <w:rPr>
                <w:sz w:val="24"/>
                <w:szCs w:val="24"/>
                <w:color w:val="auto"/>
              </w:rPr>
            </w:pPr>
          </w:p>
        </w:tc>
        <w:tc>
          <w:tcPr>
            <w:tcW w:w="3580" w:type="dxa"/>
            <w:vAlign w:val="bottom"/>
          </w:tcPr>
          <w:p>
            <w:pPr>
              <w:jc w:val="center"/>
              <w:ind w:right="1472"/>
              <w:spacing w:after="0"/>
              <w:rPr>
                <w:sz w:val="20"/>
                <w:szCs w:val="20"/>
                <w:color w:val="auto"/>
              </w:rPr>
            </w:pPr>
            <w:r>
              <w:rPr>
                <w:rFonts w:ascii="Courier New" w:cs="Courier New" w:eastAsia="Courier New" w:hAnsi="Courier New"/>
                <w:sz w:val="18"/>
                <w:szCs w:val="18"/>
                <w:color w:val="auto"/>
                <w:w w:val="97"/>
              </w:rPr>
              <w:t>63% === === ===</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As a Guernsey company with tax-exempt status, the Company's overall effective tax rate is attributable solely to foreign taxes. Effective October 1, 2002, the Company adopted SFAS No. 142. As a result, the Company no longer amortizes goodwill, the majority of which is not tax-deductible. Therefore, this non tax-deductible item did not negatively impact the Company's effective tax rate in fiscal 2003.</w:t>
      </w:r>
    </w:p>
    <w:p>
      <w:pPr>
        <w:spacing w:after="0" w:line="93"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high effective tax rates in the years ended September 30, 2002 and 2001 were primarily attributable to amortization of goodwill related to the Company's acquisitions, much of which is not tax deductible. In the year ended September 30, 2002 the Company's effective tax rate was also adversely affected by the fixed non-deductible expenditures representing a larger component of the Company's pretax income.</w:t>
      </w:r>
    </w:p>
    <w:p>
      <w:pPr>
        <w:spacing w:after="0" w:line="93"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As of September 30, 2003 the Company estimated that operating losses related to its Canadian subsidiary would be realized through future taxable earnings. As a result, related valuation allowance of $13,282 was released through the income tax provision. The decrease in the Company's effective tax rate following the release of the valuation allowance was reflected in the Company's results of operations. As of September 30, 2002, the Company estimated that operating losses incurred by the subsidiary prior to the Company's acquisition of that company in April 2000 would be realized through future taxable earnings. As a result, the related valuation allowance of $8,957 was released as an offsetting reduction of the goodwill recorded in that transaction. As of September 30, 2003, there was no valuation allowance balance. The valuation allowance related to the Company's Canadian subsidiary was changed during fiscal 2003 due to changes in timing differences prior to the Company's conclusion that the operating losses related to this subsidiary would be realized through future taxable earnings.</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11 -- FINANCING ARRANGEMENTS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SHORT-TERM</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financing transactions are described below:</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As of September 30, 2003, the Company had available a short-term general revolving line of credit totaling $30,000. During fiscal 2003 and as of September 30, 2003, there was no outstanding balance under this credit line. The cost of maintaining this revolving line of credit was insignificant.</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F-27</w:t>
      </w:r>
    </w:p>
    <w:p>
      <w:pPr>
        <w:sectPr>
          <w:pgSz w:w="11900" w:h="16838" w:orient="portrait"/>
          <w:cols w:equalWidth="0" w:num="1">
            <w:col w:w="10219"/>
          </w:cols>
          <w:pgMar w:left="240" w:top="488" w:right="1440" w:bottom="996" w:gutter="0" w:footer="0" w:header="0"/>
        </w:sectPr>
      </w:pPr>
    </w:p>
    <w:bookmarkStart w:id="101" w:name="page102"/>
    <w:bookmarkEnd w:id="10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In addition, as of September 30, 2003, the Company had credit facilities totaling $40,340, limited for the use of letters of credit and bank guarantees from various banks. Outstanding letters of credit and bank guarantees as of September 30, 2003 totaled $22,624. These were mostly supported by a combination of the credit facilities described above and restricted cash balances that the Company maintains with the issuing banks. See Note 9.</w:t>
      </w:r>
    </w:p>
    <w:p>
      <w:pPr>
        <w:spacing w:after="0" w:line="9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LONG-TERM</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Following the Company's acquisition of Certen (see Note 3), the Company assumed a loan bearing an annual interest rate of 7.53% denominated in Canadian dollars. The proceeds from this loan, that was recognized on Certen's books as of the acquisition date, were received after the acquisition date, and are reflected in the consolidated cash flow statement for fiscal 2003 as "borrowings under financing arrangement". The principal and interest is payable in quarterly installments and matures in fiscal 2005. Future repayment of the loan is as follows:</w:t>
      </w:r>
    </w:p>
    <w:p>
      <w:pPr>
        <w:spacing w:after="0" w:line="1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SEPTEMBER 30, - -------</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2004........................................</w:t>
      </w:r>
    </w:p>
    <w:p>
      <w:pPr>
        <w:jc w:val="center"/>
        <w:ind w:right="5579"/>
        <w:spacing w:after="0"/>
        <w:rPr>
          <w:sz w:val="20"/>
          <w:szCs w:val="20"/>
          <w:color w:val="auto"/>
        </w:rPr>
      </w:pPr>
      <w:r>
        <w:rPr>
          <w:rFonts w:ascii="Courier New" w:cs="Courier New" w:eastAsia="Courier New" w:hAnsi="Courier New"/>
          <w:sz w:val="18"/>
          <w:szCs w:val="18"/>
          <w:color w:val="auto"/>
        </w:rPr>
        <w:t>$2,179</w:t>
      </w:r>
    </w:p>
    <w:p>
      <w:pPr>
        <w:spacing w:after="0" w:line="238" w:lineRule="auto"/>
        <w:rPr>
          <w:sz w:val="20"/>
          <w:szCs w:val="20"/>
          <w:color w:val="auto"/>
        </w:rPr>
      </w:pPr>
      <w:r>
        <w:rPr>
          <w:rFonts w:ascii="Courier New" w:cs="Courier New" w:eastAsia="Courier New" w:hAnsi="Courier New"/>
          <w:sz w:val="18"/>
          <w:szCs w:val="18"/>
          <w:color w:val="auto"/>
        </w:rPr>
        <w:t>2005........................................</w:t>
      </w:r>
    </w:p>
    <w:p>
      <w:pPr>
        <w:ind w:left="1060"/>
        <w:spacing w:after="0"/>
        <w:rPr>
          <w:sz w:val="20"/>
          <w:szCs w:val="20"/>
          <w:color w:val="auto"/>
        </w:rPr>
      </w:pPr>
      <w:r>
        <w:rPr>
          <w:rFonts w:ascii="Courier New" w:cs="Courier New" w:eastAsia="Courier New" w:hAnsi="Courier New"/>
          <w:sz w:val="18"/>
          <w:szCs w:val="18"/>
          <w:color w:val="auto"/>
        </w:rPr>
        <w:t>571 ------ $2,750 ======</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12 -- CONVERTIBLE NOTES</w:t>
      </w:r>
    </w:p>
    <w:p>
      <w:pPr>
        <w:spacing w:after="0" w:line="201"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In May 2001 the Company issued $500,000 aggregate principal amount of 2% Convertible Notes due June 1, 2008 (the "2% Notes"). The Company is obligated to pay interest on the 2% Notes semi-annually on June 1 and December 1 of each year. The 2% Notes are senior unsecured obligations of the Company and rank equal in right of payment with all of existing and future senior unsecured indebtedness of the Company. The 2% Notes are convertible, at the option of the holders at any time before the maturity date, into Ordinary Shares of the Company at a conversion rate of 10.8587 shares per one thousand dollars principal amount, representing a conversion price of approximately $92.09 per share. The 2% Notes are subject to redemption at any time on or after June 1, 2006, in whole or in part, at the option of the Company, at a redemption price of 100% of the principal amount plus accrued and unpaid interest. The 2% Notes are subject to repurchase, at the holders' option, on June 1, 2004 and June 1, 2006, at a repurchase price equal to 100% of the principal amount plus accrued and unpaid interest, if any, on such repurchase date. Due to the high conversion price for the 2% Notes, it is likely that the holders of the 2% Notes will require the Company to redeem their 2% Notes on June 1, 2004. The Company may choose to pay the repurchase price in cash, Ordinary Shares or a combination of cash and Ordinary Shares. As of September 30, 2003, the 2% Notes are presented as current liabilities.</w:t>
      </w:r>
    </w:p>
    <w:p>
      <w:pPr>
        <w:spacing w:after="0" w:line="108"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On July 23, 2002, the board of directors authorized the Company to repurchase the 2% Notes, in such amounts, at such prices and at such times considered appropriate. Such repurchases may be made on the open market, in privately negotiated transactions or otherwise, in accordance with any applicable laws and the terms of the 2% Notes. During the fourth quarter of fiscal 2003, the Company repurchased $44,600 aggregate principal amount of the 2% Notes at an average price of $990 per $1,000 principal amount, resulting in a gain of $448. During the fourth quarter of fiscal 2002, the Company repurchased $54,946 aggregate principal amount of the 2% Notes at an average price of $890 per $1,000 principal amount, resulting in a gain of $6,012. See Note 14. The Company funded these repurchases, and intends to fund any future repurchases, with available funds. As of September 30, 2003, $400,454 aggregate principal amount of the 2% Notes was outstanding.</w:t>
      </w:r>
    </w:p>
    <w:p>
      <w:pPr>
        <w:spacing w:after="0" w:line="1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F-28</w:t>
      </w:r>
    </w:p>
    <w:p>
      <w:pPr>
        <w:sectPr>
          <w:pgSz w:w="11900" w:h="16838" w:orient="portrait"/>
          <w:cols w:equalWidth="0" w:num="1">
            <w:col w:w="10219"/>
          </w:cols>
          <w:pgMar w:left="240" w:top="488" w:right="1440" w:bottom="1440" w:gutter="0" w:footer="0" w:header="0"/>
        </w:sectPr>
      </w:pPr>
    </w:p>
    <w:bookmarkStart w:id="102" w:name="page103"/>
    <w:bookmarkEnd w:id="10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During the three months ended December 31, 2003, the Company repurchased $5,000 aggregate principal amount of the 2% Notes for an aggregate purchase price of $4,987.</w:t>
      </w:r>
    </w:p>
    <w:p>
      <w:pPr>
        <w:spacing w:after="0" w:line="66"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On June 1, 2004, the Company completed a cash offer for the 2% Notes. Pursuant to the indenture for the 2% Notes, each holder of the 2% Notes had the right to require the Company to repurchase on June 1, 2004 all or any part of such holder's notes at a price equal to 100% of the principal amount plus accrued and unpaid interest. Under the terms of the 2% Notes, the Company had the option to pay for the 2% Notes with cash, ordinary shares, or a combination of cash and ordinary shares. The Company elected to pay for the notes solely with cash. The Company accepted for payment $395,110 principal amount of 2% Notes surrendered for repurchase pursuant to the offer. The untendered $344 principal amount of 2% Notes will remain as obligations of the Company, due June 1, 2008, in accordance with their terms.</w:t>
      </w:r>
    </w:p>
    <w:p>
      <w:pPr>
        <w:spacing w:after="0" w:line="104"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On March 5, 2004, the Company issued $450,000 aggregate principal amount of 0.50% Convertible Senior Notes due 2024 (the "0.50% Notes") through a private placement to qualified institutional buyers pursuant to Rule 144A under the Securities Act. The Company used $170,061 of the net proceeds from the sale of the 0.50% Notes to repurchase 6,074 ordinary shares sold short by purchasers of the 0.50% Notes in negotiated transactions concurrently with the offering.</w:t>
      </w:r>
    </w:p>
    <w:p>
      <w:pPr>
        <w:spacing w:after="0" w:line="6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F-29</w:t>
      </w:r>
    </w:p>
    <w:p>
      <w:pPr>
        <w:sectPr>
          <w:pgSz w:w="11900" w:h="16838" w:orient="portrait"/>
          <w:cols w:equalWidth="0" w:num="1">
            <w:col w:w="10219"/>
          </w:cols>
          <w:pgMar w:left="240" w:top="488" w:right="1440" w:bottom="1440" w:gutter="0" w:footer="0" w:header="0"/>
        </w:sectPr>
      </w:pPr>
    </w:p>
    <w:bookmarkStart w:id="103" w:name="page104"/>
    <w:bookmarkEnd w:id="10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13 -- NONCURRENT LIABILITIES AND OTHER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Noncurrent liabilities and other consist of the following:</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------------------- 2003 2002 -----</w:t>
      </w:r>
    </w:p>
    <w:p>
      <w:pPr>
        <w:spacing w:after="0" w:line="2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 -------- Accrued employees</w:t>
      </w:r>
    </w:p>
    <w:tbl>
      <w:tblPr>
        <w:tblLayout w:type="fixed"/>
        <w:tblInd w:w="0" w:type="dxa"/>
        <w:tblCellMar>
          <w:top w:w="0" w:type="dxa"/>
          <w:left w:w="0" w:type="dxa"/>
          <w:bottom w:w="0" w:type="dxa"/>
          <w:right w:w="0" w:type="dxa"/>
        </w:tblCellMar>
      </w:tblPr>
      <w:tr>
        <w:trPr>
          <w:trHeight w:val="171"/>
        </w:trPr>
        <w:tc>
          <w:tcPr>
            <w:tcW w:w="1800" w:type="dxa"/>
            <w:vAlign w:val="bottom"/>
          </w:tcPr>
          <w:p>
            <w:pPr>
              <w:jc w:val="right"/>
              <w:spacing w:after="0"/>
              <w:rPr>
                <w:sz w:val="20"/>
                <w:szCs w:val="20"/>
                <w:color w:val="auto"/>
              </w:rPr>
            </w:pPr>
            <w:r>
              <w:rPr>
                <w:rFonts w:ascii="Courier New" w:cs="Courier New" w:eastAsia="Courier New" w:hAnsi="Courier New"/>
                <w:sz w:val="11"/>
                <w:szCs w:val="11"/>
                <w:color w:val="auto"/>
                <w:w w:val="70"/>
              </w:rPr>
              <w:t>costs.................................</w:t>
            </w:r>
          </w:p>
        </w:tc>
        <w:tc>
          <w:tcPr>
            <w:tcW w:w="378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$ 75,654 $</w:t>
            </w:r>
          </w:p>
        </w:tc>
        <w:tc>
          <w:tcPr>
            <w:tcW w:w="0" w:type="dxa"/>
            <w:vAlign w:val="bottom"/>
          </w:tcPr>
          <w:p>
            <w:pPr>
              <w:spacing w:after="0"/>
              <w:rPr>
                <w:sz w:val="1"/>
                <w:szCs w:val="1"/>
                <w:color w:val="auto"/>
              </w:rPr>
            </w:pPr>
          </w:p>
        </w:tc>
      </w:tr>
      <w:tr>
        <w:trPr>
          <w:trHeight w:val="203"/>
        </w:trPr>
        <w:tc>
          <w:tcPr>
            <w:tcW w:w="1800" w:type="dxa"/>
            <w:vAlign w:val="bottom"/>
            <w:vMerge w:val="restart"/>
          </w:tcPr>
          <w:p>
            <w:pPr>
              <w:jc w:val="center"/>
              <w:ind w:left="258"/>
              <w:spacing w:after="0"/>
              <w:rPr>
                <w:sz w:val="20"/>
                <w:szCs w:val="20"/>
                <w:color w:val="auto"/>
              </w:rPr>
            </w:pPr>
            <w:r>
              <w:rPr>
                <w:rFonts w:ascii="Courier New" w:cs="Courier New" w:eastAsia="Courier New" w:hAnsi="Courier New"/>
                <w:sz w:val="8"/>
                <w:szCs w:val="8"/>
                <w:color w:val="auto"/>
                <w:w w:val="77"/>
              </w:rPr>
              <w:t>liability(1)............................</w:t>
            </w:r>
          </w:p>
        </w:tc>
        <w:tc>
          <w:tcPr>
            <w:tcW w:w="3780" w:type="dxa"/>
            <w:vAlign w:val="bottom"/>
          </w:tcPr>
          <w:p>
            <w:pPr>
              <w:jc w:val="center"/>
              <w:ind w:right="1372"/>
              <w:spacing w:after="0" w:line="203" w:lineRule="exact"/>
              <w:rPr>
                <w:sz w:val="20"/>
                <w:szCs w:val="20"/>
                <w:color w:val="auto"/>
              </w:rPr>
            </w:pPr>
            <w:r>
              <w:rPr>
                <w:rFonts w:ascii="Courier New" w:cs="Courier New" w:eastAsia="Courier New" w:hAnsi="Courier New"/>
                <w:sz w:val="18"/>
                <w:szCs w:val="18"/>
                <w:color w:val="auto"/>
                <w:w w:val="97"/>
              </w:rPr>
              <w:t>66,850 Accrued pension</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3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16,372 --</w:t>
            </w:r>
          </w:p>
        </w:tc>
        <w:tc>
          <w:tcPr>
            <w:tcW w:w="0" w:type="dxa"/>
            <w:vAlign w:val="bottom"/>
          </w:tcPr>
          <w:p>
            <w:pPr>
              <w:spacing w:after="0"/>
              <w:rPr>
                <w:sz w:val="1"/>
                <w:szCs w:val="1"/>
                <w:color w:val="auto"/>
              </w:rPr>
            </w:pPr>
          </w:p>
        </w:tc>
      </w:tr>
      <w:tr>
        <w:trPr>
          <w:trHeight w:val="203"/>
        </w:trPr>
        <w:tc>
          <w:tcPr>
            <w:tcW w:w="180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4"/>
              </w:rPr>
              <w:t>advances............................</w:t>
            </w:r>
          </w:p>
        </w:tc>
        <w:tc>
          <w:tcPr>
            <w:tcW w:w="3780" w:type="dxa"/>
            <w:vAlign w:val="bottom"/>
          </w:tcPr>
          <w:p>
            <w:pPr>
              <w:jc w:val="center"/>
              <w:ind w:right="1372"/>
              <w:spacing w:after="0" w:line="203" w:lineRule="exact"/>
              <w:rPr>
                <w:sz w:val="20"/>
                <w:szCs w:val="20"/>
                <w:color w:val="auto"/>
              </w:rPr>
            </w:pPr>
            <w:r>
              <w:rPr>
                <w:rFonts w:ascii="Courier New" w:cs="Courier New" w:eastAsia="Courier New" w:hAnsi="Courier New"/>
                <w:sz w:val="18"/>
                <w:szCs w:val="18"/>
                <w:color w:val="auto"/>
                <w:w w:val="97"/>
              </w:rPr>
              <w:t>Noncurrent customer</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3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34,725 24,146</w:t>
            </w:r>
          </w:p>
        </w:tc>
        <w:tc>
          <w:tcPr>
            <w:tcW w:w="0" w:type="dxa"/>
            <w:vAlign w:val="bottom"/>
          </w:tcPr>
          <w:p>
            <w:pPr>
              <w:spacing w:after="0"/>
              <w:rPr>
                <w:sz w:val="1"/>
                <w:szCs w:val="1"/>
                <w:color w:val="auto"/>
              </w:rPr>
            </w:pPr>
          </w:p>
        </w:tc>
      </w:tr>
      <w:tr>
        <w:trPr>
          <w:trHeight w:val="203"/>
        </w:trPr>
        <w:tc>
          <w:tcPr>
            <w:tcW w:w="5580" w:type="dxa"/>
            <w:vAlign w:val="bottom"/>
            <w:gridSpan w:val="2"/>
          </w:tcPr>
          <w:p>
            <w:pPr>
              <w:jc w:val="center"/>
              <w:ind w:left="258"/>
              <w:spacing w:after="0" w:line="203" w:lineRule="exact"/>
              <w:rPr>
                <w:sz w:val="20"/>
                <w:szCs w:val="20"/>
                <w:color w:val="auto"/>
              </w:rPr>
            </w:pPr>
            <w:r>
              <w:rPr>
                <w:rFonts w:ascii="Courier New" w:cs="Courier New" w:eastAsia="Courier New" w:hAnsi="Courier New"/>
                <w:sz w:val="18"/>
                <w:szCs w:val="18"/>
                <w:color w:val="auto"/>
                <w:w w:val="97"/>
              </w:rPr>
              <w:t>Long-term portion of capital lease</w:t>
            </w:r>
          </w:p>
        </w:tc>
        <w:tc>
          <w:tcPr>
            <w:tcW w:w="0" w:type="dxa"/>
            <w:vAlign w:val="bottom"/>
          </w:tcPr>
          <w:p>
            <w:pPr>
              <w:spacing w:after="0"/>
              <w:rPr>
                <w:sz w:val="1"/>
                <w:szCs w:val="1"/>
                <w:color w:val="auto"/>
              </w:rPr>
            </w:pPr>
          </w:p>
        </w:tc>
      </w:tr>
      <w:tr>
        <w:trPr>
          <w:trHeight w:val="203"/>
        </w:trPr>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8"/>
              </w:rPr>
              <w:t>obligations..........</w:t>
            </w:r>
          </w:p>
        </w:tc>
        <w:tc>
          <w:tcPr>
            <w:tcW w:w="3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23,825 15,138 Accrued lease</w:t>
            </w:r>
          </w:p>
        </w:tc>
        <w:tc>
          <w:tcPr>
            <w:tcW w:w="0" w:type="dxa"/>
            <w:vAlign w:val="bottom"/>
          </w:tcPr>
          <w:p>
            <w:pPr>
              <w:spacing w:after="0"/>
              <w:rPr>
                <w:sz w:val="1"/>
                <w:szCs w:val="1"/>
                <w:color w:val="auto"/>
              </w:rPr>
            </w:pP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10"/>
                <w:szCs w:val="10"/>
                <w:color w:val="auto"/>
                <w:w w:val="70"/>
              </w:rPr>
              <w:t>obligations...............................</w:t>
            </w:r>
          </w:p>
        </w:tc>
        <w:tc>
          <w:tcPr>
            <w:tcW w:w="3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10,235</w:t>
            </w:r>
          </w:p>
        </w:tc>
        <w:tc>
          <w:tcPr>
            <w:tcW w:w="0" w:type="dxa"/>
            <w:vAlign w:val="bottom"/>
          </w:tcPr>
          <w:p>
            <w:pPr>
              <w:spacing w:after="0"/>
              <w:rPr>
                <w:sz w:val="1"/>
                <w:szCs w:val="1"/>
                <w:color w:val="auto"/>
              </w:rPr>
            </w:pPr>
          </w:p>
        </w:tc>
      </w:tr>
      <w:tr>
        <w:trPr>
          <w:trHeight w:val="296"/>
        </w:trPr>
        <w:tc>
          <w:tcPr>
            <w:tcW w:w="180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5"/>
              </w:rPr>
              <w:t>Other...................................................</w:t>
            </w:r>
          </w:p>
        </w:tc>
        <w:tc>
          <w:tcPr>
            <w:tcW w:w="3780" w:type="dxa"/>
            <w:vAlign w:val="bottom"/>
          </w:tcPr>
          <w:p>
            <w:pPr>
              <w:jc w:val="right"/>
              <w:ind w:right="2232"/>
              <w:spacing w:after="0"/>
              <w:rPr>
                <w:sz w:val="20"/>
                <w:szCs w:val="20"/>
                <w:color w:val="auto"/>
              </w:rPr>
            </w:pPr>
            <w:r>
              <w:rPr>
                <w:rFonts w:ascii="Courier New" w:cs="Courier New" w:eastAsia="Courier New" w:hAnsi="Courier New"/>
                <w:sz w:val="18"/>
                <w:szCs w:val="18"/>
                <w:color w:val="auto"/>
              </w:rPr>
              <w:t>14,031</w:t>
            </w: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37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 -------- $172,495 $124,079</w:t>
            </w:r>
          </w:p>
        </w:tc>
        <w:tc>
          <w:tcPr>
            <w:tcW w:w="0" w:type="dxa"/>
            <w:vAlign w:val="bottom"/>
          </w:tcPr>
          <w:p>
            <w:pPr>
              <w:spacing w:after="0"/>
              <w:rPr>
                <w:sz w:val="1"/>
                <w:szCs w:val="1"/>
                <w:color w:val="auto"/>
              </w:rPr>
            </w:pPr>
          </w:p>
        </w:tc>
      </w:tr>
      <w:tr>
        <w:trPr>
          <w:trHeight w:val="203"/>
        </w:trPr>
        <w:tc>
          <w:tcPr>
            <w:tcW w:w="1800" w:type="dxa"/>
            <w:vAlign w:val="bottom"/>
          </w:tcPr>
          <w:p>
            <w:pPr>
              <w:jc w:val="right"/>
              <w:ind w:right="58"/>
              <w:spacing w:after="0" w:line="203" w:lineRule="exact"/>
              <w:rPr>
                <w:sz w:val="20"/>
                <w:szCs w:val="20"/>
                <w:color w:val="auto"/>
              </w:rPr>
            </w:pPr>
            <w:r>
              <w:rPr>
                <w:rFonts w:ascii="Courier New" w:cs="Courier New" w:eastAsia="Courier New" w:hAnsi="Courier New"/>
                <w:sz w:val="18"/>
                <w:szCs w:val="18"/>
                <w:color w:val="auto"/>
              </w:rPr>
              <w:t>11,684 3,914</w:t>
            </w:r>
          </w:p>
        </w:tc>
        <w:tc>
          <w:tcPr>
            <w:tcW w:w="3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800" w:type="dxa"/>
            <w:vAlign w:val="bottom"/>
          </w:tcPr>
          <w:p>
            <w:pPr>
              <w:spacing w:after="0"/>
              <w:rPr>
                <w:sz w:val="24"/>
                <w:szCs w:val="24"/>
                <w:color w:val="auto"/>
              </w:rPr>
            </w:pPr>
          </w:p>
        </w:tc>
        <w:tc>
          <w:tcPr>
            <w:tcW w:w="3780" w:type="dxa"/>
            <w:vAlign w:val="bottom"/>
          </w:tcPr>
          <w:p>
            <w:pPr>
              <w:jc w:val="right"/>
              <w:ind w:right="1652"/>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 See Note 16.</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NOTE 14 -- INTEREST INCOME AND OTHER, NET</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income and other, net consists of the following:</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---------------- 2003 2002 2001 ------</w:t>
      </w:r>
    </w:p>
    <w:p>
      <w:pPr>
        <w:ind w:left="120" w:right="6219" w:firstLine="466"/>
        <w:spacing w:after="0" w:line="268" w:lineRule="auto"/>
        <w:tabs>
          <w:tab w:leader="none" w:pos="91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Interest income...............................</w:t>
      </w:r>
    </w:p>
    <w:p>
      <w:pPr>
        <w:jc w:val="center"/>
        <w:ind w:left="120" w:right="621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$ 26,580 $ 31,856 $32,156 Interest expense..............................</w:t>
      </w:r>
    </w:p>
    <w:p>
      <w:pPr>
        <w:jc w:val="both"/>
        <w:ind w:left="160" w:right="625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(11,425) (16,004) (8,678) Gain from repurchase of Notes(1)..............</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448 6,012 -- Other,</w:t>
      </w:r>
    </w:p>
    <w:p>
      <w:pPr>
        <w:spacing w:after="0"/>
        <w:rPr>
          <w:sz w:val="20"/>
          <w:szCs w:val="20"/>
          <w:color w:val="auto"/>
        </w:rPr>
      </w:pPr>
      <w:r>
        <w:rPr>
          <w:rFonts w:ascii="Courier New" w:cs="Courier New" w:eastAsia="Courier New" w:hAnsi="Courier New"/>
          <w:sz w:val="18"/>
          <w:szCs w:val="18"/>
          <w:color w:val="auto"/>
        </w:rPr>
        <w:t>net....................................</w:t>
      </w:r>
    </w:p>
    <w:p>
      <w:pPr>
        <w:ind w:left="1000" w:hanging="625"/>
        <w:spacing w:after="0" w:line="238" w:lineRule="auto"/>
        <w:tabs>
          <w:tab w:leader="none" w:pos="100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(2,566) (1,192) $ 14,759 $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19,298 $22,286 ======== ========</w:t>
      </w: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7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See Note 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15 -- CONTINGENCIES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COMMITMENTS</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Company leases office space under non-cancelable operating leases in various countries in which it does business. Future minimum non-cancelable lease payments required after October 1, 2003 are as follows:</w:t>
      </w:r>
    </w:p>
    <w:p>
      <w:pPr>
        <w:spacing w:after="0" w:line="6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SEPTEMBER 30, - -----</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349"/>
        </w:trPr>
        <w:tc>
          <w:tcPr>
            <w:tcW w:w="1800" w:type="dxa"/>
            <w:vAlign w:val="bottom"/>
          </w:tcPr>
          <w:p>
            <w:pPr>
              <w:spacing w:after="0"/>
              <w:rPr>
                <w:sz w:val="20"/>
                <w:szCs w:val="20"/>
                <w:color w:val="auto"/>
              </w:rPr>
            </w:pPr>
            <w:r>
              <w:rPr>
                <w:rFonts w:ascii="Courier New" w:cs="Courier New" w:eastAsia="Courier New" w:hAnsi="Courier New"/>
                <w:sz w:val="2"/>
                <w:szCs w:val="2"/>
                <w:color w:val="auto"/>
                <w:vertAlign w:val="superscript"/>
              </w:rPr>
              <w:t>2004............................................................................</w:t>
            </w:r>
            <w:r>
              <w:rPr>
                <w:rFonts w:ascii="Courier New" w:cs="Courier New" w:eastAsia="Courier New" w:hAnsi="Courier New"/>
                <w:sz w:val="1"/>
                <w:szCs w:val="1"/>
                <w:color w:val="auto"/>
              </w:rPr>
              <w:t>......................................</w:t>
            </w:r>
            <w:r>
              <w:rPr>
                <w:rFonts w:ascii="Courier New" w:cs="Courier New" w:eastAsia="Courier New" w:hAnsi="Courier New"/>
                <w:sz w:val="2"/>
                <w:szCs w:val="2"/>
                <w:color w:val="auto"/>
                <w:vertAlign w:val="subscript"/>
              </w:rPr>
              <w:t>............................................................................................................</w:t>
            </w:r>
          </w:p>
        </w:tc>
        <w:tc>
          <w:tcPr>
            <w:tcW w:w="2160" w:type="dxa"/>
            <w:vAlign w:val="bottom"/>
            <w:vMerge w:val="restart"/>
          </w:tcPr>
          <w:p>
            <w:pPr>
              <w:jc w:val="center"/>
              <w:ind w:right="1232"/>
              <w:spacing w:after="0"/>
              <w:rPr>
                <w:sz w:val="20"/>
                <w:szCs w:val="20"/>
                <w:color w:val="auto"/>
              </w:rPr>
            </w:pPr>
            <w:r>
              <w:rPr>
                <w:rFonts w:ascii="Courier New" w:cs="Courier New" w:eastAsia="Courier New" w:hAnsi="Courier New"/>
                <w:sz w:val="18"/>
                <w:szCs w:val="18"/>
                <w:color w:val="auto"/>
                <w:w w:val="97"/>
              </w:rPr>
              <w:t>$ 38,757</w:t>
            </w:r>
          </w:p>
        </w:tc>
        <w:tc>
          <w:tcPr>
            <w:tcW w:w="0" w:type="dxa"/>
            <w:vAlign w:val="bottom"/>
          </w:tcPr>
          <w:p>
            <w:pPr>
              <w:spacing w:after="0"/>
              <w:rPr>
                <w:sz w:val="1"/>
                <w:szCs w:val="1"/>
                <w:color w:val="auto"/>
              </w:rPr>
            </w:pPr>
          </w:p>
        </w:tc>
      </w:tr>
      <w:tr>
        <w:trPr>
          <w:trHeight w:val="118"/>
        </w:trPr>
        <w:tc>
          <w:tcPr>
            <w:tcW w:w="1800" w:type="dxa"/>
            <w:vAlign w:val="bottom"/>
            <w:vMerge w:val="restart"/>
          </w:tcPr>
          <w:p>
            <w:pPr>
              <w:spacing w:after="0"/>
              <w:rPr>
                <w:sz w:val="20"/>
                <w:szCs w:val="20"/>
                <w:color w:val="auto"/>
              </w:rPr>
            </w:pPr>
            <w:r>
              <w:rPr>
                <w:rFonts w:ascii="Courier New" w:cs="Courier New" w:eastAsia="Courier New" w:hAnsi="Courier New"/>
                <w:sz w:val="18"/>
                <w:szCs w:val="18"/>
                <w:color w:val="auto"/>
              </w:rPr>
              <w:t>2005</w:t>
            </w: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2160" w:type="dxa"/>
            <w:vAlign w:val="bottom"/>
            <w:vMerge w:val="restart"/>
          </w:tcPr>
          <w:p>
            <w:pPr>
              <w:jc w:val="center"/>
              <w:ind w:right="1232"/>
              <w:spacing w:after="0"/>
              <w:rPr>
                <w:sz w:val="20"/>
                <w:szCs w:val="20"/>
                <w:color w:val="auto"/>
              </w:rPr>
            </w:pPr>
            <w:r>
              <w:rPr>
                <w:rFonts w:ascii="Courier New" w:cs="Courier New" w:eastAsia="Courier New" w:hAnsi="Courier New"/>
                <w:sz w:val="18"/>
                <w:szCs w:val="18"/>
                <w:color w:val="auto"/>
                <w:w w:val="98"/>
              </w:rPr>
              <w:t>30,920</w:t>
            </w:r>
          </w:p>
        </w:tc>
        <w:tc>
          <w:tcPr>
            <w:tcW w:w="0" w:type="dxa"/>
            <w:vAlign w:val="bottom"/>
          </w:tcPr>
          <w:p>
            <w:pPr>
              <w:spacing w:after="0"/>
              <w:rPr>
                <w:sz w:val="1"/>
                <w:szCs w:val="1"/>
                <w:color w:val="auto"/>
              </w:rPr>
            </w:pPr>
          </w:p>
        </w:tc>
      </w:tr>
      <w:tr>
        <w:trPr>
          <w:trHeight w:val="203"/>
        </w:trPr>
        <w:tc>
          <w:tcPr>
            <w:tcW w:w="1800" w:type="dxa"/>
            <w:vAlign w:val="bottom"/>
            <w:vMerge w:val="restart"/>
          </w:tcPr>
          <w:p>
            <w:pPr>
              <w:spacing w:after="0"/>
              <w:rPr>
                <w:sz w:val="20"/>
                <w:szCs w:val="20"/>
                <w:color w:val="auto"/>
              </w:rPr>
            </w:pPr>
            <w:r>
              <w:rPr>
                <w:rFonts w:ascii="Courier New" w:cs="Courier New" w:eastAsia="Courier New" w:hAnsi="Courier New"/>
                <w:sz w:val="18"/>
                <w:szCs w:val="18"/>
                <w:color w:val="auto"/>
              </w:rPr>
              <w:t>2006</w:t>
            </w: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2160" w:type="dxa"/>
            <w:vAlign w:val="bottom"/>
            <w:vMerge w:val="restart"/>
          </w:tcPr>
          <w:p>
            <w:pPr>
              <w:jc w:val="center"/>
              <w:ind w:right="1232"/>
              <w:spacing w:after="0"/>
              <w:rPr>
                <w:sz w:val="20"/>
                <w:szCs w:val="20"/>
                <w:color w:val="auto"/>
              </w:rPr>
            </w:pPr>
            <w:r>
              <w:rPr>
                <w:rFonts w:ascii="Courier New" w:cs="Courier New" w:eastAsia="Courier New" w:hAnsi="Courier New"/>
                <w:sz w:val="18"/>
                <w:szCs w:val="18"/>
                <w:color w:val="auto"/>
                <w:w w:val="98"/>
              </w:rPr>
              <w:t>24,263</w:t>
            </w:r>
          </w:p>
        </w:tc>
        <w:tc>
          <w:tcPr>
            <w:tcW w:w="0" w:type="dxa"/>
            <w:vAlign w:val="bottom"/>
          </w:tcPr>
          <w:p>
            <w:pPr>
              <w:spacing w:after="0"/>
              <w:rPr>
                <w:sz w:val="1"/>
                <w:szCs w:val="1"/>
                <w:color w:val="auto"/>
              </w:rPr>
            </w:pPr>
          </w:p>
        </w:tc>
      </w:tr>
      <w:tr>
        <w:trPr>
          <w:trHeight w:val="203"/>
        </w:trPr>
        <w:tc>
          <w:tcPr>
            <w:tcW w:w="1800" w:type="dxa"/>
            <w:vAlign w:val="bottom"/>
            <w:vMerge w:val="restart"/>
          </w:tcPr>
          <w:p>
            <w:pPr>
              <w:spacing w:after="0"/>
              <w:rPr>
                <w:sz w:val="20"/>
                <w:szCs w:val="20"/>
                <w:color w:val="auto"/>
              </w:rPr>
            </w:pPr>
            <w:r>
              <w:rPr>
                <w:rFonts w:ascii="Courier New" w:cs="Courier New" w:eastAsia="Courier New" w:hAnsi="Courier New"/>
                <w:sz w:val="18"/>
                <w:szCs w:val="18"/>
                <w:color w:val="auto"/>
              </w:rPr>
              <w:t>2007</w:t>
            </w: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2160" w:type="dxa"/>
            <w:vAlign w:val="bottom"/>
            <w:vMerge w:val="restart"/>
          </w:tcPr>
          <w:p>
            <w:pPr>
              <w:jc w:val="center"/>
              <w:ind w:right="1232"/>
              <w:spacing w:after="0"/>
              <w:rPr>
                <w:sz w:val="20"/>
                <w:szCs w:val="20"/>
                <w:color w:val="auto"/>
              </w:rPr>
            </w:pPr>
            <w:r>
              <w:rPr>
                <w:rFonts w:ascii="Courier New" w:cs="Courier New" w:eastAsia="Courier New" w:hAnsi="Courier New"/>
                <w:sz w:val="18"/>
                <w:szCs w:val="18"/>
                <w:color w:val="auto"/>
                <w:w w:val="98"/>
              </w:rPr>
              <w:t>19,558</w:t>
            </w:r>
          </w:p>
        </w:tc>
        <w:tc>
          <w:tcPr>
            <w:tcW w:w="0" w:type="dxa"/>
            <w:vAlign w:val="bottom"/>
          </w:tcPr>
          <w:p>
            <w:pPr>
              <w:spacing w:after="0"/>
              <w:rPr>
                <w:sz w:val="1"/>
                <w:szCs w:val="1"/>
                <w:color w:val="auto"/>
              </w:rPr>
            </w:pPr>
          </w:p>
        </w:tc>
      </w:tr>
      <w:tr>
        <w:trPr>
          <w:trHeight w:val="203"/>
        </w:trPr>
        <w:tc>
          <w:tcPr>
            <w:tcW w:w="1800" w:type="dxa"/>
            <w:vAlign w:val="bottom"/>
            <w:vMerge w:val="restart"/>
          </w:tcPr>
          <w:p>
            <w:pPr>
              <w:spacing w:after="0"/>
              <w:rPr>
                <w:sz w:val="20"/>
                <w:szCs w:val="20"/>
                <w:color w:val="auto"/>
              </w:rPr>
            </w:pPr>
            <w:r>
              <w:rPr>
                <w:rFonts w:ascii="Courier New" w:cs="Courier New" w:eastAsia="Courier New" w:hAnsi="Courier New"/>
                <w:sz w:val="18"/>
                <w:szCs w:val="18"/>
                <w:color w:val="auto"/>
              </w:rPr>
              <w:t>2008</w:t>
            </w: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2160" w:type="dxa"/>
            <w:vAlign w:val="bottom"/>
            <w:vMerge w:val="restart"/>
          </w:tcPr>
          <w:p>
            <w:pPr>
              <w:jc w:val="center"/>
              <w:ind w:right="1232"/>
              <w:spacing w:after="0"/>
              <w:rPr>
                <w:sz w:val="20"/>
                <w:szCs w:val="20"/>
                <w:color w:val="auto"/>
              </w:rPr>
            </w:pPr>
            <w:r>
              <w:rPr>
                <w:rFonts w:ascii="Courier New" w:cs="Courier New" w:eastAsia="Courier New" w:hAnsi="Courier New"/>
                <w:sz w:val="18"/>
                <w:szCs w:val="18"/>
                <w:color w:val="auto"/>
                <w:w w:val="98"/>
              </w:rPr>
              <w:t>13,915</w:t>
            </w:r>
          </w:p>
        </w:tc>
        <w:tc>
          <w:tcPr>
            <w:tcW w:w="0" w:type="dxa"/>
            <w:vAlign w:val="bottom"/>
          </w:tcPr>
          <w:p>
            <w:pPr>
              <w:spacing w:after="0"/>
              <w:rPr>
                <w:sz w:val="1"/>
                <w:szCs w:val="1"/>
                <w:color w:val="auto"/>
              </w:rPr>
            </w:pPr>
          </w:p>
        </w:tc>
      </w:tr>
      <w:tr>
        <w:trPr>
          <w:trHeight w:val="203"/>
        </w:trPr>
        <w:tc>
          <w:tcPr>
            <w:tcW w:w="1800" w:type="dxa"/>
            <w:vAlign w:val="bottom"/>
            <w:vMerge w:val="restart"/>
          </w:tcPr>
          <w:p>
            <w:pPr>
              <w:spacing w:after="0"/>
              <w:rPr>
                <w:sz w:val="20"/>
                <w:szCs w:val="20"/>
                <w:color w:val="auto"/>
              </w:rPr>
            </w:pPr>
            <w:r>
              <w:rPr>
                <w:rFonts w:ascii="Courier New" w:cs="Courier New" w:eastAsia="Courier New" w:hAnsi="Courier New"/>
                <w:sz w:val="18"/>
                <w:szCs w:val="18"/>
                <w:color w:val="auto"/>
              </w:rPr>
              <w:t>Thereafter</w:t>
            </w: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ind w:left="1220"/>
              <w:spacing w:after="0" w:line="109" w:lineRule="exact"/>
              <w:rPr>
                <w:sz w:val="20"/>
                <w:szCs w:val="20"/>
                <w:color w:val="auto"/>
              </w:rPr>
            </w:pPr>
            <w:r>
              <w:rPr>
                <w:rFonts w:ascii="Courier New" w:cs="Courier New" w:eastAsia="Courier New" w:hAnsi="Courier New"/>
                <w:sz w:val="12"/>
                <w:szCs w:val="12"/>
                <w:color w:val="auto"/>
                <w:w w:val="97"/>
              </w:rPr>
              <w:t>--------</w:t>
            </w:r>
          </w:p>
        </w:tc>
        <w:tc>
          <w:tcPr>
            <w:tcW w:w="2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$146,487 ========</w:t>
            </w:r>
          </w:p>
        </w:tc>
        <w:tc>
          <w:tcPr>
            <w:tcW w:w="0" w:type="dxa"/>
            <w:vAlign w:val="bottom"/>
          </w:tcPr>
          <w:p>
            <w:pPr>
              <w:spacing w:after="0"/>
              <w:rPr>
                <w:sz w:val="1"/>
                <w:szCs w:val="1"/>
                <w:color w:val="auto"/>
              </w:rPr>
            </w:pPr>
          </w:p>
        </w:tc>
      </w:tr>
      <w:tr>
        <w:trPr>
          <w:trHeight w:val="296"/>
        </w:trPr>
        <w:tc>
          <w:tcPr>
            <w:tcW w:w="1800" w:type="dxa"/>
            <w:vAlign w:val="bottom"/>
          </w:tcPr>
          <w:p>
            <w:pPr>
              <w:ind w:left="480"/>
              <w:spacing w:after="0"/>
              <w:rPr>
                <w:sz w:val="20"/>
                <w:szCs w:val="20"/>
                <w:color w:val="auto"/>
              </w:rPr>
            </w:pPr>
            <w:r>
              <w:rPr>
                <w:rFonts w:ascii="Courier New" w:cs="Courier New" w:eastAsia="Courier New" w:hAnsi="Courier New"/>
                <w:sz w:val="18"/>
                <w:szCs w:val="18"/>
                <w:color w:val="auto"/>
              </w:rPr>
              <w:t>19,074</w:t>
            </w:r>
          </w:p>
        </w:tc>
        <w:tc>
          <w:tcPr>
            <w:tcW w:w="2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Future minimum non-cancelable lease payments, as stated above, do not reflect committed future sublease income of $5,812, $4,572, $3,625, $3,050, $2,007 and $4,752 for the years ended September 30,</w:t>
      </w:r>
    </w:p>
    <w:p>
      <w:pPr>
        <w:sectPr>
          <w:pgSz w:w="11900" w:h="16838" w:orient="portrait"/>
          <w:cols w:equalWidth="0" w:num="1">
            <w:col w:w="10219"/>
          </w:cols>
          <w:pgMar w:left="240" w:top="488" w:right="1440" w:bottom="0" w:gutter="0" w:footer="0" w:header="0"/>
        </w:sectPr>
      </w:pPr>
    </w:p>
    <w:bookmarkStart w:id="104" w:name="page105"/>
    <w:bookmarkEnd w:id="104"/>
    <w:p>
      <w:pPr>
        <w:ind w:left="2920"/>
        <w:spacing w:after="0"/>
        <w:rPr>
          <w:sz w:val="20"/>
          <w:szCs w:val="20"/>
          <w:color w:val="auto"/>
        </w:rPr>
      </w:pPr>
      <w:r>
        <w:rPr>
          <w:rFonts w:ascii="Courier New" w:cs="Courier New" w:eastAsia="Courier New" w:hAnsi="Courier New"/>
          <w:sz w:val="16"/>
          <w:szCs w:val="16"/>
          <w:color w:val="auto"/>
        </w:rPr>
        <w:t>F-30</w:t>
      </w:r>
    </w:p>
    <w:p>
      <w:pPr>
        <w:sectPr>
          <w:pgSz w:w="11900" w:h="16838" w:orient="portrait"/>
          <w:cols w:equalWidth="0" w:num="1">
            <w:col w:w="9019"/>
          </w:cols>
          <w:pgMar w:left="1440" w:top="312" w:right="1440" w:bottom="1440" w:gutter="0" w:footer="0" w:header="0"/>
        </w:sectPr>
      </w:pPr>
    </w:p>
    <w:bookmarkStart w:id="105" w:name="page106"/>
    <w:bookmarkEnd w:id="105"/>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2004, 2005, 2006, 2007, 2008 and thereafter, respectively. Of the $122,669 net operating leases, net of $23,818 of sublease income, $9,006 has been included in accrued restructuring charges as of September 30, 2003.</w:t>
      </w:r>
    </w:p>
    <w:p>
      <w:pPr>
        <w:spacing w:after="0" w:line="66" w:lineRule="exact"/>
        <w:rPr>
          <w:sz w:val="20"/>
          <w:szCs w:val="20"/>
          <w:color w:val="auto"/>
        </w:rPr>
      </w:pPr>
    </w:p>
    <w:p>
      <w:pPr>
        <w:ind w:right="1779" w:firstLine="527"/>
        <w:spacing w:after="0" w:line="402" w:lineRule="auto"/>
        <w:rPr>
          <w:sz w:val="20"/>
          <w:szCs w:val="20"/>
          <w:color w:val="auto"/>
        </w:rPr>
      </w:pPr>
      <w:r>
        <w:rPr>
          <w:rFonts w:ascii="Courier New" w:cs="Courier New" w:eastAsia="Courier New" w:hAnsi="Courier New"/>
          <w:sz w:val="16"/>
          <w:szCs w:val="16"/>
          <w:color w:val="auto"/>
        </w:rPr>
        <w:t>Rent expense, including accruals for future lease losses, was approximately $33,039, $39,141 and $40,506 for fiscal 2003, 2002 and 2001, respectively.</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LITIGATION</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On December 2, 2003 the Company announced that the United States District Court for the Eastern District of Missouri had issued an order granting the Company's motion to dismiss the securities class action lawsuits that had been pending against the Company and certain of its directors and officers since June 2002. The court's order also directed that judgment be entered in favor of the defendants. The consolidated complaint filed in the action alleged that the Company and the individual defendants had made false or misleading statements about the Company's business and future prospects during a putative class period between July 18, 2000 and June 20, 2002. On December 29, 2003, the lead plaintiffs appealed to the United States Court of Appeals for the Eighth Circuit from the final judgment entered on December 1, 2003.</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LEGAL PROCEEDINGS</w:t>
      </w:r>
    </w:p>
    <w:p>
      <w:pPr>
        <w:spacing w:after="0" w:line="201"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The Company is involved in various other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SECURITIES AND EXCHANGE COMMISSION INVESTIGATION</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Company has been informed that the Midwest Regional Office of the SEC is conducting a private investigation into the events leading up to the Company's announcement in June 2002 of revised projected revenue for the third and fourth quarters of fiscal 2002. The investigation appears to be focused on, but is not explicitly limited to, the Company's forecasting beginning with its April 23, 2002 press release. Although the Company believes that it will be able to satisfy any concerns the SEC staff may have in this regard, the Company is unable to predict the duration, scope, or outcome of the investigation. The Company is cooperating fully with the SEC staff.</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16 -- EMPLOYEE BENEFITS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operations. The severance pay liability, which is included in noncurrent liabilities and other, is partially funded by amounts on deposit with insurance companies, which are included in other noncurrent assets. Severance expenses were approximately $15,036, $9,953 and $17,242 for fiscal 2003, 2002 and 2001, respectively.</w:t>
      </w:r>
    </w:p>
    <w:p>
      <w:pPr>
        <w:spacing w:after="0" w:line="104"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Company sponsors defined contribution plans covering certain employees in the U.S., U.K. and Canada. The plans provide for Company matching contributions based upon a percentage of the employees' voluntary contributions. The Company's fiscal 2003, 2002 and 2001 plan contributions were not significant.</w:t>
      </w:r>
    </w:p>
    <w:p>
      <w:pPr>
        <w:spacing w:after="0" w:line="90"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Following the Company's acquisition of Certen (see Note 3) and commencing on the acquisition date, July 2, 2003, the Company maintains several non-contributory defined benefit plans that provide for</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F-31</w:t>
      </w:r>
    </w:p>
    <w:p>
      <w:pPr>
        <w:sectPr>
          <w:pgSz w:w="11900" w:h="16838" w:orient="portrait"/>
          <w:cols w:equalWidth="0" w:num="1">
            <w:col w:w="10219"/>
          </w:cols>
          <w:pgMar w:left="240" w:top="488" w:right="1440" w:bottom="1440" w:gutter="0" w:footer="0" w:header="0"/>
        </w:sectPr>
      </w:pPr>
    </w:p>
    <w:bookmarkStart w:id="106" w:name="page107"/>
    <w:bookmarkEnd w:id="106"/>
    <w:p>
      <w:pPr>
        <w:spacing w:after="0" w:line="25"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right="1879"/>
        <w:spacing w:after="0" w:line="253" w:lineRule="auto"/>
        <w:rPr>
          <w:sz w:val="20"/>
          <w:szCs w:val="20"/>
          <w:color w:val="auto"/>
        </w:rPr>
      </w:pPr>
      <w:r>
        <w:rPr>
          <w:rFonts w:ascii="Courier New" w:cs="Courier New" w:eastAsia="Courier New" w:hAnsi="Courier New"/>
          <w:sz w:val="18"/>
          <w:szCs w:val="18"/>
          <w:color w:val="auto"/>
        </w:rPr>
        <w:t>pension, other retirement and post employment benefits for the Certen employees based on length of service and rate of pay. The funding policy is to make contributions to the plans based on various generally accepted actuarial methods. Contributions reflect actuarial assumptions concerning future investment returns, salary projections and future service benefits. Plan assets consist primarily of Canadian and other equities, government and corporate bonds, debentures and secured mortgages, which are held in units of the BCE Master Trust Fund, a Trust established by Bell.</w:t>
      </w:r>
    </w:p>
    <w:p>
      <w:pPr>
        <w:spacing w:after="0" w:line="104" w:lineRule="exact"/>
        <w:rPr>
          <w:sz w:val="20"/>
          <w:szCs w:val="20"/>
          <w:color w:val="auto"/>
        </w:rPr>
      </w:pPr>
    </w:p>
    <w:p>
      <w:pPr>
        <w:jc w:val="both"/>
        <w:ind w:right="2619" w:firstLine="527"/>
        <w:spacing w:after="0" w:line="292" w:lineRule="auto"/>
        <w:rPr>
          <w:sz w:val="20"/>
          <w:szCs w:val="20"/>
          <w:color w:val="auto"/>
        </w:rPr>
      </w:pPr>
      <w:r>
        <w:rPr>
          <w:rFonts w:ascii="Courier New" w:cs="Courier New" w:eastAsia="Courier New" w:hAnsi="Courier New"/>
          <w:sz w:val="18"/>
          <w:szCs w:val="18"/>
          <w:color w:val="auto"/>
        </w:rPr>
        <w:t>The net periodic benefit cost for the year ended September 30, 2003 (commencing July 2, 2003), related to pension and other benefits were as follows:</w:t>
      </w:r>
    </w:p>
    <w:p>
      <w:pPr>
        <w:spacing w:after="0" w:line="6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PENSION OTHER BENEFITS BENEFITS -------- --------</w:t>
      </w:r>
    </w:p>
    <w:p>
      <w:pPr>
        <w:spacing w:after="0" w:line="29"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Service</w:t>
      </w:r>
    </w:p>
    <w:p>
      <w:pPr>
        <w:spacing w:after="0"/>
        <w:tabs>
          <w:tab w:leader="none" w:pos="520" w:val="left"/>
        </w:tabs>
        <w:rPr>
          <w:sz w:val="20"/>
          <w:szCs w:val="20"/>
          <w:color w:val="auto"/>
        </w:rPr>
      </w:pPr>
      <w:r>
        <w:rPr>
          <w:rFonts w:ascii="Courier New" w:cs="Courier New" w:eastAsia="Courier New" w:hAnsi="Courier New"/>
          <w:sz w:val="18"/>
          <w:szCs w:val="18"/>
          <w:color w:val="auto"/>
        </w:rPr>
        <w:t>costs</w:t>
      </w:r>
      <w:r>
        <w:rPr>
          <w:sz w:val="20"/>
          <w:szCs w:val="20"/>
          <w:color w:val="auto"/>
        </w:rPr>
        <w:tab/>
      </w:r>
      <w:r>
        <w:rPr>
          <w:rFonts w:ascii="Courier New" w:cs="Courier New" w:eastAsia="Courier New" w:hAnsi="Courier New"/>
          <w:sz w:val="16"/>
          <w:szCs w:val="16"/>
          <w:color w:val="auto"/>
        </w:rPr>
        <w:t>...............................................</w:t>
      </w:r>
    </w:p>
    <w:p>
      <w:pPr>
        <w:ind w:left="1160"/>
        <w:spacing w:after="0"/>
        <w:rPr>
          <w:sz w:val="20"/>
          <w:szCs w:val="20"/>
          <w:color w:val="auto"/>
        </w:rPr>
      </w:pPr>
      <w:r>
        <w:rPr>
          <w:rFonts w:ascii="Courier New" w:cs="Courier New" w:eastAsia="Courier New" w:hAnsi="Courier New"/>
          <w:sz w:val="18"/>
          <w:szCs w:val="18"/>
          <w:color w:val="auto"/>
        </w:rPr>
        <w:t>$ 493 $ 90 Interest on benefit</w:t>
      </w:r>
    </w:p>
    <w:p>
      <w:pPr>
        <w:ind w:left="260"/>
        <w:spacing w:after="0"/>
        <w:tabs>
          <w:tab w:leader="dot" w:pos="4560" w:val="left"/>
        </w:tabs>
        <w:rPr>
          <w:sz w:val="20"/>
          <w:szCs w:val="20"/>
          <w:color w:val="auto"/>
        </w:rPr>
      </w:pPr>
      <w:r>
        <w:rPr>
          <w:rFonts w:ascii="Courier New" w:cs="Courier New" w:eastAsia="Courier New" w:hAnsi="Courier New"/>
          <w:sz w:val="18"/>
          <w:szCs w:val="18"/>
          <w:color w:val="auto"/>
        </w:rPr>
        <w:t>obligations</w:t>
      </w:r>
      <w:r>
        <w:rPr>
          <w:sz w:val="20"/>
          <w:szCs w:val="20"/>
          <w:color w:val="auto"/>
        </w:rPr>
        <w:tab/>
      </w:r>
      <w:r>
        <w:rPr>
          <w:rFonts w:ascii="Courier New" w:cs="Courier New" w:eastAsia="Courier New" w:hAnsi="Courier New"/>
          <w:sz w:val="16"/>
          <w:szCs w:val="16"/>
          <w:color w:val="auto"/>
        </w:rPr>
        <w:t>564 98</w:t>
      </w:r>
    </w:p>
    <w:p>
      <w:pPr>
        <w:ind w:left="1540"/>
        <w:spacing w:after="0"/>
        <w:rPr>
          <w:sz w:val="20"/>
          <w:szCs w:val="20"/>
          <w:color w:val="auto"/>
        </w:rPr>
      </w:pPr>
      <w:r>
        <w:rPr>
          <w:rFonts w:ascii="Courier New" w:cs="Courier New" w:eastAsia="Courier New" w:hAnsi="Courier New"/>
          <w:sz w:val="18"/>
          <w:szCs w:val="18"/>
          <w:color w:val="auto"/>
        </w:rPr>
        <w:t>Expected return on plan</w:t>
      </w:r>
    </w:p>
    <w:p>
      <w:pPr>
        <w:ind w:left="60"/>
        <w:spacing w:after="0"/>
        <w:tabs>
          <w:tab w:leader="dot" w:pos="3940" w:val="left"/>
        </w:tabs>
        <w:rPr>
          <w:sz w:val="20"/>
          <w:szCs w:val="20"/>
          <w:color w:val="auto"/>
        </w:rPr>
      </w:pPr>
      <w:r>
        <w:rPr>
          <w:rFonts w:ascii="Courier New" w:cs="Courier New" w:eastAsia="Courier New" w:hAnsi="Courier New"/>
          <w:sz w:val="18"/>
          <w:szCs w:val="18"/>
          <w:color w:val="auto"/>
        </w:rPr>
        <w:t>assets</w:t>
      </w:r>
      <w:r>
        <w:rPr>
          <w:sz w:val="20"/>
          <w:szCs w:val="20"/>
          <w:color w:val="auto"/>
        </w:rPr>
        <w:tab/>
      </w:r>
      <w:r>
        <w:rPr>
          <w:rFonts w:ascii="Courier New" w:cs="Courier New" w:eastAsia="Courier New" w:hAnsi="Courier New"/>
          <w:sz w:val="16"/>
          <w:szCs w:val="16"/>
          <w:color w:val="auto"/>
        </w:rPr>
        <w:t>(409) -- -----</w:t>
      </w:r>
    </w:p>
    <w:p>
      <w:pPr>
        <w:ind w:left="1380"/>
        <w:spacing w:after="0"/>
        <w:rPr>
          <w:sz w:val="20"/>
          <w:szCs w:val="20"/>
          <w:color w:val="auto"/>
        </w:rPr>
      </w:pPr>
      <w:r>
        <w:rPr>
          <w:rFonts w:ascii="Courier New" w:cs="Courier New" w:eastAsia="Courier New" w:hAnsi="Courier New"/>
          <w:sz w:val="18"/>
          <w:szCs w:val="18"/>
          <w:color w:val="auto"/>
        </w:rPr>
        <w:t>---- $ 648 $188 ===== ====</w:t>
      </w:r>
    </w:p>
    <w:p>
      <w:pPr>
        <w:spacing w:after="0" w:line="37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sets forth the funded status of the plans as of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30, 2003:</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w w:val="92"/>
              </w:rPr>
              <w:t>PENSION OTHER BENEFITS BENEFITS --------</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Change in plan assets: Fair value of plan</w:t>
            </w:r>
          </w:p>
        </w:tc>
        <w:tc>
          <w:tcPr>
            <w:tcW w:w="0" w:type="dxa"/>
            <w:vAlign w:val="bottom"/>
          </w:tcPr>
          <w:p>
            <w:pPr>
              <w:spacing w:after="0"/>
              <w:rPr>
                <w:sz w:val="1"/>
                <w:szCs w:val="1"/>
                <w:color w:val="auto"/>
              </w:rPr>
            </w:pPr>
          </w:p>
        </w:tc>
      </w:tr>
      <w:tr>
        <w:trPr>
          <w:trHeight w:val="203"/>
        </w:trPr>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assets in acquisition acquired........</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$ 27,060</w:t>
            </w:r>
          </w:p>
        </w:tc>
        <w:tc>
          <w:tcPr>
            <w:tcW w:w="0" w:type="dxa"/>
            <w:vAlign w:val="bottom"/>
          </w:tcPr>
          <w:p>
            <w:pPr>
              <w:spacing w:after="0"/>
              <w:rPr>
                <w:sz w:val="1"/>
                <w:szCs w:val="1"/>
                <w:color w:val="auto"/>
              </w:rPr>
            </w:pPr>
          </w:p>
        </w:tc>
      </w:tr>
      <w:tr>
        <w:trPr>
          <w:trHeight w:val="203"/>
        </w:trPr>
        <w:tc>
          <w:tcPr>
            <w:tcW w:w="40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vertAlign w:val="subscript"/>
              </w:rPr>
              <w:t>............................................</w:t>
            </w:r>
            <w:r>
              <w:rPr>
                <w:rFonts w:ascii="Courier New" w:cs="Courier New" w:eastAsia="Courier New" w:hAnsi="Courier New"/>
                <w:sz w:val="10"/>
                <w:szCs w:val="10"/>
                <w:color w:val="auto"/>
                <w:w w:val="71"/>
              </w:rPr>
              <w:t>....................................</w:t>
            </w:r>
            <w:r>
              <w:rPr>
                <w:rFonts w:ascii="Courier New" w:cs="Courier New" w:eastAsia="Courier New" w:hAnsi="Courier New"/>
                <w:sz w:val="13"/>
                <w:szCs w:val="13"/>
                <w:color w:val="auto"/>
                <w:w w:val="71"/>
                <w:vertAlign w:val="superscript"/>
              </w:rPr>
              <w:t>$--Actualreturnonplan</w:t>
            </w: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4"/>
              </w:rPr>
              <w:t>1,032 --</w:t>
            </w:r>
          </w:p>
        </w:tc>
        <w:tc>
          <w:tcPr>
            <w:tcW w:w="0" w:type="dxa"/>
            <w:vAlign w:val="bottom"/>
          </w:tcPr>
          <w:p>
            <w:pPr>
              <w:spacing w:after="0"/>
              <w:rPr>
                <w:sz w:val="1"/>
                <w:szCs w:val="1"/>
                <w:color w:val="auto"/>
              </w:rPr>
            </w:pPr>
          </w:p>
        </w:tc>
      </w:tr>
      <w:tr>
        <w:trPr>
          <w:trHeight w:val="296"/>
        </w:trPr>
        <w:tc>
          <w:tcPr>
            <w:tcW w:w="1680" w:type="dxa"/>
            <w:vAlign w:val="bottom"/>
          </w:tcPr>
          <w:p>
            <w:pPr>
              <w:jc w:val="right"/>
              <w:spacing w:after="0"/>
              <w:rPr>
                <w:sz w:val="20"/>
                <w:szCs w:val="20"/>
                <w:color w:val="auto"/>
              </w:rPr>
            </w:pPr>
            <w:r>
              <w:rPr>
                <w:rFonts w:ascii="Courier New" w:cs="Courier New" w:eastAsia="Courier New" w:hAnsi="Courier New"/>
                <w:sz w:val="11"/>
                <w:szCs w:val="11"/>
                <w:color w:val="auto"/>
                <w:w w:val="71"/>
              </w:rPr>
              <w:t>assets.............................</w:t>
            </w:r>
          </w:p>
        </w:tc>
        <w:tc>
          <w:tcPr>
            <w:tcW w:w="2320" w:type="dxa"/>
            <w:vAlign w:val="bottom"/>
            <w:vMerge w:val="restart"/>
          </w:tcPr>
          <w:p>
            <w:pPr>
              <w:jc w:val="center"/>
              <w:ind w:right="532"/>
              <w:spacing w:after="0"/>
              <w:rPr>
                <w:sz w:val="20"/>
                <w:szCs w:val="20"/>
                <w:color w:val="auto"/>
              </w:rPr>
            </w:pPr>
            <w:r>
              <w:rPr>
                <w:rFonts w:ascii="Courier New" w:cs="Courier New" w:eastAsia="Courier New" w:hAnsi="Courier New"/>
                <w:sz w:val="18"/>
                <w:szCs w:val="18"/>
                <w:color w:val="auto"/>
                <w:w w:val="98"/>
              </w:rPr>
              <w:t>Foreign exchange</w:t>
            </w: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80" w:type="dxa"/>
            <w:vAlign w:val="bottom"/>
            <w:vMerge w:val="restart"/>
          </w:tcPr>
          <w:p>
            <w:pPr>
              <w:spacing w:after="0"/>
              <w:rPr>
                <w:sz w:val="20"/>
                <w:szCs w:val="20"/>
                <w:color w:val="auto"/>
              </w:rPr>
            </w:pPr>
            <w:r>
              <w:rPr>
                <w:rFonts w:ascii="Courier New" w:cs="Courier New" w:eastAsia="Courier New" w:hAnsi="Courier New"/>
                <w:sz w:val="18"/>
                <w:szCs w:val="18"/>
                <w:color w:val="auto"/>
              </w:rPr>
              <w:t>loss</w:t>
            </w:r>
          </w:p>
        </w:tc>
        <w:tc>
          <w:tcPr>
            <w:tcW w:w="2320" w:type="dxa"/>
            <w:vAlign w:val="bottom"/>
            <w:vMerge w:val="continue"/>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(107) -</w:t>
            </w:r>
          </w:p>
        </w:tc>
        <w:tc>
          <w:tcPr>
            <w:tcW w:w="0" w:type="dxa"/>
            <w:vAlign w:val="bottom"/>
          </w:tcPr>
          <w:p>
            <w:pPr>
              <w:spacing w:after="0"/>
              <w:rPr>
                <w:sz w:val="1"/>
                <w:szCs w:val="1"/>
                <w:color w:val="auto"/>
              </w:rPr>
            </w:pPr>
          </w:p>
        </w:tc>
      </w:tr>
      <w:tr>
        <w:trPr>
          <w:trHeight w:val="203"/>
        </w:trPr>
        <w:tc>
          <w:tcPr>
            <w:tcW w:w="1680" w:type="dxa"/>
            <w:vAlign w:val="bottom"/>
            <w:vMerge w:val="continue"/>
          </w:tcPr>
          <w:p>
            <w:pPr>
              <w:spacing w:after="0"/>
              <w:rPr>
                <w:sz w:val="17"/>
                <w:szCs w:val="17"/>
                <w:color w:val="auto"/>
              </w:rPr>
            </w:pPr>
          </w:p>
        </w:tc>
        <w:tc>
          <w:tcPr>
            <w:tcW w:w="2320" w:type="dxa"/>
            <w:vAlign w:val="bottom"/>
            <w:vMerge w:val="restart"/>
          </w:tcPr>
          <w:p>
            <w:pPr>
              <w:jc w:val="center"/>
              <w:ind w:right="532"/>
              <w:spacing w:after="0"/>
              <w:rPr>
                <w:sz w:val="20"/>
                <w:szCs w:val="20"/>
                <w:color w:val="auto"/>
              </w:rPr>
            </w:pPr>
            <w:r>
              <w:rPr>
                <w:rFonts w:ascii="Courier New" w:cs="Courier New" w:eastAsia="Courier New" w:hAnsi="Courier New"/>
                <w:sz w:val="18"/>
                <w:szCs w:val="18"/>
                <w:color w:val="auto"/>
                <w:w w:val="98"/>
              </w:rPr>
              <w:t>- Benefits</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vMerge w:val="restart"/>
          </w:tcPr>
          <w:p>
            <w:pPr>
              <w:spacing w:after="0"/>
              <w:rPr>
                <w:sz w:val="20"/>
                <w:szCs w:val="20"/>
                <w:color w:val="auto"/>
              </w:rPr>
            </w:pPr>
            <w:r>
              <w:rPr>
                <w:rFonts w:ascii="Courier New" w:cs="Courier New" w:eastAsia="Courier New" w:hAnsi="Courier New"/>
                <w:sz w:val="18"/>
                <w:szCs w:val="18"/>
                <w:color w:val="auto"/>
              </w:rPr>
              <w:t>paid</w:t>
            </w:r>
          </w:p>
        </w:tc>
        <w:tc>
          <w:tcPr>
            <w:tcW w:w="232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680" w:type="dxa"/>
            <w:vAlign w:val="bottom"/>
            <w:vMerge w:val="continue"/>
          </w:tcPr>
          <w:p>
            <w:pPr>
              <w:spacing w:after="0"/>
              <w:rPr>
                <w:sz w:val="9"/>
                <w:szCs w:val="9"/>
                <w:color w:val="auto"/>
              </w:rPr>
            </w:pPr>
          </w:p>
        </w:tc>
        <w:tc>
          <w:tcPr>
            <w:tcW w:w="2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(14) -- -------- ------- Fair value of plan</w:t>
            </w: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assets as of September 30, 2003.......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27,971 --</w:t>
            </w:r>
          </w:p>
        </w:tc>
        <w:tc>
          <w:tcPr>
            <w:tcW w:w="0" w:type="dxa"/>
            <w:vAlign w:val="bottom"/>
          </w:tcPr>
          <w:p>
            <w:pPr>
              <w:spacing w:after="0"/>
              <w:rPr>
                <w:sz w:val="1"/>
                <w:szCs w:val="1"/>
                <w:color w:val="auto"/>
              </w:rPr>
            </w:pPr>
          </w:p>
        </w:tc>
      </w:tr>
      <w:tr>
        <w:trPr>
          <w:trHeight w:val="203"/>
        </w:trPr>
        <w:tc>
          <w:tcPr>
            <w:tcW w:w="5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Change in benefit obligations:</w:t>
            </w:r>
          </w:p>
        </w:tc>
        <w:tc>
          <w:tcPr>
            <w:tcW w:w="0" w:type="dxa"/>
            <w:vAlign w:val="bottom"/>
          </w:tcPr>
          <w:p>
            <w:pPr>
              <w:spacing w:after="0"/>
              <w:rPr>
                <w:sz w:val="1"/>
                <w:szCs w:val="1"/>
                <w:color w:val="auto"/>
              </w:rPr>
            </w:pPr>
          </w:p>
        </w:tc>
      </w:tr>
      <w:tr>
        <w:trPr>
          <w:trHeight w:val="203"/>
        </w:trPr>
        <w:tc>
          <w:tcPr>
            <w:tcW w:w="5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Benefit obligations assumed in</w:t>
            </w:r>
          </w:p>
        </w:tc>
        <w:tc>
          <w:tcPr>
            <w:tcW w:w="0" w:type="dxa"/>
            <w:vAlign w:val="bottom"/>
          </w:tcPr>
          <w:p>
            <w:pPr>
              <w:spacing w:after="0"/>
              <w:rPr>
                <w:sz w:val="1"/>
                <w:szCs w:val="1"/>
                <w:color w:val="auto"/>
              </w:rPr>
            </w:pPr>
          </w:p>
        </w:tc>
      </w:tr>
      <w:tr>
        <w:trPr>
          <w:trHeight w:val="203"/>
        </w:trPr>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70"/>
              </w:rPr>
              <w:t>acquisition...............</w:t>
            </w:r>
          </w:p>
        </w:tc>
        <w:tc>
          <w:tcPr>
            <w:tcW w:w="3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(37,400) (5,262)</w:t>
            </w:r>
          </w:p>
        </w:tc>
        <w:tc>
          <w:tcPr>
            <w:tcW w:w="0" w:type="dxa"/>
            <w:vAlign w:val="bottom"/>
          </w:tcPr>
          <w:p>
            <w:pPr>
              <w:spacing w:after="0"/>
              <w:rPr>
                <w:sz w:val="1"/>
                <w:szCs w:val="1"/>
                <w:color w:val="auto"/>
              </w:rPr>
            </w:pPr>
          </w:p>
        </w:tc>
      </w:tr>
      <w:tr>
        <w:trPr>
          <w:trHeight w:val="235"/>
        </w:trPr>
        <w:tc>
          <w:tcPr>
            <w:tcW w:w="1680" w:type="dxa"/>
            <w:vAlign w:val="bottom"/>
          </w:tcPr>
          <w:p>
            <w:pPr>
              <w:spacing w:after="0"/>
              <w:rPr>
                <w:sz w:val="20"/>
                <w:szCs w:val="20"/>
                <w:color w:val="auto"/>
              </w:rPr>
            </w:pPr>
          </w:p>
        </w:tc>
        <w:tc>
          <w:tcPr>
            <w:tcW w:w="232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7"/>
              </w:rPr>
              <w:t>Service</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costs............................................</w:t>
      </w:r>
    </w:p>
    <w:p>
      <w:pPr>
        <w:ind w:left="1000"/>
        <w:spacing w:after="0"/>
        <w:rPr>
          <w:sz w:val="20"/>
          <w:szCs w:val="20"/>
          <w:color w:val="auto"/>
        </w:rPr>
      </w:pPr>
      <w:r>
        <w:rPr>
          <w:rFonts w:ascii="Courier New" w:cs="Courier New" w:eastAsia="Courier New" w:hAnsi="Courier New"/>
          <w:sz w:val="18"/>
          <w:szCs w:val="18"/>
          <w:color w:val="auto"/>
        </w:rPr>
        <w:t>(493) (90) Interest on benefit</w:t>
      </w:r>
    </w:p>
    <w:tbl>
      <w:tblPr>
        <w:tblLayout w:type="fixed"/>
        <w:tblInd w:w="60" w:type="dxa"/>
        <w:tblCellMar>
          <w:top w:w="0" w:type="dxa"/>
          <w:left w:w="0" w:type="dxa"/>
          <w:bottom w:w="0" w:type="dxa"/>
          <w:right w:w="0" w:type="dxa"/>
        </w:tblCellMar>
      </w:tblPr>
      <w:tr>
        <w:trPr>
          <w:trHeight w:val="171"/>
        </w:trPr>
        <w:tc>
          <w:tcPr>
            <w:tcW w:w="116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w w:val="95"/>
              </w:rPr>
              <w:t>obligations</w:t>
            </w:r>
          </w:p>
        </w:tc>
        <w:tc>
          <w:tcPr>
            <w:tcW w:w="390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w w:val="97"/>
              </w:rPr>
              <w:t>.......................... (564) (98)</w:t>
            </w:r>
          </w:p>
        </w:tc>
        <w:tc>
          <w:tcPr>
            <w:tcW w:w="0" w:type="dxa"/>
            <w:vAlign w:val="bottom"/>
          </w:tcPr>
          <w:p>
            <w:pPr>
              <w:spacing w:after="0"/>
              <w:rPr>
                <w:sz w:val="1"/>
                <w:szCs w:val="1"/>
                <w:color w:val="auto"/>
              </w:rPr>
            </w:pPr>
          </w:p>
        </w:tc>
      </w:tr>
      <w:tr>
        <w:trPr>
          <w:trHeight w:val="203"/>
        </w:trPr>
        <w:tc>
          <w:tcPr>
            <w:tcW w:w="1160" w:type="dxa"/>
            <w:vAlign w:val="bottom"/>
            <w:vMerge w:val="restart"/>
          </w:tcPr>
          <w:p>
            <w:pPr>
              <w:jc w:val="right"/>
              <w:spacing w:after="0"/>
              <w:rPr>
                <w:sz w:val="20"/>
                <w:szCs w:val="20"/>
                <w:color w:val="auto"/>
              </w:rPr>
            </w:pPr>
            <w:r>
              <w:rPr>
                <w:rFonts w:ascii="Courier New" w:cs="Courier New" w:eastAsia="Courier New" w:hAnsi="Courier New"/>
                <w:sz w:val="5"/>
                <w:szCs w:val="5"/>
                <w:color w:val="auto"/>
                <w:w w:val="94"/>
              </w:rPr>
              <w:t>gain....................................</w:t>
            </w:r>
          </w:p>
        </w:tc>
        <w:tc>
          <w:tcPr>
            <w:tcW w:w="3900" w:type="dxa"/>
            <w:vAlign w:val="bottom"/>
          </w:tcPr>
          <w:p>
            <w:pPr>
              <w:jc w:val="center"/>
              <w:ind w:right="1072"/>
              <w:spacing w:after="0" w:line="203" w:lineRule="exact"/>
              <w:rPr>
                <w:sz w:val="20"/>
                <w:szCs w:val="20"/>
                <w:color w:val="auto"/>
              </w:rPr>
            </w:pPr>
            <w:r>
              <w:rPr>
                <w:rFonts w:ascii="Courier New" w:cs="Courier New" w:eastAsia="Courier New" w:hAnsi="Courier New"/>
                <w:sz w:val="18"/>
                <w:szCs w:val="18"/>
                <w:color w:val="auto"/>
                <w:w w:val="98"/>
              </w:rPr>
              <w:t>Foreign exchange</w:t>
            </w: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3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149 24</w:t>
            </w:r>
          </w:p>
        </w:tc>
        <w:tc>
          <w:tcPr>
            <w:tcW w:w="0" w:type="dxa"/>
            <w:vAlign w:val="bottom"/>
          </w:tcPr>
          <w:p>
            <w:pPr>
              <w:spacing w:after="0"/>
              <w:rPr>
                <w:sz w:val="1"/>
                <w:szCs w:val="1"/>
                <w:color w:val="auto"/>
              </w:rPr>
            </w:pPr>
          </w:p>
        </w:tc>
      </w:tr>
      <w:tr>
        <w:trPr>
          <w:trHeight w:val="296"/>
        </w:trPr>
        <w:tc>
          <w:tcPr>
            <w:tcW w:w="1160" w:type="dxa"/>
            <w:vAlign w:val="bottom"/>
            <w:vMerge w:val="restart"/>
          </w:tcPr>
          <w:p>
            <w:pPr>
              <w:jc w:val="right"/>
              <w:spacing w:after="0"/>
              <w:rPr>
                <w:sz w:val="20"/>
                <w:szCs w:val="20"/>
                <w:color w:val="auto"/>
              </w:rPr>
            </w:pPr>
            <w:r>
              <w:rPr>
                <w:rFonts w:ascii="Courier New" w:cs="Courier New" w:eastAsia="Courier New" w:hAnsi="Courier New"/>
                <w:sz w:val="5"/>
                <w:szCs w:val="5"/>
                <w:color w:val="auto"/>
                <w:w w:val="79"/>
              </w:rPr>
              <w:t>paid............................................</w:t>
            </w:r>
          </w:p>
        </w:tc>
        <w:tc>
          <w:tcPr>
            <w:tcW w:w="3900" w:type="dxa"/>
            <w:vAlign w:val="bottom"/>
          </w:tcPr>
          <w:p>
            <w:pPr>
              <w:jc w:val="center"/>
              <w:ind w:right="1092"/>
              <w:spacing w:after="0"/>
              <w:rPr>
                <w:sz w:val="20"/>
                <w:szCs w:val="20"/>
                <w:color w:val="auto"/>
              </w:rPr>
            </w:pPr>
            <w:r>
              <w:rPr>
                <w:rFonts w:ascii="Courier New" w:cs="Courier New" w:eastAsia="Courier New" w:hAnsi="Courier New"/>
                <w:sz w:val="18"/>
                <w:szCs w:val="18"/>
                <w:color w:val="auto"/>
                <w:w w:val="97"/>
              </w:rPr>
              <w:t>Benefits</w:t>
            </w:r>
          </w:p>
        </w:tc>
        <w:tc>
          <w:tcPr>
            <w:tcW w:w="0" w:type="dxa"/>
            <w:vAlign w:val="bottom"/>
          </w:tcPr>
          <w:p>
            <w:pPr>
              <w:spacing w:after="0"/>
              <w:rPr>
                <w:sz w:val="1"/>
                <w:szCs w:val="1"/>
                <w:color w:val="auto"/>
              </w:rPr>
            </w:pPr>
          </w:p>
        </w:tc>
      </w:tr>
      <w:tr>
        <w:trPr>
          <w:trHeight w:val="141"/>
        </w:trPr>
        <w:tc>
          <w:tcPr>
            <w:tcW w:w="1160" w:type="dxa"/>
            <w:vAlign w:val="bottom"/>
            <w:vMerge w:val="continue"/>
          </w:tcPr>
          <w:p>
            <w:pPr>
              <w:spacing w:after="0"/>
              <w:rPr>
                <w:sz w:val="12"/>
                <w:szCs w:val="12"/>
                <w:color w:val="auto"/>
              </w:rPr>
            </w:pPr>
          </w:p>
        </w:tc>
        <w:tc>
          <w:tcPr>
            <w:tcW w:w="3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14 -- -------- ------- Benefit obligations as of</w:t>
      </w:r>
    </w:p>
    <w:tbl>
      <w:tblPr>
        <w:tblLayout w:type="fixed"/>
        <w:tblInd w:w="60" w:type="dxa"/>
        <w:tblCellMar>
          <w:top w:w="0" w:type="dxa"/>
          <w:left w:w="0" w:type="dxa"/>
          <w:bottom w:w="0" w:type="dxa"/>
          <w:right w:w="0" w:type="dxa"/>
        </w:tblCellMar>
      </w:tblPr>
      <w:tr>
        <w:trPr>
          <w:trHeight w:val="171"/>
        </w:trPr>
        <w:tc>
          <w:tcPr>
            <w:tcW w:w="3160" w:type="dxa"/>
            <w:vAlign w:val="bottom"/>
            <w:gridSpan w:val="2"/>
          </w:tcPr>
          <w:p>
            <w:pPr>
              <w:spacing w:after="0" w:line="171" w:lineRule="exact"/>
              <w:rPr>
                <w:sz w:val="20"/>
                <w:szCs w:val="20"/>
                <w:color w:val="auto"/>
              </w:rPr>
            </w:pPr>
            <w:r>
              <w:rPr>
                <w:rFonts w:ascii="Courier New" w:cs="Courier New" w:eastAsia="Courier New" w:hAnsi="Courier New"/>
                <w:sz w:val="18"/>
                <w:szCs w:val="18"/>
                <w:color w:val="auto"/>
                <w:w w:val="93"/>
              </w:rPr>
              <w:t>September 30, 2003.............</w:t>
            </w:r>
          </w:p>
        </w:tc>
        <w:tc>
          <w:tcPr>
            <w:tcW w:w="1900" w:type="dxa"/>
            <w:vAlign w:val="bottom"/>
            <w:gridSpan w:val="2"/>
          </w:tcPr>
          <w:p>
            <w:pPr>
              <w:jc w:val="right"/>
              <w:spacing w:after="0" w:line="171" w:lineRule="exact"/>
              <w:rPr>
                <w:sz w:val="20"/>
                <w:szCs w:val="20"/>
                <w:color w:val="auto"/>
              </w:rPr>
            </w:pPr>
            <w:r>
              <w:rPr>
                <w:rFonts w:ascii="Courier New" w:cs="Courier New" w:eastAsia="Courier New" w:hAnsi="Courier New"/>
                <w:sz w:val="18"/>
                <w:szCs w:val="18"/>
                <w:color w:val="auto"/>
              </w:rPr>
              <w:t>(38,294) (5,426)</w:t>
            </w:r>
          </w:p>
        </w:tc>
        <w:tc>
          <w:tcPr>
            <w:tcW w:w="0" w:type="dxa"/>
            <w:vAlign w:val="bottom"/>
          </w:tcPr>
          <w:p>
            <w:pPr>
              <w:spacing w:after="0"/>
              <w:rPr>
                <w:sz w:val="1"/>
                <w:szCs w:val="1"/>
                <w:color w:val="auto"/>
              </w:rPr>
            </w:pPr>
          </w:p>
        </w:tc>
      </w:tr>
      <w:tr>
        <w:trPr>
          <w:trHeight w:val="203"/>
        </w:trPr>
        <w:tc>
          <w:tcPr>
            <w:tcW w:w="52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5"/>
              </w:rPr>
              <w:t>--------</w:t>
            </w:r>
            <w:r>
              <w:rPr>
                <w:rFonts w:ascii="Courier New" w:cs="Courier New" w:eastAsia="Courier New" w:hAnsi="Courier New"/>
                <w:sz w:val="17"/>
                <w:szCs w:val="17"/>
                <w:color w:val="auto"/>
                <w:w w:val="75"/>
                <w:vertAlign w:val="subscript"/>
              </w:rPr>
              <w:t>of</w:t>
            </w:r>
          </w:p>
        </w:tc>
        <w:tc>
          <w:tcPr>
            <w:tcW w:w="4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Funded status-plan deficit as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vMerge w:val="continue"/>
          </w:tcPr>
          <w:p>
            <w:pPr>
              <w:spacing w:after="0"/>
              <w:rPr>
                <w:sz w:val="17"/>
                <w:szCs w:val="17"/>
                <w:color w:val="auto"/>
              </w:rPr>
            </w:pPr>
          </w:p>
        </w:tc>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30, 2003......</w:t>
            </w: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(10,323) (5,426)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vMerge w:val="restart"/>
          </w:tcPr>
          <w:p>
            <w:pPr>
              <w:jc w:val="right"/>
              <w:spacing w:after="0"/>
              <w:rPr>
                <w:sz w:val="20"/>
                <w:szCs w:val="20"/>
                <w:color w:val="auto"/>
              </w:rPr>
            </w:pPr>
            <w:r>
              <w:rPr>
                <w:rFonts w:ascii="Courier New" w:cs="Courier New" w:eastAsia="Courier New" w:hAnsi="Courier New"/>
                <w:sz w:val="2"/>
                <w:szCs w:val="2"/>
                <w:color w:val="auto"/>
              </w:rPr>
              <w:t>loss....................................</w:t>
            </w:r>
          </w:p>
        </w:tc>
        <w:tc>
          <w:tcPr>
            <w:tcW w:w="4440" w:type="dxa"/>
            <w:vAlign w:val="bottom"/>
            <w:gridSpan w:val="2"/>
          </w:tcPr>
          <w:p>
            <w:pPr>
              <w:jc w:val="right"/>
              <w:ind w:right="1492"/>
              <w:spacing w:after="0" w:line="203" w:lineRule="exact"/>
              <w:rPr>
                <w:sz w:val="20"/>
                <w:szCs w:val="20"/>
                <w:color w:val="auto"/>
              </w:rPr>
            </w:pPr>
            <w:r>
              <w:rPr>
                <w:rFonts w:ascii="Courier New" w:cs="Courier New" w:eastAsia="Courier New" w:hAnsi="Courier New"/>
                <w:sz w:val="18"/>
                <w:szCs w:val="18"/>
                <w:color w:val="auto"/>
              </w:rPr>
              <w:t>Unrecognized net</w:t>
            </w:r>
          </w:p>
        </w:tc>
        <w:tc>
          <w:tcPr>
            <w:tcW w:w="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3"/>
              </w:rPr>
              <w:t>-</w:t>
            </w:r>
          </w:p>
        </w:tc>
        <w:tc>
          <w:tcPr>
            <w:tcW w:w="0" w:type="dxa"/>
            <w:vAlign w:val="bottom"/>
          </w:tcPr>
          <w:p>
            <w:pPr>
              <w:spacing w:after="0"/>
              <w:rPr>
                <w:sz w:val="1"/>
                <w:szCs w:val="1"/>
                <w:color w:val="auto"/>
              </w:rPr>
            </w:pPr>
          </w:p>
        </w:tc>
      </w:tr>
      <w:tr>
        <w:trPr>
          <w:trHeight w:val="235"/>
        </w:trPr>
        <w:tc>
          <w:tcPr>
            <w:tcW w:w="520" w:type="dxa"/>
            <w:vAlign w:val="bottom"/>
            <w:vMerge w:val="continue"/>
          </w:tcPr>
          <w:p>
            <w:pPr>
              <w:spacing w:after="0"/>
              <w:rPr>
                <w:sz w:val="20"/>
                <w:szCs w:val="20"/>
                <w:color w:val="auto"/>
              </w:rPr>
            </w:pPr>
          </w:p>
        </w:tc>
        <w:tc>
          <w:tcPr>
            <w:tcW w:w="2640" w:type="dxa"/>
            <w:vAlign w:val="bottom"/>
          </w:tcPr>
          <w:p>
            <w:pPr>
              <w:spacing w:after="0"/>
              <w:rPr>
                <w:sz w:val="20"/>
                <w:szCs w:val="20"/>
                <w:color w:val="auto"/>
              </w:rPr>
            </w:pPr>
          </w:p>
        </w:tc>
        <w:tc>
          <w:tcPr>
            <w:tcW w:w="1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(623)</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60"/>
        <w:spacing w:after="0" w:line="238" w:lineRule="auto"/>
        <w:rPr>
          <w:sz w:val="20"/>
          <w:szCs w:val="20"/>
          <w:color w:val="auto"/>
        </w:rPr>
      </w:pPr>
      <w:r>
        <w:rPr>
          <w:rFonts w:ascii="Courier New" w:cs="Courier New" w:eastAsia="Courier New" w:hAnsi="Courier New"/>
          <w:sz w:val="18"/>
          <w:szCs w:val="18"/>
          <w:color w:val="auto"/>
        </w:rPr>
        <w:t>- -------- ------- Accrued benefit costs as of</w:t>
      </w:r>
    </w:p>
    <w:tbl>
      <w:tblPr>
        <w:tblLayout w:type="fixed"/>
        <w:tblInd w:w="60" w:type="dxa"/>
        <w:tblCellMar>
          <w:top w:w="0" w:type="dxa"/>
          <w:left w:w="0" w:type="dxa"/>
          <w:bottom w:w="0" w:type="dxa"/>
          <w:right w:w="0" w:type="dxa"/>
        </w:tblCellMar>
      </w:tblPr>
      <w:tr>
        <w:trPr>
          <w:trHeight w:val="171"/>
        </w:trPr>
        <w:tc>
          <w:tcPr>
            <w:tcW w:w="3100" w:type="dxa"/>
            <w:vAlign w:val="bottom"/>
          </w:tcPr>
          <w:p>
            <w:pPr>
              <w:spacing w:after="0" w:line="171" w:lineRule="exact"/>
              <w:rPr>
                <w:sz w:val="20"/>
                <w:szCs w:val="20"/>
                <w:color w:val="auto"/>
              </w:rPr>
            </w:pPr>
            <w:r>
              <w:rPr>
                <w:rFonts w:ascii="Courier New" w:cs="Courier New" w:eastAsia="Courier New" w:hAnsi="Courier New"/>
                <w:sz w:val="18"/>
                <w:szCs w:val="18"/>
                <w:color w:val="auto"/>
                <w:w w:val="98"/>
              </w:rPr>
              <w:t>September 30, 2003...........</w:t>
            </w:r>
          </w:p>
        </w:tc>
        <w:tc>
          <w:tcPr>
            <w:tcW w:w="10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$(10,946)</w:t>
            </w:r>
          </w:p>
        </w:tc>
        <w:tc>
          <w:tcPr>
            <w:tcW w:w="90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$(5,426)</w:t>
            </w:r>
          </w:p>
        </w:tc>
      </w:tr>
      <w:tr>
        <w:trPr>
          <w:trHeight w:val="296"/>
        </w:trPr>
        <w:tc>
          <w:tcPr>
            <w:tcW w:w="4160" w:type="dxa"/>
            <w:vAlign w:val="bottom"/>
            <w:gridSpan w:val="2"/>
          </w:tcPr>
          <w:p>
            <w:pPr>
              <w:jc w:val="right"/>
              <w:ind w:right="692"/>
              <w:spacing w:after="0"/>
              <w:rPr>
                <w:sz w:val="20"/>
                <w:szCs w:val="20"/>
                <w:color w:val="auto"/>
              </w:rPr>
            </w:pPr>
            <w:r>
              <w:rPr>
                <w:rFonts w:ascii="Courier New" w:cs="Courier New" w:eastAsia="Courier New" w:hAnsi="Courier New"/>
                <w:sz w:val="18"/>
                <w:szCs w:val="18"/>
                <w:color w:val="auto"/>
              </w:rPr>
              <w:t>======== =======</w:t>
            </w:r>
          </w:p>
        </w:tc>
        <w:tc>
          <w:tcPr>
            <w:tcW w:w="900" w:type="dxa"/>
            <w:vAlign w:val="bottom"/>
          </w:tcPr>
          <w:p>
            <w:pPr>
              <w:spacing w:after="0"/>
              <w:rPr>
                <w:sz w:val="24"/>
                <w:szCs w:val="24"/>
                <w:color w:val="auto"/>
              </w:rPr>
            </w:pPr>
          </w:p>
        </w:tc>
      </w:tr>
    </w:tbl>
    <w:p>
      <w:pPr>
        <w:spacing w:after="0" w:line="311"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The significant assumptions adopted in measuring the Canadian subsidiary's pension and other benefit obligations were as follows: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Weighted</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average</w:t>
            </w:r>
          </w:p>
        </w:tc>
        <w:tc>
          <w:tcPr>
            <w:tcW w:w="3260" w:type="dxa"/>
            <w:vAlign w:val="bottom"/>
          </w:tcPr>
          <w:p>
            <w:pPr>
              <w:spacing w:after="0"/>
              <w:rPr>
                <w:sz w:val="20"/>
                <w:szCs w:val="20"/>
                <w:color w:val="auto"/>
              </w:rPr>
            </w:pPr>
            <w:r>
              <w:rPr>
                <w:rFonts w:ascii="Courier New" w:cs="Courier New" w:eastAsia="Courier New" w:hAnsi="Courier New"/>
                <w:sz w:val="18"/>
                <w:szCs w:val="18"/>
                <w:color w:val="auto"/>
                <w:w w:val="99"/>
              </w:rPr>
              <w:t>discount rate.................</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6.5%</w:t>
            </w:r>
          </w:p>
        </w:tc>
        <w:tc>
          <w:tcPr>
            <w:tcW w:w="0" w:type="dxa"/>
            <w:vAlign w:val="bottom"/>
          </w:tcPr>
          <w:p>
            <w:pPr>
              <w:spacing w:after="0"/>
              <w:rPr>
                <w:sz w:val="1"/>
                <w:szCs w:val="1"/>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Weighted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average</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expected long-term rate of</w:t>
            </w:r>
          </w:p>
        </w:tc>
        <w:tc>
          <w:tcPr>
            <w:tcW w:w="5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7.5</w:t>
            </w:r>
          </w:p>
        </w:tc>
        <w:tc>
          <w:tcPr>
            <w:tcW w:w="0" w:type="dxa"/>
            <w:vAlign w:val="bottom"/>
          </w:tcPr>
          <w:p>
            <w:pPr>
              <w:spacing w:after="0"/>
              <w:rPr>
                <w:sz w:val="1"/>
                <w:szCs w:val="1"/>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return</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plan</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assets........................</w:t>
            </w: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Weighted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average</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rate of compensation</w:t>
            </w:r>
          </w:p>
        </w:tc>
        <w:tc>
          <w:tcPr>
            <w:tcW w:w="5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3.5</w:t>
            </w:r>
          </w:p>
        </w:tc>
        <w:tc>
          <w:tcPr>
            <w:tcW w:w="0" w:type="dxa"/>
            <w:vAlign w:val="bottom"/>
          </w:tcPr>
          <w:p>
            <w:pPr>
              <w:spacing w:after="0"/>
              <w:rPr>
                <w:sz w:val="1"/>
                <w:szCs w:val="1"/>
                <w:color w:val="auto"/>
              </w:rPr>
            </w:pPr>
          </w:p>
        </w:tc>
      </w:tr>
      <w:tr>
        <w:trPr>
          <w:trHeight w:val="296"/>
        </w:trPr>
        <w:tc>
          <w:tcPr>
            <w:tcW w:w="506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9"/>
              </w:rPr>
              <w:t>increase.....................................</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879" w:firstLine="527"/>
        <w:spacing w:after="0" w:line="344" w:lineRule="auto"/>
        <w:rPr>
          <w:sz w:val="20"/>
          <w:szCs w:val="20"/>
          <w:color w:val="auto"/>
        </w:rPr>
      </w:pPr>
      <w:r>
        <w:rPr>
          <w:rFonts w:ascii="Courier New" w:cs="Courier New" w:eastAsia="Courier New" w:hAnsi="Courier New"/>
          <w:sz w:val="16"/>
          <w:szCs w:val="16"/>
          <w:color w:val="auto"/>
        </w:rPr>
        <w:t>For measurement purposes, a 4.5% annual rate of increase in the per capita cost of covered health care benefits (the health care cost trend rate) was assumed for the year ended September 30, 2003 (commencing July 2, 2003), except</w:t>
      </w:r>
    </w:p>
    <w:p>
      <w:pPr>
        <w:sectPr>
          <w:pgSz w:w="11900" w:h="16864" w:orient="portrait"/>
          <w:cols w:equalWidth="0" w:num="1">
            <w:col w:w="10219"/>
          </w:cols>
          <w:pgMar w:left="240" w:top="488" w:right="1440" w:bottom="0" w:gutter="0" w:footer="0" w:header="0"/>
        </w:sectPr>
      </w:pPr>
    </w:p>
    <w:bookmarkStart w:id="107" w:name="page108"/>
    <w:bookmarkEnd w:id="107"/>
    <w:p>
      <w:pPr>
        <w:spacing w:after="0"/>
        <w:rPr>
          <w:sz w:val="20"/>
          <w:szCs w:val="20"/>
          <w:color w:val="auto"/>
        </w:rPr>
      </w:pPr>
      <w:r>
        <w:rPr>
          <w:rFonts w:ascii="Courier New" w:cs="Courier New" w:eastAsia="Courier New" w:hAnsi="Courier New"/>
          <w:sz w:val="16"/>
          <w:szCs w:val="16"/>
          <w:color w:val="auto"/>
        </w:rPr>
        <w:t>for the cost of medication, which was assumed to increase 10.5%</w:t>
      </w:r>
    </w:p>
    <w:p>
      <w:pPr>
        <w:sectPr>
          <w:pgSz w:w="11900" w:h="16838" w:orient="portrait"/>
          <w:cols w:equalWidth="0" w:num="1">
            <w:col w:w="10219"/>
          </w:cols>
          <w:pgMar w:left="240" w:top="110" w:right="1440" w:bottom="1440" w:gutter="0" w:footer="0" w:header="0"/>
        </w:sectPr>
      </w:pPr>
    </w:p>
    <w:p>
      <w:pPr>
        <w:spacing w:after="0" w:line="2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F-32</w:t>
      </w:r>
    </w:p>
    <w:p>
      <w:pPr>
        <w:sectPr>
          <w:pgSz w:w="11900" w:h="16838" w:orient="portrait"/>
          <w:cols w:equalWidth="0" w:num="1">
            <w:col w:w="10219"/>
          </w:cols>
          <w:pgMar w:left="240" w:top="110" w:right="1440" w:bottom="1440" w:gutter="0" w:footer="0" w:header="0"/>
          <w:type w:val="continuous"/>
        </w:sectPr>
      </w:pPr>
    </w:p>
    <w:bookmarkStart w:id="108" w:name="page109"/>
    <w:bookmarkEnd w:id="108"/>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annual rate for 2003. This rate was assumed to gradually decline to 4.5% by 2008 and remain stable thereafter.</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17 -- CAPITAL TRANSACTIONS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are details of the Ordinary Shares issued and outstanding:</w:t>
      </w:r>
    </w:p>
    <w:p>
      <w:pPr>
        <w:spacing w:after="0" w:line="201"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AS OF SEPTEMBER 30, -------------------</w:t>
      </w:r>
    </w:p>
    <w:tbl>
      <w:tblPr>
        <w:tblLayout w:type="fixed"/>
        <w:tblInd w:w="0" w:type="dxa"/>
        <w:tblCellMar>
          <w:top w:w="0" w:type="dxa"/>
          <w:left w:w="0" w:type="dxa"/>
          <w:bottom w:w="0" w:type="dxa"/>
          <w:right w:w="0" w:type="dxa"/>
        </w:tblCellMar>
      </w:tblPr>
      <w:tr>
        <w:trPr>
          <w:trHeight w:val="201"/>
        </w:trPr>
        <w:tc>
          <w:tcPr>
            <w:tcW w:w="1480" w:type="dxa"/>
            <w:vAlign w:val="bottom"/>
          </w:tcPr>
          <w:p>
            <w:pPr>
              <w:jc w:val="right"/>
              <w:ind w:right="31"/>
              <w:spacing w:after="0" w:line="201" w:lineRule="exact"/>
              <w:rPr>
                <w:sz w:val="20"/>
                <w:szCs w:val="20"/>
                <w:color w:val="auto"/>
              </w:rPr>
            </w:pPr>
            <w:r>
              <w:rPr>
                <w:rFonts w:ascii="Courier New" w:cs="Courier New" w:eastAsia="Courier New" w:hAnsi="Courier New"/>
                <w:sz w:val="18"/>
                <w:szCs w:val="18"/>
                <w:color w:val="auto"/>
              </w:rPr>
              <w:t>2003 2002</w:t>
            </w:r>
          </w:p>
        </w:tc>
        <w:tc>
          <w:tcPr>
            <w:tcW w:w="2900" w:type="dxa"/>
            <w:vAlign w:val="bottom"/>
          </w:tcPr>
          <w:p>
            <w:pPr>
              <w:jc w:val="right"/>
              <w:ind w:right="292"/>
              <w:spacing w:after="0" w:line="201" w:lineRule="exact"/>
              <w:rPr>
                <w:sz w:val="20"/>
                <w:szCs w:val="20"/>
                <w:color w:val="auto"/>
              </w:rPr>
            </w:pPr>
            <w:r>
              <w:rPr>
                <w:rFonts w:ascii="Courier New" w:cs="Courier New" w:eastAsia="Courier New" w:hAnsi="Courier New"/>
                <w:sz w:val="18"/>
                <w:szCs w:val="18"/>
                <w:color w:val="auto"/>
                <w:w w:val="96"/>
              </w:rPr>
              <w:t>-------- -------- Voting</w:t>
            </w:r>
          </w:p>
        </w:tc>
        <w:tc>
          <w:tcPr>
            <w:tcW w:w="0" w:type="dxa"/>
            <w:vAlign w:val="bottom"/>
          </w:tcPr>
          <w:p>
            <w:pPr>
              <w:spacing w:after="0"/>
              <w:rPr>
                <w:sz w:val="1"/>
                <w:szCs w:val="1"/>
                <w:color w:val="auto"/>
              </w:rPr>
            </w:pPr>
          </w:p>
        </w:tc>
      </w:tr>
      <w:tr>
        <w:trPr>
          <w:trHeight w:val="296"/>
        </w:trPr>
        <w:tc>
          <w:tcPr>
            <w:tcW w:w="148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2"/>
              </w:rPr>
              <w:t>Shares....................................</w:t>
            </w:r>
          </w:p>
        </w:tc>
        <w:tc>
          <w:tcPr>
            <w:tcW w:w="2900" w:type="dxa"/>
            <w:vAlign w:val="bottom"/>
          </w:tcPr>
          <w:p>
            <w:pPr>
              <w:jc w:val="center"/>
              <w:ind w:right="1332"/>
              <w:spacing w:after="0"/>
              <w:rPr>
                <w:sz w:val="20"/>
                <w:szCs w:val="20"/>
                <w:color w:val="auto"/>
              </w:rPr>
            </w:pPr>
            <w:r>
              <w:rPr>
                <w:rFonts w:ascii="Courier New" w:cs="Courier New" w:eastAsia="Courier New" w:hAnsi="Courier New"/>
                <w:sz w:val="18"/>
                <w:szCs w:val="18"/>
                <w:color w:val="auto"/>
                <w:w w:val="97"/>
              </w:rPr>
              <w:t>Ordinary</w:t>
            </w:r>
          </w:p>
        </w:tc>
        <w:tc>
          <w:tcPr>
            <w:tcW w:w="0" w:type="dxa"/>
            <w:vAlign w:val="bottom"/>
          </w:tcPr>
          <w:p>
            <w:pPr>
              <w:spacing w:after="0"/>
              <w:rPr>
                <w:sz w:val="1"/>
                <w:szCs w:val="1"/>
                <w:color w:val="auto"/>
              </w:rPr>
            </w:pPr>
          </w:p>
        </w:tc>
      </w:tr>
      <w:tr>
        <w:trPr>
          <w:trHeight w:val="109"/>
        </w:trPr>
        <w:tc>
          <w:tcPr>
            <w:tcW w:w="1480" w:type="dxa"/>
            <w:vAlign w:val="bottom"/>
            <w:vMerge w:val="continue"/>
          </w:tcPr>
          <w:p>
            <w:pPr>
              <w:spacing w:after="0"/>
              <w:rPr>
                <w:sz w:val="9"/>
                <w:szCs w:val="9"/>
                <w:color w:val="auto"/>
              </w:rPr>
            </w:pPr>
          </w:p>
        </w:tc>
        <w:tc>
          <w:tcPr>
            <w:tcW w:w="2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3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223,790 220,780 Non-Voting Ordinary</w:t>
            </w:r>
          </w:p>
        </w:tc>
        <w:tc>
          <w:tcPr>
            <w:tcW w:w="0" w:type="dxa"/>
            <w:vAlign w:val="bottom"/>
          </w:tcPr>
          <w:p>
            <w:pPr>
              <w:spacing w:after="0"/>
              <w:rPr>
                <w:sz w:val="1"/>
                <w:szCs w:val="1"/>
                <w:color w:val="auto"/>
              </w:rPr>
            </w:pPr>
          </w:p>
        </w:tc>
      </w:t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9"/>
                <w:szCs w:val="9"/>
                <w:color w:val="auto"/>
                <w:w w:val="71"/>
              </w:rPr>
              <w:t>Shares................................</w:t>
            </w: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2,535 -------</w:t>
            </w:r>
          </w:p>
        </w:tc>
        <w:tc>
          <w:tcPr>
            <w:tcW w:w="2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Ordinary Shares</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issued....................................</w:t>
      </w:r>
    </w:p>
    <w:p>
      <w:pPr>
        <w:ind w:left="540"/>
        <w:spacing w:after="0"/>
        <w:rPr>
          <w:sz w:val="20"/>
          <w:szCs w:val="20"/>
          <w:color w:val="auto"/>
        </w:rPr>
      </w:pPr>
      <w:r>
        <w:rPr>
          <w:rFonts w:ascii="Courier New" w:cs="Courier New" w:eastAsia="Courier New" w:hAnsi="Courier New"/>
          <w:sz w:val="18"/>
          <w:szCs w:val="18"/>
          <w:color w:val="auto"/>
        </w:rPr>
        <w:t>223,790 223,315 Less -- treasury</w:t>
      </w:r>
    </w:p>
    <w:tbl>
      <w:tblPr>
        <w:tblLayout w:type="fixed"/>
        <w:tblInd w:w="60" w:type="dxa"/>
        <w:tblCellMar>
          <w:top w:w="0" w:type="dxa"/>
          <w:left w:w="0" w:type="dxa"/>
          <w:bottom w:w="0" w:type="dxa"/>
          <w:right w:w="0" w:type="dxa"/>
        </w:tblCellMar>
      </w:tblPr>
      <w:tr>
        <w:trPr>
          <w:trHeight w:val="171"/>
        </w:trPr>
        <w:tc>
          <w:tcPr>
            <w:tcW w:w="1840" w:type="dxa"/>
            <w:vAlign w:val="bottom"/>
          </w:tcPr>
          <w:p>
            <w:pPr>
              <w:jc w:val="right"/>
              <w:spacing w:after="0"/>
              <w:rPr>
                <w:sz w:val="20"/>
                <w:szCs w:val="20"/>
                <w:color w:val="auto"/>
              </w:rPr>
            </w:pPr>
            <w:r>
              <w:rPr>
                <w:rFonts w:ascii="Courier New" w:cs="Courier New" w:eastAsia="Courier New" w:hAnsi="Courier New"/>
                <w:sz w:val="9"/>
                <w:szCs w:val="9"/>
                <w:color w:val="auto"/>
                <w:w w:val="71"/>
              </w:rPr>
              <w:t>stock....................................</w:t>
            </w:r>
            <w:r>
              <w:rPr>
                <w:rFonts w:ascii="Courier New" w:cs="Courier New" w:eastAsia="Courier New" w:hAnsi="Courier New"/>
                <w:sz w:val="12"/>
                <w:szCs w:val="12"/>
                <w:color w:val="auto"/>
                <w:w w:val="71"/>
                <w:vertAlign w:val="subscript"/>
              </w:rPr>
              <w:t>-------</w:t>
            </w:r>
          </w:p>
        </w:tc>
        <w:tc>
          <w:tcPr>
            <w:tcW w:w="2420" w:type="dxa"/>
            <w:vAlign w:val="bottom"/>
            <w:vMerge w:val="restart"/>
          </w:tcPr>
          <w:p>
            <w:pPr>
              <w:ind w:left="740"/>
              <w:spacing w:after="0"/>
              <w:rPr>
                <w:sz w:val="20"/>
                <w:szCs w:val="20"/>
                <w:color w:val="auto"/>
              </w:rPr>
            </w:pPr>
            <w:r>
              <w:rPr>
                <w:rFonts w:ascii="Courier New" w:cs="Courier New" w:eastAsia="Courier New" w:hAnsi="Courier New"/>
                <w:sz w:val="18"/>
                <w:szCs w:val="18"/>
                <w:color w:val="auto"/>
                <w:w w:val="96"/>
              </w:rPr>
              <w:t>------- Ordinary</w:t>
            </w:r>
          </w:p>
        </w:tc>
        <w:tc>
          <w:tcPr>
            <w:tcW w:w="0" w:type="dxa"/>
            <w:vAlign w:val="bottom"/>
          </w:tcPr>
          <w:p>
            <w:pPr>
              <w:spacing w:after="0"/>
              <w:rPr>
                <w:sz w:val="1"/>
                <w:szCs w:val="1"/>
                <w:color w:val="auto"/>
              </w:rPr>
            </w:pPr>
          </w:p>
        </w:tc>
      </w:tr>
      <w:tr>
        <w:trPr>
          <w:trHeight w:val="203"/>
        </w:trPr>
        <w:tc>
          <w:tcPr>
            <w:tcW w:w="1840" w:type="dxa"/>
            <w:vAlign w:val="bottom"/>
          </w:tcPr>
          <w:p>
            <w:pPr>
              <w:jc w:val="right"/>
              <w:ind w:right="153"/>
              <w:spacing w:after="0" w:line="203" w:lineRule="exact"/>
              <w:rPr>
                <w:sz w:val="20"/>
                <w:szCs w:val="20"/>
                <w:color w:val="auto"/>
              </w:rPr>
            </w:pPr>
            <w:r>
              <w:rPr>
                <w:rFonts w:ascii="Courier New" w:cs="Courier New" w:eastAsia="Courier New" w:hAnsi="Courier New"/>
                <w:sz w:val="18"/>
                <w:szCs w:val="18"/>
                <w:color w:val="auto"/>
                <w:w w:val="98"/>
              </w:rPr>
              <w:t>(7,732) (7,732)</w:t>
            </w: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84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outstanding...............................</w:t>
      </w:r>
    </w:p>
    <w:p>
      <w:pPr>
        <w:ind w:left="580"/>
        <w:spacing w:after="0"/>
        <w:rPr>
          <w:sz w:val="20"/>
          <w:szCs w:val="20"/>
          <w:color w:val="auto"/>
        </w:rPr>
      </w:pPr>
      <w:r>
        <w:rPr>
          <w:rFonts w:ascii="Courier New" w:cs="Courier New" w:eastAsia="Courier New" w:hAnsi="Courier New"/>
          <w:sz w:val="18"/>
          <w:szCs w:val="18"/>
          <w:color w:val="auto"/>
        </w:rPr>
        <w:t>216,058 215,583 ======= =======</w:t>
      </w:r>
    </w:p>
    <w:p>
      <w:pPr>
        <w:spacing w:after="0" w:line="37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capital transactions are described below:</w:t>
      </w:r>
    </w:p>
    <w:p>
      <w:pPr>
        <w:spacing w:after="0" w:line="201" w:lineRule="exact"/>
        <w:rPr>
          <w:sz w:val="20"/>
          <w:szCs w:val="20"/>
          <w:color w:val="auto"/>
        </w:rPr>
      </w:pPr>
    </w:p>
    <w:p>
      <w:pPr>
        <w:ind w:right="2319" w:firstLine="527"/>
        <w:spacing w:after="0" w:line="402" w:lineRule="auto"/>
        <w:rPr>
          <w:sz w:val="20"/>
          <w:szCs w:val="20"/>
          <w:color w:val="auto"/>
        </w:rPr>
      </w:pPr>
      <w:r>
        <w:rPr>
          <w:rFonts w:ascii="Courier New" w:cs="Courier New" w:eastAsia="Courier New" w:hAnsi="Courier New"/>
          <w:sz w:val="16"/>
          <w:szCs w:val="16"/>
          <w:color w:val="auto"/>
        </w:rPr>
        <w:t>Total proceeds from the exercise of employee stock options amounted to $2,320, $5,161 and $13,967 in fiscal 2003, 2002 and 2001, respectively.</w:t>
      </w:r>
    </w:p>
    <w:p>
      <w:pPr>
        <w:spacing w:after="0" w:line="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During fiscal 2002 the Company repurchased 7,732 Ordinary Shares, at an average price of $14.13 per share pursuant to a share repurchase program. The Company funded these repurchases, and intends to fund any future repurchases, with available funds. On November 5, 2003, the Company announced that its board of directors had authorized a share repurchase program of up to five million Ordinary Shares over the next twelve months. The authorization permits the Company to purchase Ordinary Shares in open market or privately negotiated transactions and at prices the Company deems appropriate. The Company stated that one of the main purposes of the repurchase program was to offset the dilutive effect of any future share issuances, including issuances in connection with acquisitions or pursuant to employee equity plans.</w:t>
      </w:r>
    </w:p>
    <w:p>
      <w:pPr>
        <w:spacing w:after="0" w:line="104" w:lineRule="exact"/>
        <w:rPr>
          <w:sz w:val="20"/>
          <w:szCs w:val="20"/>
          <w:color w:val="auto"/>
        </w:rPr>
      </w:pPr>
    </w:p>
    <w:p>
      <w:pPr>
        <w:ind w:right="2199" w:firstLine="527"/>
        <w:spacing w:after="0" w:line="298" w:lineRule="auto"/>
        <w:rPr>
          <w:sz w:val="20"/>
          <w:szCs w:val="20"/>
          <w:color w:val="auto"/>
        </w:rPr>
      </w:pPr>
      <w:r>
        <w:rPr>
          <w:rFonts w:ascii="Courier New" w:cs="Courier New" w:eastAsia="Courier New" w:hAnsi="Courier New"/>
          <w:sz w:val="16"/>
          <w:szCs w:val="16"/>
          <w:color w:val="auto"/>
        </w:rPr>
        <w:t>On July 28, 2004, the Company announced that its board of directors had extended the share repurchase program for the additional repurchase of up to $100,000 of its Ordinary Shares in open market or privately negotiated transactions and at times and prices the Company deems appropriate. In accordance with this extension, as of August 10, 2004, the Company had repurchased 2,219 Ordinary Shares, at an average price of $21.10 per share.</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18 -- STOCK OPTION AND INCENTIVE PLAN</w:t>
      </w:r>
    </w:p>
    <w:p>
      <w:pPr>
        <w:spacing w:after="0" w:line="20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In January 1998, the Company first adopted, and in each of January 1999, January 2000 and January 2001 the Company has amended, the Amdocs Limited 1998 Stock Option and Incentive Plan (the "Plan"). Under the provisions of the Plan, 32,300 Ordinary Shares are available to be granted to officers, directors, employees and consultants. Such options fully vest over one to nine years and have a term of ten years.</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F-33</w:t>
      </w:r>
    </w:p>
    <w:p>
      <w:pPr>
        <w:sectPr>
          <w:pgSz w:w="11900" w:h="16838" w:orient="portrait"/>
          <w:cols w:equalWidth="0" w:num="1">
            <w:col w:w="10219"/>
          </w:cols>
          <w:pgMar w:left="240" w:top="488" w:right="1440" w:bottom="1440" w:gutter="0" w:footer="0" w:header="0"/>
        </w:sectPr>
      </w:pPr>
    </w:p>
    <w:bookmarkStart w:id="109" w:name="page110"/>
    <w:bookmarkEnd w:id="109"/>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The following table summarizes information about share options, as well as changes during the years ended September 30, 2003, 2002 and 2001:</w:t>
      </w:r>
    </w:p>
    <w:p>
      <w:pPr>
        <w:spacing w:after="0" w:line="1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WEIGHTED NUMBER OF AVERAGE SHARE EXERCISE OPTIONS PRICE</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 Outstanding as of October 1,</w:t>
      </w:r>
    </w:p>
    <w:tbl>
      <w:tblPr>
        <w:tblLayout w:type="fixed"/>
        <w:tblInd w:w="0" w:type="dxa"/>
        <w:tblCellMar>
          <w:top w:w="0" w:type="dxa"/>
          <w:left w:w="0" w:type="dxa"/>
          <w:bottom w:w="0" w:type="dxa"/>
          <w:right w:w="0" w:type="dxa"/>
        </w:tblCellMar>
      </w:tblPr>
      <w:tr>
        <w:trPr>
          <w:trHeight w:val="171"/>
        </w:trPr>
        <w:tc>
          <w:tcPr>
            <w:tcW w:w="3140" w:type="dxa"/>
            <w:vAlign w:val="bottom"/>
            <w:gridSpan w:val="2"/>
          </w:tcPr>
          <w:p>
            <w:pPr>
              <w:jc w:val="right"/>
              <w:spacing w:after="0" w:line="170" w:lineRule="exact"/>
              <w:rPr>
                <w:sz w:val="20"/>
                <w:szCs w:val="20"/>
                <w:color w:val="auto"/>
              </w:rPr>
            </w:pPr>
            <w:r>
              <w:rPr>
                <w:rFonts w:ascii="Courier New" w:cs="Courier New" w:eastAsia="Courier New" w:hAnsi="Courier New"/>
                <w:sz w:val="18"/>
                <w:szCs w:val="18"/>
                <w:color w:val="auto"/>
              </w:rPr>
              <w:t>2000........................</w:t>
            </w:r>
          </w:p>
        </w:tc>
        <w:tc>
          <w:tcPr>
            <w:tcW w:w="144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11,228.1</w:t>
            </w:r>
          </w:p>
        </w:tc>
        <w:tc>
          <w:tcPr>
            <w:tcW w:w="1380" w:type="dxa"/>
            <w:vAlign w:val="bottom"/>
          </w:tcPr>
          <w:p>
            <w:pPr>
              <w:jc w:val="right"/>
              <w:ind w:right="552"/>
              <w:spacing w:after="0" w:line="170" w:lineRule="exact"/>
              <w:rPr>
                <w:sz w:val="20"/>
                <w:szCs w:val="20"/>
                <w:color w:val="auto"/>
              </w:rPr>
            </w:pPr>
            <w:r>
              <w:rPr>
                <w:rFonts w:ascii="Courier New" w:cs="Courier New" w:eastAsia="Courier New" w:hAnsi="Courier New"/>
                <w:sz w:val="18"/>
                <w:szCs w:val="18"/>
                <w:color w:val="auto"/>
              </w:rPr>
              <w:t>$30.62</w:t>
            </w:r>
          </w:p>
        </w:tc>
        <w:tc>
          <w:tcPr>
            <w:tcW w:w="0" w:type="dxa"/>
            <w:vAlign w:val="bottom"/>
          </w:tcPr>
          <w:p>
            <w:pPr>
              <w:spacing w:after="0"/>
              <w:rPr>
                <w:sz w:val="1"/>
                <w:szCs w:val="1"/>
                <w:color w:val="auto"/>
              </w:rPr>
            </w:pPr>
          </w:p>
        </w:tc>
      </w:tr>
      <w:tr>
        <w:trPr>
          <w:trHeight w:val="381"/>
        </w:trPr>
        <w:tc>
          <w:tcPr>
            <w:tcW w:w="2260" w:type="dxa"/>
            <w:vAlign w:val="bottom"/>
          </w:tcPr>
          <w:p>
            <w:pPr>
              <w:spacing w:after="0"/>
              <w:rPr>
                <w:sz w:val="20"/>
                <w:szCs w:val="20"/>
                <w:color w:val="auto"/>
              </w:rPr>
            </w:pPr>
            <w:r>
              <w:rPr>
                <w:rFonts w:ascii="Courier New" w:cs="Courier New" w:eastAsia="Courier New" w:hAnsi="Courier New"/>
                <w:sz w:val="5"/>
                <w:szCs w:val="5"/>
                <w:color w:val="auto"/>
                <w:w w:val="75"/>
                <w:vertAlign w:val="superscript"/>
              </w:rPr>
              <w:t>Granted..................................................</w:t>
            </w:r>
            <w:r>
              <w:rPr>
                <w:rFonts w:ascii="Courier New" w:cs="Courier New" w:eastAsia="Courier New" w:hAnsi="Courier New"/>
                <w:sz w:val="3"/>
                <w:szCs w:val="3"/>
                <w:color w:val="auto"/>
                <w:w w:val="75"/>
              </w:rPr>
              <w:t>................................................</w:t>
            </w:r>
            <w:r>
              <w:rPr>
                <w:rFonts w:ascii="Courier New" w:cs="Courier New" w:eastAsia="Courier New" w:hAnsi="Courier New"/>
                <w:sz w:val="5"/>
                <w:szCs w:val="5"/>
                <w:color w:val="auto"/>
                <w:w w:val="75"/>
                <w:vertAlign w:val="subscript"/>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5,745.2</w:t>
            </w:r>
          </w:p>
        </w:tc>
        <w:tc>
          <w:tcPr>
            <w:tcW w:w="1440" w:type="dxa"/>
            <w:vAlign w:val="bottom"/>
            <w:vMerge w:val="restart"/>
          </w:tcPr>
          <w:p>
            <w:pPr>
              <w:jc w:val="center"/>
              <w:ind w:right="772"/>
              <w:spacing w:after="0"/>
              <w:rPr>
                <w:sz w:val="20"/>
                <w:szCs w:val="20"/>
                <w:color w:val="auto"/>
              </w:rPr>
            </w:pPr>
            <w:r>
              <w:rPr>
                <w:rFonts w:ascii="Courier New" w:cs="Courier New" w:eastAsia="Courier New" w:hAnsi="Courier New"/>
                <w:sz w:val="18"/>
                <w:szCs w:val="18"/>
                <w:color w:val="auto"/>
                <w:w w:val="99"/>
              </w:rPr>
              <w:t>50.15</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260" w:type="dxa"/>
            <w:vAlign w:val="bottom"/>
            <w:vMerge w:val="restart"/>
          </w:tcPr>
          <w:p>
            <w:pPr>
              <w:spacing w:after="0"/>
              <w:rPr>
                <w:sz w:val="20"/>
                <w:szCs w:val="20"/>
                <w:color w:val="auto"/>
              </w:rPr>
            </w:pPr>
            <w:r>
              <w:rPr>
                <w:rFonts w:ascii="Courier New" w:cs="Courier New" w:eastAsia="Courier New" w:hAnsi="Courier New"/>
                <w:sz w:val="18"/>
                <w:szCs w:val="18"/>
                <w:color w:val="auto"/>
              </w:rPr>
              <w:t>Exercised</w:t>
            </w:r>
          </w:p>
        </w:tc>
        <w:tc>
          <w:tcPr>
            <w:tcW w:w="8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260" w:type="dxa"/>
            <w:vAlign w:val="bottom"/>
            <w:vMerge w:val="continue"/>
          </w:tcPr>
          <w:p>
            <w:pPr>
              <w:spacing w:after="0"/>
              <w:rPr>
                <w:sz w:val="17"/>
                <w:szCs w:val="17"/>
                <w:color w:val="auto"/>
              </w:rPr>
            </w:pPr>
          </w:p>
        </w:tc>
        <w:tc>
          <w:tcPr>
            <w:tcW w:w="2320" w:type="dxa"/>
            <w:vAlign w:val="bottom"/>
            <w:gridSpan w:val="2"/>
            <w:vMerge w:val="restart"/>
          </w:tcPr>
          <w:p>
            <w:pPr>
              <w:jc w:val="right"/>
              <w:ind w:right="752"/>
              <w:spacing w:after="0"/>
              <w:rPr>
                <w:sz w:val="20"/>
                <w:szCs w:val="20"/>
                <w:color w:val="auto"/>
              </w:rPr>
            </w:pPr>
            <w:r>
              <w:rPr>
                <w:rFonts w:ascii="Courier New" w:cs="Courier New" w:eastAsia="Courier New" w:hAnsi="Courier New"/>
                <w:sz w:val="18"/>
                <w:szCs w:val="18"/>
                <w:color w:val="auto"/>
                <w:w w:val="96"/>
              </w:rPr>
              <w:t>(1,462.8) 9.73</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vMerge w:val="restart"/>
          </w:tcPr>
          <w:p>
            <w:pPr>
              <w:spacing w:after="0"/>
              <w:rPr>
                <w:sz w:val="20"/>
                <w:szCs w:val="20"/>
                <w:color w:val="auto"/>
              </w:rPr>
            </w:pPr>
            <w:r>
              <w:rPr>
                <w:rFonts w:ascii="Courier New" w:cs="Courier New" w:eastAsia="Courier New" w:hAnsi="Courier New"/>
                <w:sz w:val="18"/>
                <w:szCs w:val="18"/>
                <w:color w:val="auto"/>
              </w:rPr>
              <w:t>Forfeited</w:t>
            </w:r>
          </w:p>
        </w:tc>
        <w:tc>
          <w:tcPr>
            <w:tcW w:w="2320" w:type="dxa"/>
            <w:vAlign w:val="bottom"/>
            <w:gridSpan w:val="2"/>
            <w:vMerge w:val="continue"/>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260" w:type="dxa"/>
            <w:vAlign w:val="bottom"/>
            <w:vMerge w:val="continue"/>
          </w:tcPr>
          <w:p>
            <w:pPr>
              <w:ind w:left="1740"/>
              <w:spacing w:after="0" w:line="109" w:lineRule="exact"/>
              <w:rPr>
                <w:sz w:val="20"/>
                <w:szCs w:val="20"/>
                <w:color w:val="auto"/>
              </w:rPr>
            </w:pPr>
            <w:r>
              <w:rPr>
                <w:rFonts w:ascii="Courier New" w:cs="Courier New" w:eastAsia="Courier New" w:hAnsi="Courier New"/>
                <w:sz w:val="12"/>
                <w:szCs w:val="12"/>
                <w:color w:val="auto"/>
                <w:w w:val="86"/>
              </w:rPr>
              <w:t>--------</w:t>
            </w:r>
          </w:p>
        </w:tc>
        <w:tc>
          <w:tcPr>
            <w:tcW w:w="3700" w:type="dxa"/>
            <w:vAlign w:val="bottom"/>
            <w:gridSpan w:val="3"/>
            <w:vMerge w:val="restart"/>
          </w:tcPr>
          <w:p>
            <w:pPr>
              <w:ind w:left="420"/>
              <w:spacing w:after="0"/>
              <w:rPr>
                <w:sz w:val="20"/>
                <w:szCs w:val="20"/>
                <w:color w:val="auto"/>
              </w:rPr>
            </w:pPr>
            <w:r>
              <w:rPr>
                <w:rFonts w:ascii="Courier New" w:cs="Courier New" w:eastAsia="Courier New" w:hAnsi="Courier New"/>
                <w:sz w:val="18"/>
                <w:szCs w:val="18"/>
                <w:color w:val="auto"/>
                <w:w w:val="97"/>
              </w:rPr>
              <w:t>Outstanding as of September 30,</w:t>
            </w:r>
          </w:p>
        </w:tc>
        <w:tc>
          <w:tcPr>
            <w:tcW w:w="0" w:type="dxa"/>
            <w:vAlign w:val="bottom"/>
          </w:tcPr>
          <w:p>
            <w:pPr>
              <w:spacing w:after="0"/>
              <w:rPr>
                <w:sz w:val="1"/>
                <w:szCs w:val="1"/>
                <w:color w:val="auto"/>
              </w:rPr>
            </w:pPr>
          </w:p>
        </w:tc>
      </w:tr>
      <w:tr>
        <w:trPr>
          <w:trHeight w:val="203"/>
        </w:trPr>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(1,359.3) 49.59</w:t>
            </w:r>
          </w:p>
        </w:tc>
        <w:tc>
          <w:tcPr>
            <w:tcW w:w="37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2001.....................</w:t>
            </w:r>
          </w:p>
        </w:tc>
        <w:tc>
          <w:tcPr>
            <w:tcW w:w="14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14,151.2</w:t>
            </w:r>
          </w:p>
        </w:tc>
        <w:tc>
          <w:tcPr>
            <w:tcW w:w="1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6"/>
              </w:rPr>
              <w:t>38.89</w:t>
            </w:r>
          </w:p>
        </w:tc>
        <w:tc>
          <w:tcPr>
            <w:tcW w:w="0" w:type="dxa"/>
            <w:vAlign w:val="bottom"/>
          </w:tcPr>
          <w:p>
            <w:pPr>
              <w:spacing w:after="0"/>
              <w:rPr>
                <w:sz w:val="1"/>
                <w:szCs w:val="1"/>
                <w:color w:val="auto"/>
              </w:rPr>
            </w:pPr>
          </w:p>
        </w:tc>
      </w:tr>
      <w:tr>
        <w:trPr>
          <w:trHeight w:val="381"/>
        </w:trPr>
        <w:tc>
          <w:tcPr>
            <w:tcW w:w="2260" w:type="dxa"/>
            <w:vAlign w:val="bottom"/>
          </w:tcPr>
          <w:p>
            <w:pPr>
              <w:spacing w:after="0"/>
              <w:rPr>
                <w:sz w:val="20"/>
                <w:szCs w:val="20"/>
                <w:color w:val="auto"/>
              </w:rPr>
            </w:pPr>
            <w:r>
              <w:rPr>
                <w:rFonts w:ascii="Courier New" w:cs="Courier New" w:eastAsia="Courier New" w:hAnsi="Courier New"/>
                <w:sz w:val="5"/>
                <w:szCs w:val="5"/>
                <w:color w:val="auto"/>
                <w:w w:val="75"/>
                <w:vertAlign w:val="superscript"/>
              </w:rPr>
              <w:t>Granted..................................................</w:t>
            </w:r>
            <w:r>
              <w:rPr>
                <w:rFonts w:ascii="Courier New" w:cs="Courier New" w:eastAsia="Courier New" w:hAnsi="Courier New"/>
                <w:sz w:val="3"/>
                <w:szCs w:val="3"/>
                <w:color w:val="auto"/>
                <w:w w:val="75"/>
              </w:rPr>
              <w:t>................................................</w:t>
            </w:r>
            <w:r>
              <w:rPr>
                <w:rFonts w:ascii="Courier New" w:cs="Courier New" w:eastAsia="Courier New" w:hAnsi="Courier New"/>
                <w:sz w:val="5"/>
                <w:szCs w:val="5"/>
                <w:color w:val="auto"/>
                <w:w w:val="75"/>
                <w:vertAlign w:val="subscript"/>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7"/>
              </w:rPr>
              <w:t>16,648.5</w:t>
            </w:r>
          </w:p>
        </w:tc>
        <w:tc>
          <w:tcPr>
            <w:tcW w:w="1440" w:type="dxa"/>
            <w:vAlign w:val="bottom"/>
            <w:vMerge w:val="restart"/>
          </w:tcPr>
          <w:p>
            <w:pPr>
              <w:jc w:val="right"/>
              <w:ind w:right="752"/>
              <w:spacing w:after="0"/>
              <w:rPr>
                <w:sz w:val="20"/>
                <w:szCs w:val="20"/>
                <w:color w:val="auto"/>
              </w:rPr>
            </w:pPr>
            <w:r>
              <w:rPr>
                <w:rFonts w:ascii="Courier New" w:cs="Courier New" w:eastAsia="Courier New" w:hAnsi="Courier New"/>
                <w:sz w:val="18"/>
                <w:szCs w:val="18"/>
                <w:color w:val="auto"/>
              </w:rPr>
              <w:t>23.88</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260" w:type="dxa"/>
            <w:vAlign w:val="bottom"/>
            <w:vMerge w:val="restart"/>
          </w:tcPr>
          <w:p>
            <w:pPr>
              <w:spacing w:after="0"/>
              <w:rPr>
                <w:sz w:val="20"/>
                <w:szCs w:val="20"/>
                <w:color w:val="auto"/>
              </w:rPr>
            </w:pPr>
            <w:r>
              <w:rPr>
                <w:rFonts w:ascii="Courier New" w:cs="Courier New" w:eastAsia="Courier New" w:hAnsi="Courier New"/>
                <w:sz w:val="18"/>
                <w:szCs w:val="18"/>
                <w:color w:val="auto"/>
              </w:rPr>
              <w:t>Exercised</w:t>
            </w:r>
          </w:p>
        </w:tc>
        <w:tc>
          <w:tcPr>
            <w:tcW w:w="8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260" w:type="dxa"/>
            <w:vAlign w:val="bottom"/>
            <w:vMerge w:val="continue"/>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(688.9)</w:t>
            </w:r>
          </w:p>
        </w:tc>
        <w:tc>
          <w:tcPr>
            <w:tcW w:w="1440" w:type="dxa"/>
            <w:vAlign w:val="bottom"/>
            <w:vMerge w:val="restart"/>
          </w:tcPr>
          <w:p>
            <w:pPr>
              <w:jc w:val="center"/>
              <w:ind w:right="772"/>
              <w:spacing w:after="0"/>
              <w:rPr>
                <w:sz w:val="20"/>
                <w:szCs w:val="20"/>
                <w:color w:val="auto"/>
              </w:rPr>
            </w:pPr>
            <w:r>
              <w:rPr>
                <w:rFonts w:ascii="Courier New" w:cs="Courier New" w:eastAsia="Courier New" w:hAnsi="Courier New"/>
                <w:sz w:val="18"/>
                <w:szCs w:val="18"/>
                <w:color w:val="auto"/>
                <w:w w:val="97"/>
              </w:rPr>
              <w:t>7.49</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vMerge w:val="restart"/>
          </w:tcPr>
          <w:p>
            <w:pPr>
              <w:spacing w:after="0"/>
              <w:rPr>
                <w:sz w:val="20"/>
                <w:szCs w:val="20"/>
                <w:color w:val="auto"/>
              </w:rPr>
            </w:pPr>
            <w:r>
              <w:rPr>
                <w:rFonts w:ascii="Courier New" w:cs="Courier New" w:eastAsia="Courier New" w:hAnsi="Courier New"/>
                <w:sz w:val="18"/>
                <w:szCs w:val="18"/>
                <w:color w:val="auto"/>
              </w:rPr>
              <w:t>Forfeited</w:t>
            </w:r>
          </w:p>
        </w:tc>
        <w:tc>
          <w:tcPr>
            <w:tcW w:w="8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260" w:type="dxa"/>
            <w:vAlign w:val="bottom"/>
            <w:vMerge w:val="continue"/>
          </w:tcPr>
          <w:p>
            <w:pPr>
              <w:ind w:left="1740"/>
              <w:spacing w:after="0" w:line="109" w:lineRule="exact"/>
              <w:rPr>
                <w:sz w:val="20"/>
                <w:szCs w:val="20"/>
                <w:color w:val="auto"/>
              </w:rPr>
            </w:pPr>
            <w:r>
              <w:rPr>
                <w:rFonts w:ascii="Courier New" w:cs="Courier New" w:eastAsia="Courier New" w:hAnsi="Courier New"/>
                <w:sz w:val="12"/>
                <w:szCs w:val="12"/>
                <w:color w:val="auto"/>
                <w:w w:val="86"/>
              </w:rPr>
              <w:t>--------</w:t>
            </w:r>
          </w:p>
        </w:tc>
        <w:tc>
          <w:tcPr>
            <w:tcW w:w="3700" w:type="dxa"/>
            <w:vAlign w:val="bottom"/>
            <w:gridSpan w:val="3"/>
            <w:vMerge w:val="restart"/>
          </w:tcPr>
          <w:p>
            <w:pPr>
              <w:ind w:left="420"/>
              <w:spacing w:after="0"/>
              <w:rPr>
                <w:sz w:val="20"/>
                <w:szCs w:val="20"/>
                <w:color w:val="auto"/>
              </w:rPr>
            </w:pPr>
            <w:r>
              <w:rPr>
                <w:rFonts w:ascii="Courier New" w:cs="Courier New" w:eastAsia="Courier New" w:hAnsi="Courier New"/>
                <w:sz w:val="18"/>
                <w:szCs w:val="18"/>
                <w:color w:val="auto"/>
                <w:w w:val="97"/>
              </w:rPr>
              <w:t>Outstanding as of September 30,</w:t>
            </w:r>
          </w:p>
        </w:tc>
        <w:tc>
          <w:tcPr>
            <w:tcW w:w="0" w:type="dxa"/>
            <w:vAlign w:val="bottom"/>
          </w:tcPr>
          <w:p>
            <w:pPr>
              <w:spacing w:after="0"/>
              <w:rPr>
                <w:sz w:val="1"/>
                <w:szCs w:val="1"/>
                <w:color w:val="auto"/>
              </w:rPr>
            </w:pPr>
          </w:p>
        </w:tc>
      </w:tr>
      <w:tr>
        <w:trPr>
          <w:trHeight w:val="203"/>
        </w:trPr>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(2,418.8) 44.02</w:t>
            </w:r>
          </w:p>
        </w:tc>
        <w:tc>
          <w:tcPr>
            <w:tcW w:w="37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2002.....................</w:t>
            </w:r>
          </w:p>
        </w:tc>
        <w:tc>
          <w:tcPr>
            <w:tcW w:w="14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27,692.0</w:t>
            </w:r>
          </w:p>
        </w:tc>
        <w:tc>
          <w:tcPr>
            <w:tcW w:w="1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6"/>
              </w:rPr>
              <w:t>30.30</w:t>
            </w:r>
          </w:p>
        </w:tc>
        <w:tc>
          <w:tcPr>
            <w:tcW w:w="0" w:type="dxa"/>
            <w:vAlign w:val="bottom"/>
          </w:tcPr>
          <w:p>
            <w:pPr>
              <w:spacing w:after="0"/>
              <w:rPr>
                <w:sz w:val="1"/>
                <w:szCs w:val="1"/>
                <w:color w:val="auto"/>
              </w:rPr>
            </w:pPr>
          </w:p>
        </w:tc>
      </w:tr>
      <w:tr>
        <w:trPr>
          <w:trHeight w:val="381"/>
        </w:trPr>
        <w:tc>
          <w:tcPr>
            <w:tcW w:w="2260" w:type="dxa"/>
            <w:vAlign w:val="bottom"/>
          </w:tcPr>
          <w:p>
            <w:pPr>
              <w:spacing w:after="0"/>
              <w:rPr>
                <w:sz w:val="20"/>
                <w:szCs w:val="20"/>
                <w:color w:val="auto"/>
              </w:rPr>
            </w:pPr>
            <w:r>
              <w:rPr>
                <w:rFonts w:ascii="Courier New" w:cs="Courier New" w:eastAsia="Courier New" w:hAnsi="Courier New"/>
                <w:sz w:val="5"/>
                <w:szCs w:val="5"/>
                <w:color w:val="auto"/>
                <w:w w:val="75"/>
                <w:vertAlign w:val="superscript"/>
              </w:rPr>
              <w:t>Granted..................................................</w:t>
            </w:r>
            <w:r>
              <w:rPr>
                <w:rFonts w:ascii="Courier New" w:cs="Courier New" w:eastAsia="Courier New" w:hAnsi="Courier New"/>
                <w:sz w:val="3"/>
                <w:szCs w:val="3"/>
                <w:color w:val="auto"/>
                <w:w w:val="75"/>
              </w:rPr>
              <w:t>................................................</w:t>
            </w:r>
            <w:r>
              <w:rPr>
                <w:rFonts w:ascii="Courier New" w:cs="Courier New" w:eastAsia="Courier New" w:hAnsi="Courier New"/>
                <w:sz w:val="5"/>
                <w:szCs w:val="5"/>
                <w:color w:val="auto"/>
                <w:w w:val="75"/>
                <w:vertAlign w:val="subscript"/>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3,151.2</w:t>
            </w:r>
          </w:p>
        </w:tc>
        <w:tc>
          <w:tcPr>
            <w:tcW w:w="1440" w:type="dxa"/>
            <w:vAlign w:val="bottom"/>
            <w:vMerge w:val="restart"/>
          </w:tcPr>
          <w:p>
            <w:pPr>
              <w:jc w:val="center"/>
              <w:ind w:right="772"/>
              <w:spacing w:after="0"/>
              <w:rPr>
                <w:sz w:val="20"/>
                <w:szCs w:val="20"/>
                <w:color w:val="auto"/>
              </w:rPr>
            </w:pPr>
            <w:r>
              <w:rPr>
                <w:rFonts w:ascii="Courier New" w:cs="Courier New" w:eastAsia="Courier New" w:hAnsi="Courier New"/>
                <w:sz w:val="18"/>
                <w:szCs w:val="18"/>
                <w:color w:val="auto"/>
                <w:w w:val="99"/>
              </w:rPr>
              <w:t>10.49</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260" w:type="dxa"/>
            <w:vAlign w:val="bottom"/>
            <w:vMerge w:val="restart"/>
          </w:tcPr>
          <w:p>
            <w:pPr>
              <w:spacing w:after="0"/>
              <w:rPr>
                <w:sz w:val="20"/>
                <w:szCs w:val="20"/>
                <w:color w:val="auto"/>
              </w:rPr>
            </w:pPr>
            <w:r>
              <w:rPr>
                <w:rFonts w:ascii="Courier New" w:cs="Courier New" w:eastAsia="Courier New" w:hAnsi="Courier New"/>
                <w:sz w:val="18"/>
                <w:szCs w:val="18"/>
                <w:color w:val="auto"/>
              </w:rPr>
              <w:t>Exercised</w:t>
            </w:r>
          </w:p>
        </w:tc>
        <w:tc>
          <w:tcPr>
            <w:tcW w:w="8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260" w:type="dxa"/>
            <w:vAlign w:val="bottom"/>
            <w:vMerge w:val="continue"/>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(474.5)</w:t>
            </w:r>
          </w:p>
        </w:tc>
        <w:tc>
          <w:tcPr>
            <w:tcW w:w="1440" w:type="dxa"/>
            <w:vAlign w:val="bottom"/>
            <w:vMerge w:val="restart"/>
          </w:tcPr>
          <w:p>
            <w:pPr>
              <w:jc w:val="center"/>
              <w:ind w:right="772"/>
              <w:spacing w:after="0"/>
              <w:rPr>
                <w:sz w:val="20"/>
                <w:szCs w:val="20"/>
                <w:color w:val="auto"/>
              </w:rPr>
            </w:pPr>
            <w:r>
              <w:rPr>
                <w:rFonts w:ascii="Courier New" w:cs="Courier New" w:eastAsia="Courier New" w:hAnsi="Courier New"/>
                <w:sz w:val="18"/>
                <w:szCs w:val="18"/>
                <w:color w:val="auto"/>
                <w:w w:val="97"/>
              </w:rPr>
              <w:t>4.89</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vMerge w:val="restart"/>
          </w:tcPr>
          <w:p>
            <w:pPr>
              <w:spacing w:after="0"/>
              <w:rPr>
                <w:sz w:val="20"/>
                <w:szCs w:val="20"/>
                <w:color w:val="auto"/>
              </w:rPr>
            </w:pPr>
            <w:r>
              <w:rPr>
                <w:rFonts w:ascii="Courier New" w:cs="Courier New" w:eastAsia="Courier New" w:hAnsi="Courier New"/>
                <w:sz w:val="18"/>
                <w:szCs w:val="18"/>
                <w:color w:val="auto"/>
              </w:rPr>
              <w:t>Forfeited</w:t>
            </w:r>
          </w:p>
        </w:tc>
        <w:tc>
          <w:tcPr>
            <w:tcW w:w="8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260" w:type="dxa"/>
            <w:vAlign w:val="bottom"/>
            <w:vMerge w:val="continue"/>
          </w:tcPr>
          <w:p>
            <w:pPr>
              <w:ind w:left="1740"/>
              <w:spacing w:after="0" w:line="109" w:lineRule="exact"/>
              <w:rPr>
                <w:sz w:val="20"/>
                <w:szCs w:val="20"/>
                <w:color w:val="auto"/>
              </w:rPr>
            </w:pPr>
            <w:r>
              <w:rPr>
                <w:rFonts w:ascii="Courier New" w:cs="Courier New" w:eastAsia="Courier New" w:hAnsi="Courier New"/>
                <w:sz w:val="12"/>
                <w:szCs w:val="12"/>
                <w:color w:val="auto"/>
                <w:w w:val="86"/>
              </w:rPr>
              <w:t>--------</w:t>
            </w:r>
          </w:p>
        </w:tc>
        <w:tc>
          <w:tcPr>
            <w:tcW w:w="3700" w:type="dxa"/>
            <w:vAlign w:val="bottom"/>
            <w:gridSpan w:val="3"/>
            <w:vMerge w:val="restart"/>
          </w:tcPr>
          <w:p>
            <w:pPr>
              <w:ind w:left="420"/>
              <w:spacing w:after="0"/>
              <w:rPr>
                <w:sz w:val="20"/>
                <w:szCs w:val="20"/>
                <w:color w:val="auto"/>
              </w:rPr>
            </w:pPr>
            <w:r>
              <w:rPr>
                <w:rFonts w:ascii="Courier New" w:cs="Courier New" w:eastAsia="Courier New" w:hAnsi="Courier New"/>
                <w:sz w:val="18"/>
                <w:szCs w:val="18"/>
                <w:color w:val="auto"/>
                <w:w w:val="97"/>
              </w:rPr>
              <w:t>Outstanding as of September 30,</w:t>
            </w:r>
          </w:p>
        </w:tc>
        <w:tc>
          <w:tcPr>
            <w:tcW w:w="0" w:type="dxa"/>
            <w:vAlign w:val="bottom"/>
          </w:tcPr>
          <w:p>
            <w:pPr>
              <w:spacing w:after="0"/>
              <w:rPr>
                <w:sz w:val="1"/>
                <w:szCs w:val="1"/>
                <w:color w:val="auto"/>
              </w:rPr>
            </w:pPr>
          </w:p>
        </w:tc>
      </w:tr>
      <w:tr>
        <w:trPr>
          <w:trHeight w:val="203"/>
        </w:trPr>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(4,803.0) 37.16</w:t>
            </w:r>
          </w:p>
        </w:tc>
        <w:tc>
          <w:tcPr>
            <w:tcW w:w="37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2003.....................</w:t>
            </w:r>
          </w:p>
        </w:tc>
        <w:tc>
          <w:tcPr>
            <w:tcW w:w="282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w w:val="97"/>
              </w:rPr>
              <w:t>25,565.7 27.04 ========</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As of September 30, 2003, 4,126.3 Ordinary Shares remained available for grant pursuant to the Plan.</w:t>
      </w:r>
    </w:p>
    <w:p>
      <w:pPr>
        <w:spacing w:after="0" w:line="18"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The following table summarizes information about share options outstanding as of September 30, 2003:</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EXERCISABLE</w:t>
      </w:r>
    </w:p>
    <w:p>
      <w:pPr>
        <w:ind w:left="260" w:hanging="205"/>
        <w:spacing w:after="0" w:line="238" w:lineRule="auto"/>
        <w:tabs>
          <w:tab w:leader="none" w:pos="2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WEIGHTED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AVERAGE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WEIGHTED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REMAINING</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AVERAGE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CONTRACTUAL</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LIFE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EXERCISE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WEIGHTED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AVERAGE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EXERCISE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w:t>
      </w:r>
    </w:p>
    <w:p>
      <w:pPr>
        <w:jc w:val="both"/>
        <w:ind w:left="60" w:right="9059" w:hanging="4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OUTSTANDING (IN YEARS)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w:t>
      </w:r>
    </w:p>
    <w:p>
      <w:pPr>
        <w:jc w:val="center"/>
        <w:ind w:left="60" w:right="9059" w:hanging="4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EXERCISABLE EXERCISE PRICE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5"/>
        <w:spacing w:after="0" w:line="238" w:lineRule="auto"/>
        <w:tabs>
          <w:tab w:leader="none" w:pos="2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5"/>
        <w:spacing w:after="0" w:line="238" w:lineRule="auto"/>
        <w:tabs>
          <w:tab w:leader="none" w:pos="2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488" w:right="1440" w:bottom="0" w:gutter="0" w:footer="0" w:header="0"/>
        </w:sectPr>
      </w:pPr>
    </w:p>
    <w:bookmarkStart w:id="110" w:name="page111"/>
    <w:bookmarkEnd w:id="110"/>
    <w:p>
      <w:pPr>
        <w:jc w:val="center"/>
        <w:ind w:right="9119"/>
        <w:spacing w:after="0"/>
        <w:rPr>
          <w:sz w:val="20"/>
          <w:szCs w:val="20"/>
          <w:color w:val="auto"/>
        </w:rPr>
      </w:pPr>
      <w:r>
        <w:rPr>
          <w:rFonts w:ascii="Courier New" w:cs="Courier New" w:eastAsia="Courier New" w:hAnsi="Courier New"/>
          <w:sz w:val="18"/>
          <w:szCs w:val="18"/>
          <w:color w:val="auto"/>
        </w:rPr>
        <w:t>1.87 -</w:t>
      </w:r>
    </w:p>
    <w:p>
      <w:pPr>
        <w:spacing w:after="0" w:line="29"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8"/>
          <w:szCs w:val="18"/>
          <w:color w:val="auto"/>
        </w:rPr>
        <w:t>3.01</w:t>
      </w:r>
    </w:p>
    <w:p>
      <w:pPr>
        <w:jc w:val="center"/>
        <w:ind w:right="9119"/>
        <w:spacing w:after="0" w:line="238" w:lineRule="auto"/>
        <w:rPr>
          <w:sz w:val="20"/>
          <w:szCs w:val="20"/>
          <w:color w:val="auto"/>
        </w:rPr>
      </w:pPr>
      <w:r>
        <w:rPr>
          <w:rFonts w:ascii="Courier New" w:cs="Courier New" w:eastAsia="Courier New" w:hAnsi="Courier New"/>
          <w:sz w:val="18"/>
          <w:szCs w:val="18"/>
          <w:color w:val="auto"/>
        </w:rPr>
        <w:t>629,737</w:t>
      </w:r>
    </w:p>
    <w:p>
      <w:pPr>
        <w:jc w:val="center"/>
        <w:ind w:right="9119"/>
        <w:spacing w:after="0"/>
        <w:rPr>
          <w:sz w:val="20"/>
          <w:szCs w:val="20"/>
          <w:color w:val="auto"/>
        </w:rPr>
      </w:pPr>
      <w:r>
        <w:rPr>
          <w:rFonts w:ascii="Courier New" w:cs="Courier New" w:eastAsia="Courier New" w:hAnsi="Courier New"/>
          <w:sz w:val="18"/>
          <w:szCs w:val="18"/>
          <w:color w:val="auto"/>
        </w:rPr>
        <w:t>4.59 $</w:t>
      </w:r>
    </w:p>
    <w:p>
      <w:pPr>
        <w:jc w:val="center"/>
        <w:ind w:right="9119"/>
        <w:spacing w:after="0" w:line="238" w:lineRule="auto"/>
        <w:rPr>
          <w:sz w:val="20"/>
          <w:szCs w:val="20"/>
          <w:color w:val="auto"/>
        </w:rPr>
      </w:pPr>
      <w:r>
        <w:rPr>
          <w:rFonts w:ascii="Courier New" w:cs="Courier New" w:eastAsia="Courier New" w:hAnsi="Courier New"/>
          <w:sz w:val="18"/>
          <w:szCs w:val="18"/>
          <w:color w:val="auto"/>
        </w:rPr>
        <w:t>1.98</w:t>
      </w:r>
    </w:p>
    <w:p>
      <w:pPr>
        <w:jc w:val="center"/>
        <w:ind w:right="9119"/>
        <w:spacing w:after="0"/>
        <w:rPr>
          <w:sz w:val="20"/>
          <w:szCs w:val="20"/>
          <w:color w:val="auto"/>
        </w:rPr>
      </w:pPr>
      <w:r>
        <w:rPr>
          <w:rFonts w:ascii="Courier New" w:cs="Courier New" w:eastAsia="Courier New" w:hAnsi="Courier New"/>
          <w:sz w:val="18"/>
          <w:szCs w:val="18"/>
          <w:color w:val="auto"/>
        </w:rPr>
        <w:t>629,737 $</w:t>
      </w:r>
    </w:p>
    <w:p>
      <w:pPr>
        <w:jc w:val="center"/>
        <w:ind w:right="9119"/>
        <w:spacing w:after="0" w:line="238" w:lineRule="auto"/>
        <w:rPr>
          <w:sz w:val="20"/>
          <w:szCs w:val="20"/>
          <w:color w:val="auto"/>
        </w:rPr>
      </w:pPr>
      <w:r>
        <w:rPr>
          <w:rFonts w:ascii="Courier New" w:cs="Courier New" w:eastAsia="Courier New" w:hAnsi="Courier New"/>
          <w:sz w:val="18"/>
          <w:szCs w:val="18"/>
          <w:color w:val="auto"/>
        </w:rPr>
        <w:t>1.98 6.40</w:t>
      </w:r>
    </w:p>
    <w:p>
      <w:pPr>
        <w:ind w:left="360" w:hanging="207"/>
        <w:spacing w:after="0"/>
        <w:tabs>
          <w:tab w:leader="none" w:pos="3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18.60</w:t>
      </w:r>
    </w:p>
    <w:p>
      <w:pPr>
        <w:ind w:left="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8,860,695</w:t>
      </w:r>
    </w:p>
    <w:p>
      <w:pPr>
        <w:ind w:left="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8.67 9.11</w:t>
      </w:r>
    </w:p>
    <w:p>
      <w:pPr>
        <w:ind w:left="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1,625,693</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10.32</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19.21 -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28.60</w:t>
      </w:r>
    </w:p>
    <w:p>
      <w:pPr>
        <w:ind w:left="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3,719,059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7.38 26.09</w:t>
      </w:r>
    </w:p>
    <w:p>
      <w:pPr>
        <w:ind w:left="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1,302,006</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25.50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30.94 -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31.90</w:t>
      </w:r>
    </w:p>
    <w:p>
      <w:pPr>
        <w:ind w:left="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5,231,767</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8.20 31.01</w:t>
      </w:r>
    </w:p>
    <w:p>
      <w:pPr>
        <w:ind w:left="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2,165,264</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31.01</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33.07 -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45.07</w:t>
      </w:r>
    </w:p>
    <w:p>
      <w:pPr>
        <w:ind w:left="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3,598,976</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7.30 38.16</w:t>
      </w:r>
    </w:p>
    <w:p>
      <w:pPr>
        <w:ind w:left="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1,880,373</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38.06</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47.90 -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65.01</w:t>
      </w:r>
    </w:p>
    <w:p>
      <w:pPr>
        <w:ind w:left="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2,937,206</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6.99 58.32</w:t>
      </w:r>
    </w:p>
    <w:p>
      <w:pPr>
        <w:ind w:left="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1,793,317</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58.06</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66.25 -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78.31</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588,251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6.86 70.53</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413,387</w:t>
      </w:r>
    </w:p>
    <w:p>
      <w:pPr>
        <w:ind w:left="2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70.33</w:t>
      </w:r>
    </w:p>
    <w:p>
      <w:pPr>
        <w:spacing w:after="0" w:line="372"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F-34</w:t>
      </w:r>
    </w:p>
    <w:p>
      <w:pPr>
        <w:sectPr>
          <w:pgSz w:w="11900" w:h="16838" w:orient="portrait"/>
          <w:cols w:equalWidth="0" w:num="1">
            <w:col w:w="10159"/>
          </w:cols>
          <w:pgMar w:left="300" w:top="110" w:right="1440" w:bottom="1440" w:gutter="0" w:footer="0" w:header="0"/>
        </w:sectPr>
      </w:pPr>
    </w:p>
    <w:bookmarkStart w:id="111" w:name="page112"/>
    <w:bookmarkEnd w:id="11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19 -- EARNINGS (LOSS) PER SHARE</w:t>
      </w:r>
    </w:p>
    <w:p>
      <w:pPr>
        <w:spacing w:after="0" w:line="201" w:lineRule="exact"/>
        <w:rPr>
          <w:sz w:val="20"/>
          <w:szCs w:val="20"/>
          <w:color w:val="auto"/>
        </w:rPr>
      </w:pPr>
    </w:p>
    <w:p>
      <w:pPr>
        <w:ind w:right="2619" w:firstLine="527"/>
        <w:spacing w:after="0" w:line="347" w:lineRule="auto"/>
        <w:rPr>
          <w:sz w:val="20"/>
          <w:szCs w:val="20"/>
          <w:color w:val="auto"/>
        </w:rPr>
      </w:pPr>
      <w:r>
        <w:rPr>
          <w:rFonts w:ascii="Courier New" w:cs="Courier New" w:eastAsia="Courier New" w:hAnsi="Courier New"/>
          <w:sz w:val="18"/>
          <w:szCs w:val="18"/>
          <w:color w:val="auto"/>
        </w:rPr>
        <w:t>The following table sets forth the computation of basic and diluted earnings (loss) per share:</w:t>
      </w:r>
    </w:p>
    <w:p>
      <w:pPr>
        <w:spacing w:after="0" w:line="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---------------- 2003 2002 2001 -------</w:t>
      </w:r>
    </w:p>
    <w:p>
      <w:pPr>
        <w:ind w:left="60" w:right="6059" w:firstLine="264"/>
        <w:spacing w:after="0" w:line="268" w:lineRule="auto"/>
        <w:tabs>
          <w:tab w:leader="none" w:pos="534"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Numerator: Net income (loss)..........................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$168,883 $ (5,061) $ 66,386 ========</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Denominator:</w:t>
      </w:r>
    </w:p>
    <w:p>
      <w:pPr>
        <w:jc w:val="center"/>
        <w:ind w:left="60" w:right="605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Denominator for basic earnings (loss) per share -- weighted average number of</w:t>
      </w:r>
    </w:p>
    <w:tbl>
      <w:tblPr>
        <w:tblLayout w:type="fixed"/>
        <w:tblInd w:w="0" w:type="dxa"/>
        <w:tblCellMar>
          <w:top w:w="0" w:type="dxa"/>
          <w:left w:w="0" w:type="dxa"/>
          <w:bottom w:w="0" w:type="dxa"/>
          <w:right w:w="0" w:type="dxa"/>
        </w:tblCellMar>
      </w:tblPr>
      <w:tr>
        <w:trPr>
          <w:trHeight w:val="171"/>
        </w:trPr>
        <w:tc>
          <w:tcPr>
            <w:tcW w:w="2580" w:type="dxa"/>
            <w:vAlign w:val="bottom"/>
          </w:tcPr>
          <w:p>
            <w:pPr>
              <w:jc w:val="center"/>
              <w:ind w:left="1574"/>
              <w:spacing w:after="0" w:line="171" w:lineRule="exact"/>
              <w:rPr>
                <w:sz w:val="20"/>
                <w:szCs w:val="20"/>
                <w:color w:val="auto"/>
              </w:rPr>
            </w:pPr>
            <w:r>
              <w:rPr>
                <w:rFonts w:ascii="Courier New" w:cs="Courier New" w:eastAsia="Courier New" w:hAnsi="Courier New"/>
                <w:sz w:val="18"/>
                <w:szCs w:val="18"/>
                <w:color w:val="auto"/>
                <w:w w:val="98"/>
              </w:rPr>
              <w:t>shares</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outstanding(1)...................</w:t>
            </w:r>
          </w:p>
        </w:tc>
        <w:tc>
          <w:tcPr>
            <w:tcW w:w="0" w:type="dxa"/>
            <w:vAlign w:val="bottom"/>
          </w:tcPr>
          <w:p>
            <w:pPr>
              <w:spacing w:after="0"/>
              <w:rPr>
                <w:sz w:val="1"/>
                <w:szCs w:val="1"/>
                <w:color w:val="auto"/>
              </w:rPr>
            </w:pP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215,849 220,361 222,002 Effect of</w:t>
            </w:r>
          </w:p>
        </w:tc>
        <w:tc>
          <w:tcPr>
            <w:tcW w:w="0" w:type="dxa"/>
            <w:vAlign w:val="bottom"/>
          </w:tcPr>
          <w:p>
            <w:pPr>
              <w:spacing w:after="0"/>
              <w:rPr>
                <w:sz w:val="1"/>
                <w:szCs w:val="1"/>
                <w:color w:val="auto"/>
              </w:rPr>
            </w:pP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dilutive stock options</w:t>
            </w:r>
          </w:p>
        </w:tc>
        <w:tc>
          <w:tcPr>
            <w:tcW w:w="0" w:type="dxa"/>
            <w:vAlign w:val="bottom"/>
          </w:tcPr>
          <w:p>
            <w:pPr>
              <w:spacing w:after="0"/>
              <w:rPr>
                <w:sz w:val="1"/>
                <w:szCs w:val="1"/>
                <w:color w:val="auto"/>
              </w:rPr>
            </w:pPr>
          </w:p>
        </w:tc>
      </w:tr>
      <w:tr>
        <w:trPr>
          <w:trHeight w:val="203"/>
        </w:trPr>
        <w:tc>
          <w:tcPr>
            <w:tcW w:w="2580" w:type="dxa"/>
            <w:vAlign w:val="bottom"/>
          </w:tcPr>
          <w:p>
            <w:pPr>
              <w:jc w:val="center"/>
              <w:spacing w:after="0"/>
              <w:rPr>
                <w:sz w:val="20"/>
                <w:szCs w:val="20"/>
                <w:color w:val="auto"/>
              </w:rPr>
            </w:pPr>
            <w:r>
              <w:rPr>
                <w:rFonts w:ascii="Courier New" w:cs="Courier New" w:eastAsia="Courier New" w:hAnsi="Courier New"/>
                <w:sz w:val="15"/>
                <w:szCs w:val="15"/>
                <w:color w:val="auto"/>
                <w:w w:val="71"/>
              </w:rPr>
              <w:t>granted(2)..............................</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235"/>
        </w:trPr>
        <w:tc>
          <w:tcPr>
            <w:tcW w:w="2580" w:type="dxa"/>
            <w:vAlign w:val="bottom"/>
          </w:tcPr>
          <w:p>
            <w:pPr>
              <w:jc w:val="right"/>
              <w:ind w:right="14"/>
              <w:spacing w:after="0"/>
              <w:rPr>
                <w:sz w:val="20"/>
                <w:szCs w:val="20"/>
                <w:color w:val="auto"/>
              </w:rPr>
            </w:pPr>
            <w:r>
              <w:rPr>
                <w:rFonts w:ascii="Courier New" w:cs="Courier New" w:eastAsia="Courier New" w:hAnsi="Courier New"/>
                <w:sz w:val="18"/>
                <w:szCs w:val="18"/>
                <w:color w:val="auto"/>
                <w:w w:val="99"/>
              </w:rPr>
              <w:t>4,027 -- 4,830 --------</w:t>
            </w: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60" w:right="6159" w:firstLine="533"/>
        <w:spacing w:after="0" w:line="268" w:lineRule="auto"/>
        <w:tabs>
          <w:tab w:leader="none" w:pos="1003"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Denominator for dilutive earnings(loss) per share -- adjusted weighted average shares and assumed conversions(1)....... 219,876 220,361</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226,832 ======== ======== ========</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Basic earnings (loss) per</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 $ 0.78 $ (0.02) $</w:t>
      </w:r>
    </w:p>
    <w:p>
      <w:pPr>
        <w:ind w:left="60"/>
        <w:spacing w:after="0"/>
        <w:rPr>
          <w:sz w:val="20"/>
          <w:szCs w:val="20"/>
          <w:color w:val="auto"/>
        </w:rPr>
      </w:pPr>
      <w:r>
        <w:rPr>
          <w:rFonts w:ascii="Courier New" w:cs="Courier New" w:eastAsia="Courier New" w:hAnsi="Courier New"/>
          <w:sz w:val="18"/>
          <w:szCs w:val="18"/>
          <w:color w:val="auto"/>
        </w:rPr>
        <w:t>0.30 ======== ======== ======== Diluted</w:t>
      </w:r>
    </w:p>
    <w:p>
      <w:pPr>
        <w:ind w:left="60"/>
        <w:spacing w:after="0" w:line="238" w:lineRule="auto"/>
        <w:rPr>
          <w:sz w:val="20"/>
          <w:szCs w:val="20"/>
          <w:color w:val="auto"/>
        </w:rPr>
      </w:pPr>
      <w:r>
        <w:rPr>
          <w:rFonts w:ascii="Courier New" w:cs="Courier New" w:eastAsia="Courier New" w:hAnsi="Courier New"/>
          <w:sz w:val="18"/>
          <w:szCs w:val="18"/>
          <w:color w:val="auto"/>
        </w:rPr>
        <w:t>earnings (loss) per share............ $</w:t>
      </w:r>
    </w:p>
    <w:p>
      <w:pPr>
        <w:jc w:val="center"/>
        <w:ind w:right="5999"/>
        <w:spacing w:after="0"/>
        <w:rPr>
          <w:sz w:val="20"/>
          <w:szCs w:val="20"/>
          <w:color w:val="auto"/>
        </w:rPr>
      </w:pPr>
      <w:r>
        <w:rPr>
          <w:rFonts w:ascii="Courier New" w:cs="Courier New" w:eastAsia="Courier New" w:hAnsi="Courier New"/>
          <w:sz w:val="18"/>
          <w:szCs w:val="18"/>
          <w:color w:val="auto"/>
        </w:rPr>
        <w:t>0.77 $ (0.02) $ 0.29 ======== ========</w:t>
      </w:r>
    </w:p>
    <w:p>
      <w:pPr>
        <w:jc w:val="center"/>
        <w:ind w:right="5999"/>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1999" w:hanging="412"/>
        <w:spacing w:after="0" w:line="252" w:lineRule="auto"/>
        <w:tabs>
          <w:tab w:leader="none" w:pos="42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weighted average number of shares outstanding includes exchangeable shares issued to shareholders of Amdocs Canada, Inc. (formerly Solect Technology Group Inc. ("Solect")) pursuant to the Company's acquisition of Solect in April 2000, which were exchangeable for the Company's Ordinary Shares on a one-for-one basis. As of September 30, 2003, none of the exchangeable shares remained outstanding.</w:t>
      </w:r>
    </w:p>
    <w:p>
      <w:pPr>
        <w:spacing w:after="0" w:line="101" w:lineRule="exact"/>
        <w:rPr>
          <w:rFonts w:ascii="Courier New" w:cs="Courier New" w:eastAsia="Courier New" w:hAnsi="Courier New"/>
          <w:sz w:val="18"/>
          <w:szCs w:val="18"/>
          <w:color w:val="auto"/>
        </w:rPr>
      </w:pPr>
    </w:p>
    <w:p>
      <w:pPr>
        <w:ind w:left="420" w:right="2319" w:hanging="412"/>
        <w:spacing w:after="0" w:line="292" w:lineRule="auto"/>
        <w:tabs>
          <w:tab w:leader="none" w:pos="42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Due to net loss, 2,201 anti-dilutive securities are excluded from the computation of diluted average number of shares outstanding in the year ended September 30, 2002.</w:t>
      </w:r>
    </w:p>
    <w:p>
      <w:pPr>
        <w:spacing w:after="0" w:line="66"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effect of the 2% Notes on diluted earnings (loss) per share was anti-dilutive for the years ended September 30, 2003, 2002 and 2001, and therefore was not included in the calculation above. The weighted average effect of the repurchase of Ordinary Shares by the Company has been included in the calculation of basic earnings (loss) per share. See Note 17.</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20 -- SEGMENT INFORMATION AND SALES TO SIGNIFICANT CUSTOMERS</w:t>
      </w:r>
    </w:p>
    <w:p>
      <w:pPr>
        <w:spacing w:after="0" w:line="201" w:lineRule="exact"/>
        <w:rPr>
          <w:sz w:val="20"/>
          <w:szCs w:val="20"/>
          <w:color w:val="auto"/>
        </w:rPr>
      </w:pPr>
    </w:p>
    <w:p>
      <w:pPr>
        <w:ind w:right="2519" w:firstLine="527"/>
        <w:spacing w:after="0" w:line="292" w:lineRule="auto"/>
        <w:rPr>
          <w:sz w:val="20"/>
          <w:szCs w:val="20"/>
          <w:color w:val="auto"/>
        </w:rPr>
      </w:pPr>
      <w:r>
        <w:rPr>
          <w:rFonts w:ascii="Courier New" w:cs="Courier New" w:eastAsia="Courier New" w:hAnsi="Courier New"/>
          <w:sz w:val="18"/>
          <w:szCs w:val="18"/>
          <w:color w:val="auto"/>
        </w:rPr>
        <w:t>The Company and its subsidiaries operate in one operating segment, providing business support systems and related services primarily for the communications industry.</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GEOGRAPHIC INFORMATION</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The following is a summary of revenue and long-lived assets by geographic area. Revenue is attributed to geographic region based on the location of the customers.</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F-35</w:t>
      </w:r>
    </w:p>
    <w:p>
      <w:pPr>
        <w:sectPr>
          <w:pgSz w:w="11900" w:h="16838" w:orient="portrait"/>
          <w:cols w:equalWidth="0" w:num="1">
            <w:col w:w="10219"/>
          </w:cols>
          <w:pgMar w:left="240" w:top="488" w:right="1440" w:bottom="1440" w:gutter="0" w:footer="0" w:header="0"/>
        </w:sectPr>
      </w:pPr>
    </w:p>
    <w:bookmarkStart w:id="112" w:name="page113"/>
    <w:bookmarkEnd w:id="11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--------------------- 2003 2002 2001 ---</w:t>
      </w:r>
    </w:p>
    <w:p>
      <w:pPr>
        <w:ind w:left="220"/>
        <w:spacing w:after="0" w:line="238" w:lineRule="auto"/>
        <w:rPr>
          <w:sz w:val="20"/>
          <w:szCs w:val="20"/>
          <w:color w:val="auto"/>
        </w:rPr>
      </w:pPr>
      <w:r>
        <w:rPr>
          <w:rFonts w:ascii="Courier New" w:cs="Courier New" w:eastAsia="Courier New" w:hAnsi="Courier New"/>
          <w:sz w:val="18"/>
          <w:szCs w:val="18"/>
          <w:color w:val="auto"/>
        </w:rPr>
        <w:t>------- ---------- ---------- REVENUE</w:t>
      </w:r>
    </w:p>
    <w:tbl>
      <w:tblPr>
        <w:tblLayout w:type="fixed"/>
        <w:tblInd w:w="0" w:type="dxa"/>
        <w:tblCellMar>
          <w:top w:w="0" w:type="dxa"/>
          <w:left w:w="0" w:type="dxa"/>
          <w:bottom w:w="0" w:type="dxa"/>
          <w:right w:w="0" w:type="dxa"/>
        </w:tblCellMar>
      </w:tblPr>
      <w:tr>
        <w:trPr>
          <w:trHeight w:val="296"/>
        </w:trPr>
        <w:tc>
          <w:tcPr>
            <w:tcW w:w="180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2"/>
              </w:rPr>
              <w:t>States............................</w:t>
            </w:r>
          </w:p>
        </w:tc>
        <w:tc>
          <w:tcPr>
            <w:tcW w:w="820" w:type="dxa"/>
            <w:vAlign w:val="bottom"/>
          </w:tcPr>
          <w:p>
            <w:pPr>
              <w:jc w:val="right"/>
              <w:ind w:right="52"/>
              <w:spacing w:after="0"/>
              <w:rPr>
                <w:sz w:val="20"/>
                <w:szCs w:val="20"/>
                <w:color w:val="auto"/>
              </w:rPr>
            </w:pPr>
            <w:r>
              <w:rPr>
                <w:rFonts w:ascii="Courier New" w:cs="Courier New" w:eastAsia="Courier New" w:hAnsi="Courier New"/>
                <w:sz w:val="18"/>
                <w:szCs w:val="18"/>
                <w:color w:val="auto"/>
              </w:rPr>
              <w:t>United</w:t>
            </w:r>
          </w:p>
        </w:tc>
        <w:tc>
          <w:tcPr>
            <w:tcW w:w="80" w:type="dxa"/>
            <w:vAlign w:val="bottom"/>
          </w:tcPr>
          <w:p>
            <w:pPr>
              <w:spacing w:after="0"/>
              <w:rPr>
                <w:sz w:val="24"/>
                <w:szCs w:val="24"/>
                <w:color w:val="auto"/>
              </w:rPr>
            </w:pPr>
          </w:p>
        </w:tc>
        <w:tc>
          <w:tcPr>
            <w:tcW w:w="188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77"/>
        </w:trPr>
        <w:tc>
          <w:tcPr>
            <w:tcW w:w="18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732,400 $ 817,728</w:t>
            </w:r>
          </w:p>
        </w:tc>
        <w:tc>
          <w:tcPr>
            <w:tcW w:w="1960" w:type="dxa"/>
            <w:vAlign w:val="bottom"/>
            <w:gridSpan w:val="2"/>
          </w:tcPr>
          <w:p>
            <w:pPr>
              <w:ind w:left="20"/>
              <w:spacing w:after="0" w:line="203" w:lineRule="exact"/>
              <w:rPr>
                <w:sz w:val="20"/>
                <w:szCs w:val="20"/>
                <w:color w:val="auto"/>
              </w:rPr>
            </w:pPr>
            <w:r>
              <w:rPr>
                <w:rFonts w:ascii="Courier New" w:cs="Courier New" w:eastAsia="Courier New" w:hAnsi="Courier New"/>
                <w:sz w:val="18"/>
                <w:szCs w:val="18"/>
                <w:color w:val="auto"/>
              </w:rPr>
              <w:t>$ 690,444</w:t>
            </w:r>
          </w:p>
        </w:tc>
        <w:tc>
          <w:tcPr>
            <w:tcW w:w="0" w:type="dxa"/>
            <w:vAlign w:val="bottom"/>
          </w:tcPr>
          <w:p>
            <w:pPr>
              <w:spacing w:after="0"/>
              <w:rPr>
                <w:sz w:val="1"/>
                <w:szCs w:val="1"/>
                <w:color w:val="auto"/>
              </w:rPr>
            </w:pP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10"/>
                <w:szCs w:val="10"/>
                <w:color w:val="auto"/>
                <w:w w:val="72"/>
              </w:rPr>
              <w:t>Canada...................................</w:t>
            </w:r>
          </w:p>
        </w:tc>
        <w:tc>
          <w:tcPr>
            <w:tcW w:w="82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178,240</w:t>
            </w:r>
          </w:p>
        </w:tc>
        <w:tc>
          <w:tcPr>
            <w:tcW w:w="1960" w:type="dxa"/>
            <w:vAlign w:val="bottom"/>
            <w:gridSpan w:val="2"/>
            <w:vMerge w:val="restart"/>
          </w:tcPr>
          <w:p>
            <w:pPr>
              <w:ind w:left="20"/>
              <w:spacing w:after="0"/>
              <w:rPr>
                <w:sz w:val="20"/>
                <w:szCs w:val="20"/>
                <w:color w:val="auto"/>
              </w:rPr>
            </w:pPr>
            <w:r>
              <w:rPr>
                <w:rFonts w:ascii="Courier New" w:cs="Courier New" w:eastAsia="Courier New" w:hAnsi="Courier New"/>
                <w:sz w:val="18"/>
                <w:szCs w:val="18"/>
                <w:color w:val="auto"/>
              </w:rPr>
              <w:t>133,201</w:t>
            </w:r>
          </w:p>
        </w:tc>
        <w:tc>
          <w:tcPr>
            <w:tcW w:w="0" w:type="dxa"/>
            <w:vAlign w:val="bottom"/>
          </w:tcPr>
          <w:p>
            <w:pPr>
              <w:spacing w:after="0"/>
              <w:rPr>
                <w:sz w:val="1"/>
                <w:szCs w:val="1"/>
                <w:color w:val="auto"/>
              </w:rPr>
            </w:pPr>
          </w:p>
        </w:tc>
      </w:tr>
      <w:tr>
        <w:trPr>
          <w:trHeight w:val="203"/>
        </w:trPr>
        <w:tc>
          <w:tcPr>
            <w:tcW w:w="1800" w:type="dxa"/>
            <w:vAlign w:val="bottom"/>
          </w:tcPr>
          <w:p>
            <w:pPr>
              <w:jc w:val="right"/>
              <w:ind w:right="39"/>
              <w:spacing w:after="0" w:line="203" w:lineRule="exact"/>
              <w:rPr>
                <w:sz w:val="20"/>
                <w:szCs w:val="20"/>
                <w:color w:val="auto"/>
              </w:rPr>
            </w:pPr>
            <w:r>
              <w:rPr>
                <w:rFonts w:ascii="Courier New" w:cs="Courier New" w:eastAsia="Courier New" w:hAnsi="Courier New"/>
                <w:sz w:val="18"/>
                <w:szCs w:val="18"/>
                <w:color w:val="auto"/>
              </w:rPr>
              <w:t>183,973</w:t>
            </w:r>
          </w:p>
        </w:tc>
        <w:tc>
          <w:tcPr>
            <w:tcW w:w="820" w:type="dxa"/>
            <w:vAlign w:val="bottom"/>
            <w:vMerge w:val="continue"/>
          </w:tcPr>
          <w:p>
            <w:pPr>
              <w:spacing w:after="0"/>
              <w:rPr>
                <w:sz w:val="17"/>
                <w:szCs w:val="17"/>
                <w:color w:val="auto"/>
              </w:rPr>
            </w:pPr>
          </w:p>
        </w:tc>
        <w:tc>
          <w:tcPr>
            <w:tcW w:w="1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Europe...................................</w:t>
            </w: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gridSpan w:val="4"/>
          </w:tcPr>
          <w:p>
            <w:pPr>
              <w:jc w:val="right"/>
              <w:ind w:right="492"/>
              <w:spacing w:after="0" w:line="203" w:lineRule="exact"/>
              <w:rPr>
                <w:sz w:val="20"/>
                <w:szCs w:val="20"/>
                <w:color w:val="auto"/>
              </w:rPr>
            </w:pPr>
            <w:r>
              <w:rPr>
                <w:rFonts w:ascii="Courier New" w:cs="Courier New" w:eastAsia="Courier New" w:hAnsi="Courier New"/>
                <w:sz w:val="18"/>
                <w:szCs w:val="18"/>
                <w:color w:val="auto"/>
              </w:rPr>
              <w:t>442,673 466,098 549,106 Rest of the</w:t>
            </w:r>
          </w:p>
        </w:tc>
        <w:tc>
          <w:tcPr>
            <w:tcW w:w="0" w:type="dxa"/>
            <w:vAlign w:val="bottom"/>
          </w:tcPr>
          <w:p>
            <w:pPr>
              <w:spacing w:after="0"/>
              <w:rPr>
                <w:sz w:val="1"/>
                <w:szCs w:val="1"/>
                <w:color w:val="auto"/>
              </w:rPr>
            </w:pPr>
          </w:p>
        </w:tc>
      </w:tr>
      <w:tr>
        <w:trPr>
          <w:trHeight w:val="203"/>
        </w:trPr>
        <w:tc>
          <w:tcPr>
            <w:tcW w:w="2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3"/>
              </w:rPr>
              <w:t>world........................</w:t>
            </w:r>
          </w:p>
        </w:tc>
        <w:tc>
          <w:tcPr>
            <w:tcW w:w="80" w:type="dxa"/>
            <w:vAlign w:val="bottom"/>
          </w:tcPr>
          <w:p>
            <w:pPr>
              <w:spacing w:after="0"/>
              <w:rPr>
                <w:sz w:val="17"/>
                <w:szCs w:val="17"/>
                <w:color w:val="auto"/>
              </w:rPr>
            </w:pP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124,281</w:t>
            </w:r>
          </w:p>
        </w:tc>
        <w:tc>
          <w:tcPr>
            <w:tcW w:w="0" w:type="dxa"/>
            <w:vAlign w:val="bottom"/>
          </w:tcPr>
          <w:p>
            <w:pPr>
              <w:spacing w:after="0"/>
              <w:rPr>
                <w:sz w:val="1"/>
                <w:szCs w:val="1"/>
                <w:color w:val="auto"/>
              </w:rPr>
            </w:pPr>
          </w:p>
        </w:tc>
      </w:tr>
      <w:tr>
        <w:trPr>
          <w:trHeight w:val="203"/>
        </w:trPr>
        <w:tc>
          <w:tcPr>
            <w:tcW w:w="26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0"/>
              </w:rPr>
              <w:t>151,499 161,159 ----------</w:t>
            </w:r>
          </w:p>
        </w:tc>
        <w:tc>
          <w:tcPr>
            <w:tcW w:w="80" w:type="dxa"/>
            <w:vAlign w:val="bottom"/>
          </w:tcPr>
          <w:p>
            <w:pPr>
              <w:spacing w:after="0"/>
              <w:rPr>
                <w:sz w:val="17"/>
                <w:szCs w:val="17"/>
                <w:color w:val="auto"/>
              </w:rPr>
            </w:pPr>
          </w:p>
        </w:tc>
        <w:tc>
          <w:tcPr>
            <w:tcW w:w="18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2620" w:type="dxa"/>
            <w:vAlign w:val="bottom"/>
            <w:gridSpan w:val="2"/>
          </w:tcPr>
          <w:p>
            <w:pPr>
              <w:jc w:val="center"/>
              <w:ind w:left="1619"/>
              <w:spacing w:after="0" w:line="203" w:lineRule="exact"/>
              <w:rPr>
                <w:sz w:val="20"/>
                <w:szCs w:val="20"/>
                <w:color w:val="auto"/>
              </w:rPr>
            </w:pPr>
            <w:r>
              <w:rPr>
                <w:rFonts w:ascii="Courier New" w:cs="Courier New" w:eastAsia="Courier New" w:hAnsi="Courier New"/>
                <w:sz w:val="18"/>
                <w:szCs w:val="18"/>
                <w:color w:val="auto"/>
                <w:w w:val="97"/>
              </w:rPr>
              <w:t>--------</w:t>
            </w: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Total....................................</w:t>
            </w:r>
          </w:p>
        </w:tc>
        <w:tc>
          <w:tcPr>
            <w:tcW w:w="80" w:type="dxa"/>
            <w:vAlign w:val="bottom"/>
          </w:tcPr>
          <w:p>
            <w:pPr>
              <w:spacing w:after="0"/>
              <w:rPr>
                <w:sz w:val="17"/>
                <w:szCs w:val="17"/>
                <w:color w:val="auto"/>
              </w:rPr>
            </w:pPr>
          </w:p>
        </w:tc>
        <w:tc>
          <w:tcPr>
            <w:tcW w:w="18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$1,533,910</w:t>
            </w:r>
          </w:p>
        </w:tc>
        <w:tc>
          <w:tcPr>
            <w:tcW w:w="0" w:type="dxa"/>
            <w:vAlign w:val="bottom"/>
          </w:tcPr>
          <w:p>
            <w:pPr>
              <w:spacing w:after="0"/>
              <w:rPr>
                <w:sz w:val="1"/>
                <w:szCs w:val="1"/>
                <w:color w:val="auto"/>
              </w:rPr>
            </w:pPr>
          </w:p>
        </w:tc>
      </w:tr>
      <w:tr>
        <w:trPr>
          <w:trHeight w:val="203"/>
        </w:trPr>
        <w:tc>
          <w:tcPr>
            <w:tcW w:w="2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$1,483,327 $1,613,565</w:t>
            </w:r>
          </w:p>
        </w:tc>
        <w:tc>
          <w:tcPr>
            <w:tcW w:w="1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580" w:type="dxa"/>
            <w:vAlign w:val="bottom"/>
            <w:gridSpan w:val="4"/>
          </w:tcPr>
          <w:p>
            <w:pPr>
              <w:jc w:val="center"/>
              <w:ind w:right="172"/>
              <w:spacing w:after="0"/>
              <w:rPr>
                <w:sz w:val="20"/>
                <w:szCs w:val="20"/>
                <w:color w:val="auto"/>
              </w:rPr>
            </w:pPr>
            <w:r>
              <w:rPr>
                <w:rFonts w:ascii="Courier New" w:cs="Courier New" w:eastAsia="Courier New" w:hAnsi="Courier New"/>
                <w:sz w:val="18"/>
                <w:szCs w:val="18"/>
                <w:color w:val="auto"/>
                <w:w w:val="97"/>
              </w:rPr>
              <w:t>========== ========== ==========</w:t>
            </w:r>
          </w:p>
        </w:tc>
        <w:tc>
          <w:tcPr>
            <w:tcW w:w="0" w:type="dxa"/>
            <w:vAlign w:val="bottom"/>
          </w:tcPr>
          <w:p>
            <w:pPr>
              <w:spacing w:after="0"/>
              <w:rPr>
                <w:sz w:val="1"/>
                <w:szCs w:val="1"/>
                <w:color w:val="auto"/>
              </w:rPr>
            </w:pPr>
          </w:p>
        </w:tc>
      </w:tr>
      <w:tr>
        <w:trPr>
          <w:trHeight w:val="514"/>
        </w:trPr>
        <w:tc>
          <w:tcPr>
            <w:tcW w:w="4580" w:type="dxa"/>
            <w:vAlign w:val="bottom"/>
            <w:gridSpan w:val="4"/>
          </w:tcPr>
          <w:p>
            <w:pPr>
              <w:jc w:val="center"/>
              <w:spacing w:after="0"/>
              <w:rPr>
                <w:sz w:val="20"/>
                <w:szCs w:val="20"/>
                <w:color w:val="auto"/>
              </w:rPr>
            </w:pPr>
            <w:r>
              <w:rPr>
                <w:rFonts w:ascii="Courier New" w:cs="Courier New" w:eastAsia="Courier New" w:hAnsi="Courier New"/>
                <w:sz w:val="18"/>
                <w:szCs w:val="18"/>
                <w:color w:val="auto"/>
                <w:w w:val="97"/>
              </w:rPr>
              <w:t>AS OF SEPTEMBER 30, -----------------------</w:t>
            </w:r>
          </w:p>
        </w:tc>
        <w:tc>
          <w:tcPr>
            <w:tcW w:w="0" w:type="dxa"/>
            <w:vAlign w:val="bottom"/>
          </w:tcPr>
          <w:p>
            <w:pPr>
              <w:spacing w:after="0"/>
              <w:rPr>
                <w:sz w:val="1"/>
                <w:szCs w:val="1"/>
                <w:color w:val="auto"/>
              </w:rPr>
            </w:pPr>
          </w:p>
        </w:tc>
      </w:tr>
      <w:tr>
        <w:trPr>
          <w:trHeight w:val="203"/>
        </w:trPr>
        <w:tc>
          <w:tcPr>
            <w:tcW w:w="26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--------- 2003 2002 2001</w:t>
            </w:r>
          </w:p>
        </w:tc>
        <w:tc>
          <w:tcPr>
            <w:tcW w:w="8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w:t>
            </w:r>
          </w:p>
        </w:tc>
        <w:tc>
          <w:tcPr>
            <w:tcW w:w="0" w:type="dxa"/>
            <w:vAlign w:val="bottom"/>
          </w:tcPr>
          <w:p>
            <w:pPr>
              <w:spacing w:after="0"/>
              <w:rPr>
                <w:sz w:val="1"/>
                <w:szCs w:val="1"/>
                <w:color w:val="auto"/>
              </w:rPr>
            </w:pPr>
          </w:p>
        </w:tc>
      </w:tr>
      <w:tr>
        <w:trPr>
          <w:trHeight w:val="203"/>
        </w:trPr>
        <w:tc>
          <w:tcPr>
            <w:tcW w:w="45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 LONG-LIVED ASSETS United</w:t>
            </w:r>
          </w:p>
        </w:tc>
        <w:tc>
          <w:tcPr>
            <w:tcW w:w="0" w:type="dxa"/>
            <w:vAlign w:val="bottom"/>
          </w:tcPr>
          <w:p>
            <w:pPr>
              <w:spacing w:after="0"/>
              <w:rPr>
                <w:sz w:val="1"/>
                <w:szCs w:val="1"/>
                <w:color w:val="auto"/>
              </w:rPr>
            </w:pP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11"/>
                <w:szCs w:val="11"/>
                <w:color w:val="auto"/>
                <w:w w:val="72"/>
              </w:rPr>
              <w:t>States(1)............................</w:t>
            </w:r>
          </w:p>
        </w:tc>
        <w:tc>
          <w:tcPr>
            <w:tcW w:w="90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$302,950</w:t>
            </w:r>
          </w:p>
        </w:tc>
        <w:tc>
          <w:tcPr>
            <w:tcW w:w="1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308,959</w:t>
            </w:r>
          </w:p>
        </w:tc>
        <w:tc>
          <w:tcPr>
            <w:tcW w:w="900" w:type="dxa"/>
            <w:vAlign w:val="bottom"/>
            <w:gridSpan w:val="2"/>
            <w:vMerge w:val="continue"/>
          </w:tcPr>
          <w:p>
            <w:pPr>
              <w:spacing w:after="0"/>
              <w:rPr>
                <w:sz w:val="17"/>
                <w:szCs w:val="17"/>
                <w:color w:val="auto"/>
              </w:rPr>
            </w:pPr>
          </w:p>
        </w:tc>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$152,827</w:t>
            </w:r>
          </w:p>
        </w:tc>
        <w:tc>
          <w:tcPr>
            <w:tcW w:w="0" w:type="dxa"/>
            <w:vAlign w:val="bottom"/>
          </w:tcPr>
          <w:p>
            <w:pPr>
              <w:spacing w:after="0"/>
              <w:rPr>
                <w:sz w:val="1"/>
                <w:szCs w:val="1"/>
                <w:color w:val="auto"/>
              </w:rPr>
            </w:pPr>
          </w:p>
        </w:tc>
      </w:tr>
      <w:tr>
        <w:trPr>
          <w:trHeight w:val="203"/>
        </w:trPr>
        <w:tc>
          <w:tcPr>
            <w:tcW w:w="26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Canada(2)...................................</w:t>
            </w: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686,748 539,832 714,019 Rest of the</w:t>
            </w:r>
          </w:p>
        </w:tc>
        <w:tc>
          <w:tcPr>
            <w:tcW w:w="0" w:type="dxa"/>
            <w:vAlign w:val="bottom"/>
          </w:tcPr>
          <w:p>
            <w:pPr>
              <w:spacing w:after="0"/>
              <w:rPr>
                <w:sz w:val="1"/>
                <w:szCs w:val="1"/>
                <w:color w:val="auto"/>
              </w:rPr>
            </w:pPr>
          </w:p>
        </w:tc>
      </w:tr>
      <w:tr>
        <w:trPr>
          <w:trHeight w:val="203"/>
        </w:trPr>
        <w:tc>
          <w:tcPr>
            <w:tcW w:w="2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world...........................</w:t>
            </w:r>
          </w:p>
        </w:tc>
        <w:tc>
          <w:tcPr>
            <w:tcW w:w="80" w:type="dxa"/>
            <w:vAlign w:val="bottom"/>
          </w:tcPr>
          <w:p>
            <w:pPr>
              <w:spacing w:after="0"/>
              <w:rPr>
                <w:sz w:val="17"/>
                <w:szCs w:val="17"/>
                <w:color w:val="auto"/>
              </w:rPr>
            </w:pPr>
          </w:p>
        </w:tc>
        <w:tc>
          <w:tcPr>
            <w:tcW w:w="1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90,911</w:t>
            </w:r>
          </w:p>
        </w:tc>
        <w:tc>
          <w:tcPr>
            <w:tcW w:w="0" w:type="dxa"/>
            <w:vAlign w:val="bottom"/>
          </w:tcPr>
          <w:p>
            <w:pPr>
              <w:spacing w:after="0"/>
              <w:rPr>
                <w:sz w:val="1"/>
                <w:szCs w:val="1"/>
                <w:color w:val="auto"/>
              </w:rPr>
            </w:pPr>
          </w:p>
        </w:tc>
      </w:tr>
      <w:tr>
        <w:trPr>
          <w:trHeight w:val="296"/>
        </w:trPr>
        <w:tc>
          <w:tcPr>
            <w:tcW w:w="1800" w:type="dxa"/>
            <w:vAlign w:val="bottom"/>
          </w:tcPr>
          <w:p>
            <w:pPr>
              <w:ind w:left="60"/>
              <w:spacing w:after="0"/>
              <w:rPr>
                <w:sz w:val="20"/>
                <w:szCs w:val="20"/>
                <w:color w:val="auto"/>
              </w:rPr>
            </w:pPr>
            <w:r>
              <w:rPr>
                <w:rFonts w:ascii="Courier New" w:cs="Courier New" w:eastAsia="Courier New" w:hAnsi="Courier New"/>
                <w:sz w:val="15"/>
                <w:szCs w:val="15"/>
                <w:color w:val="auto"/>
                <w:w w:val="73"/>
              </w:rPr>
              <w:t>138,334 132,365 ----------</w:t>
            </w:r>
          </w:p>
        </w:tc>
        <w:tc>
          <w:tcPr>
            <w:tcW w:w="820" w:type="dxa"/>
            <w:vAlign w:val="bottom"/>
            <w:vMerge w:val="restart"/>
          </w:tcPr>
          <w:p>
            <w:pPr>
              <w:jc w:val="center"/>
              <w:ind w:left="152"/>
              <w:spacing w:after="0"/>
              <w:rPr>
                <w:sz w:val="20"/>
                <w:szCs w:val="20"/>
                <w:color w:val="auto"/>
              </w:rPr>
            </w:pPr>
            <w:r>
              <w:rPr>
                <w:rFonts w:ascii="Courier New" w:cs="Courier New" w:eastAsia="Courier New" w:hAnsi="Courier New"/>
                <w:sz w:val="18"/>
                <w:szCs w:val="18"/>
                <w:color w:val="auto"/>
                <w:w w:val="92"/>
              </w:rPr>
              <w:t>-</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141"/>
        </w:trPr>
        <w:tc>
          <w:tcPr>
            <w:tcW w:w="18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Total.......................................</w:t>
      </w:r>
    </w:p>
    <w:p>
      <w:pPr>
        <w:jc w:val="center"/>
        <w:ind w:right="5579"/>
        <w:spacing w:after="0"/>
        <w:rPr>
          <w:sz w:val="20"/>
          <w:szCs w:val="20"/>
          <w:color w:val="auto"/>
        </w:rPr>
      </w:pPr>
      <w:r>
        <w:rPr>
          <w:rFonts w:ascii="Courier New" w:cs="Courier New" w:eastAsia="Courier New" w:hAnsi="Courier New"/>
          <w:sz w:val="18"/>
          <w:szCs w:val="18"/>
          <w:color w:val="auto"/>
        </w:rPr>
        <w:t>$1,086,618 $981,116 $999,211 ==========</w:t>
      </w:r>
    </w:p>
    <w:p>
      <w:pPr>
        <w:jc w:val="center"/>
        <w:ind w:right="5579"/>
        <w:spacing w:after="0"/>
        <w:rPr>
          <w:sz w:val="20"/>
          <w:szCs w:val="20"/>
          <w:color w:val="auto"/>
        </w:rPr>
      </w:pPr>
      <w:r>
        <w:rPr>
          <w:rFonts w:ascii="Courier New" w:cs="Courier New" w:eastAsia="Courier New" w:hAnsi="Courier New"/>
          <w:sz w:val="18"/>
          <w:szCs w:val="18"/>
          <w:color w:val="auto"/>
        </w:rPr>
        <w:t>======== ========</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hanging="412"/>
        <w:spacing w:after="0"/>
        <w:tabs>
          <w:tab w:leader="none" w:pos="4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Primarily goodwill, computer software and hardware.</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Primarily goodwill.</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AND CUSTOMER INFORMATION</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Customer care and billing, customer relationship management or CRM, and order management systems (collectively, "CC&amp;B") include systems for wireline, wireless, voice, data, broadband, content, electronic and mobile commerce and IP services. Directory includes directory sales and publishing systems for publishers of both traditional printed yellow pages and white pages directories and electronic Internet directories.</w:t>
      </w:r>
    </w:p>
    <w:p>
      <w:pPr>
        <w:spacing w:after="0" w:line="9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1"/>
        </w:trPr>
        <w:tc>
          <w:tcPr>
            <w:tcW w:w="3900" w:type="dxa"/>
            <w:vAlign w:val="bottom"/>
            <w:gridSpan w:val="2"/>
          </w:tcPr>
          <w:p>
            <w:pPr>
              <w:jc w:val="right"/>
              <w:spacing w:after="0" w:line="201" w:lineRule="exact"/>
              <w:rPr>
                <w:sz w:val="20"/>
                <w:szCs w:val="20"/>
                <w:color w:val="auto"/>
              </w:rPr>
            </w:pPr>
            <w:r>
              <w:rPr>
                <w:rFonts w:ascii="Courier New" w:cs="Courier New" w:eastAsia="Courier New" w:hAnsi="Courier New"/>
                <w:sz w:val="18"/>
                <w:szCs w:val="18"/>
                <w:color w:val="auto"/>
                <w:w w:val="98"/>
              </w:rPr>
              <w:t>--------------------- 2003 2002 2001</w:t>
            </w:r>
          </w:p>
        </w:tc>
        <w:tc>
          <w:tcPr>
            <w:tcW w:w="36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 ----------</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20"/>
                <w:szCs w:val="20"/>
                <w:color w:val="auto"/>
              </w:rPr>
            </w:pPr>
            <w:r>
              <w:rPr>
                <w:rFonts w:ascii="Courier New" w:cs="Courier New" w:eastAsia="Courier New" w:hAnsi="Courier New"/>
                <w:sz w:val="16"/>
                <w:szCs w:val="16"/>
                <w:color w:val="auto"/>
                <w:w w:val="70"/>
              </w:rPr>
              <w:t>CC&amp;B.....................................</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$1,379,654</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$1,280,430 $1,439,980</w:t>
            </w:r>
          </w:p>
        </w:tc>
        <w:tc>
          <w:tcPr>
            <w:tcW w:w="1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2"/>
                <w:szCs w:val="12"/>
                <w:color w:val="auto"/>
                <w:w w:val="74"/>
              </w:rPr>
              <w:t>Directory................................</w:t>
            </w:r>
            <w:r>
              <w:rPr>
                <w:rFonts w:ascii="Courier New" w:cs="Courier New" w:eastAsia="Courier New" w:hAnsi="Courier New"/>
                <w:sz w:val="20"/>
                <w:szCs w:val="20"/>
                <w:color w:val="auto"/>
                <w:w w:val="74"/>
                <w:vertAlign w:val="subscript"/>
              </w:rPr>
              <w:t>----------</w:t>
            </w:r>
          </w:p>
        </w:tc>
        <w:tc>
          <w:tcPr>
            <w:tcW w:w="146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800" w:type="dxa"/>
            <w:vAlign w:val="bottom"/>
          </w:tcPr>
          <w:p>
            <w:pPr>
              <w:jc w:val="right"/>
              <w:ind w:right="236"/>
              <w:spacing w:after="0" w:line="203" w:lineRule="exact"/>
              <w:rPr>
                <w:sz w:val="20"/>
                <w:szCs w:val="20"/>
                <w:color w:val="auto"/>
              </w:rPr>
            </w:pPr>
            <w:r>
              <w:rPr>
                <w:rFonts w:ascii="Courier New" w:cs="Courier New" w:eastAsia="Courier New" w:hAnsi="Courier New"/>
                <w:sz w:val="18"/>
                <w:szCs w:val="18"/>
                <w:color w:val="auto"/>
                <w:w w:val="99"/>
              </w:rPr>
              <w:t>202,897 173,585 154,256</w:t>
            </w:r>
          </w:p>
        </w:tc>
        <w:tc>
          <w:tcPr>
            <w:tcW w:w="1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 ----------</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20"/>
                <w:szCs w:val="20"/>
                <w:color w:val="auto"/>
              </w:rPr>
            </w:pPr>
            <w:r>
              <w:rPr>
                <w:rFonts w:ascii="Courier New" w:cs="Courier New" w:eastAsia="Courier New" w:hAnsi="Courier New"/>
                <w:sz w:val="16"/>
                <w:szCs w:val="16"/>
                <w:color w:val="auto"/>
                <w:w w:val="70"/>
              </w:rPr>
              <w:t>Total....................................</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$1,533,910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$1,483,327 $1,613,565</w:t>
            </w:r>
          </w:p>
        </w:tc>
        <w:tc>
          <w:tcPr>
            <w:tcW w:w="1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 ==========</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F-36</w:t>
      </w:r>
    </w:p>
    <w:p>
      <w:pPr>
        <w:sectPr>
          <w:pgSz w:w="11900" w:h="16838" w:orient="portrait"/>
          <w:cols w:equalWidth="0" w:num="1">
            <w:col w:w="10219"/>
          </w:cols>
          <w:pgMar w:left="240" w:top="488" w:right="1440" w:bottom="1440" w:gutter="0" w:footer="0" w:header="0"/>
        </w:sectPr>
      </w:pPr>
    </w:p>
    <w:bookmarkStart w:id="113" w:name="page114"/>
    <w:bookmarkEnd w:id="11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SALES TO SIGNIFICANT CUSTOMERS</w:t>
      </w:r>
    </w:p>
    <w:p>
      <w:pPr>
        <w:spacing w:after="0" w:line="201" w:lineRule="exact"/>
        <w:rPr>
          <w:sz w:val="20"/>
          <w:szCs w:val="20"/>
          <w:color w:val="auto"/>
        </w:rPr>
      </w:pPr>
    </w:p>
    <w:p>
      <w:pPr>
        <w:ind w:right="2099" w:firstLine="527"/>
        <w:spacing w:after="0" w:line="402" w:lineRule="auto"/>
        <w:rPr>
          <w:sz w:val="20"/>
          <w:szCs w:val="20"/>
          <w:color w:val="auto"/>
        </w:rPr>
      </w:pPr>
      <w:r>
        <w:rPr>
          <w:rFonts w:ascii="Courier New" w:cs="Courier New" w:eastAsia="Courier New" w:hAnsi="Courier New"/>
          <w:sz w:val="16"/>
          <w:szCs w:val="16"/>
          <w:color w:val="auto"/>
        </w:rPr>
        <w:t>The following table summarizes the percentage of sales to significant customers groups (when they exceed 10 percent of total revenue for the year).</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------------------ 2003</w:t>
      </w:r>
    </w:p>
    <w:p>
      <w:pPr>
        <w:spacing w:after="0" w:line="29"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2002 2001 ---- ---- ---- Nextel Communications</w:t>
      </w:r>
    </w:p>
    <w:tbl>
      <w:tblPr>
        <w:tblLayout w:type="fixed"/>
        <w:tblInd w:w="0" w:type="dxa"/>
        <w:tblCellMar>
          <w:top w:w="0" w:type="dxa"/>
          <w:left w:w="0" w:type="dxa"/>
          <w:bottom w:w="0" w:type="dxa"/>
          <w:right w:w="0" w:type="dxa"/>
        </w:tblCellMar>
      </w:tblPr>
      <w:tr>
        <w:trPr>
          <w:trHeight w:val="171"/>
        </w:trPr>
        <w:tc>
          <w:tcPr>
            <w:tcW w:w="1380" w:type="dxa"/>
            <w:vAlign w:val="bottom"/>
          </w:tcPr>
          <w:p>
            <w:pPr>
              <w:jc w:val="right"/>
              <w:spacing w:after="0"/>
              <w:rPr>
                <w:sz w:val="20"/>
                <w:szCs w:val="20"/>
                <w:color w:val="auto"/>
              </w:rPr>
            </w:pPr>
            <w:r>
              <w:rPr>
                <w:rFonts w:ascii="Courier New" w:cs="Courier New" w:eastAsia="Courier New" w:hAnsi="Courier New"/>
                <w:sz w:val="8"/>
                <w:szCs w:val="8"/>
                <w:color w:val="auto"/>
                <w:w w:val="78"/>
              </w:rPr>
              <w:t>group...............................</w:t>
            </w:r>
          </w:p>
        </w:tc>
        <w:tc>
          <w:tcPr>
            <w:tcW w:w="294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15%</w:t>
            </w:r>
          </w:p>
        </w:tc>
        <w:tc>
          <w:tcPr>
            <w:tcW w:w="800" w:type="dxa"/>
            <w:vAlign w:val="bottom"/>
          </w:tcPr>
          <w:p>
            <w:pPr>
              <w:ind w:left="60"/>
              <w:spacing w:after="0" w:line="170" w:lineRule="exact"/>
              <w:rPr>
                <w:sz w:val="20"/>
                <w:szCs w:val="20"/>
                <w:color w:val="auto"/>
              </w:rPr>
            </w:pPr>
            <w:r>
              <w:rPr>
                <w:rFonts w:ascii="Courier New" w:cs="Courier New" w:eastAsia="Courier New" w:hAnsi="Courier New"/>
                <w:sz w:val="18"/>
                <w:szCs w:val="18"/>
                <w:color w:val="auto"/>
                <w:w w:val="95"/>
              </w:rPr>
              <w:t>12% 10%</w:t>
            </w:r>
          </w:p>
        </w:tc>
        <w:tc>
          <w:tcPr>
            <w:tcW w:w="0" w:type="dxa"/>
            <w:vAlign w:val="bottom"/>
          </w:tcPr>
          <w:p>
            <w:pPr>
              <w:spacing w:after="0"/>
              <w:rPr>
                <w:sz w:val="1"/>
                <w:szCs w:val="1"/>
                <w:color w:val="auto"/>
              </w:rPr>
            </w:pPr>
          </w:p>
        </w:tc>
      </w:tr>
      <w:tr>
        <w:trPr>
          <w:trHeight w:val="203"/>
        </w:trPr>
        <w:tc>
          <w:tcPr>
            <w:tcW w:w="138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4"/>
              </w:rPr>
              <w:t>group(1)..........................</w:t>
            </w:r>
          </w:p>
        </w:tc>
        <w:tc>
          <w:tcPr>
            <w:tcW w:w="294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SBC Communications Inc.</w:t>
            </w:r>
          </w:p>
        </w:tc>
        <w:tc>
          <w:tcPr>
            <w:tcW w:w="80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5"/>
              </w:rPr>
              <w:t>13 Bell</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2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11 11</w:t>
            </w: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vMerge w:val="restart"/>
          </w:tcPr>
          <w:p>
            <w:pPr>
              <w:jc w:val="right"/>
              <w:spacing w:after="0"/>
              <w:rPr>
                <w:sz w:val="20"/>
                <w:szCs w:val="20"/>
                <w:color w:val="auto"/>
              </w:rPr>
            </w:pPr>
            <w:r>
              <w:rPr>
                <w:rFonts w:ascii="Courier New" w:cs="Courier New" w:eastAsia="Courier New" w:hAnsi="Courier New"/>
                <w:sz w:val="8"/>
                <w:szCs w:val="8"/>
                <w:color w:val="auto"/>
                <w:vertAlign w:val="superscript"/>
              </w:rPr>
              <w:t>group(2)</w:t>
            </w:r>
            <w:r>
              <w:rPr>
                <w:rFonts w:ascii="Courier New" w:cs="Courier New" w:eastAsia="Courier New" w:hAnsi="Courier New"/>
                <w:sz w:val="4"/>
                <w:szCs w:val="4"/>
                <w:color w:val="auto"/>
              </w:rPr>
              <w:t>............................................</w:t>
            </w:r>
          </w:p>
        </w:tc>
        <w:tc>
          <w:tcPr>
            <w:tcW w:w="294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5"/>
              </w:rPr>
              <w:t>Canada</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380" w:type="dxa"/>
            <w:vAlign w:val="bottom"/>
            <w:vMerge w:val="continue"/>
          </w:tcPr>
          <w:p>
            <w:pPr>
              <w:jc w:val="right"/>
              <w:spacing w:after="0" w:line="85" w:lineRule="exact"/>
              <w:rPr>
                <w:sz w:val="20"/>
                <w:szCs w:val="20"/>
                <w:color w:val="auto"/>
              </w:rPr>
            </w:pPr>
            <w:r>
              <w:rPr>
                <w:rFonts w:ascii="Courier New" w:cs="Courier New" w:eastAsia="Courier New" w:hAnsi="Courier New"/>
                <w:sz w:val="9"/>
                <w:szCs w:val="9"/>
                <w:color w:val="auto"/>
              </w:rPr>
              <w:t>......................................</w:t>
            </w:r>
          </w:p>
        </w:tc>
        <w:tc>
          <w:tcPr>
            <w:tcW w:w="2940" w:type="dxa"/>
            <w:vAlign w:val="bottom"/>
            <w:vMerge w:val="restart"/>
          </w:tcPr>
          <w:p>
            <w:pPr>
              <w:jc w:val="center"/>
              <w:ind w:right="452"/>
              <w:spacing w:after="0"/>
              <w:rPr>
                <w:sz w:val="20"/>
                <w:szCs w:val="20"/>
                <w:color w:val="auto"/>
              </w:rPr>
            </w:pPr>
            <w:r>
              <w:rPr>
                <w:rFonts w:ascii="Courier New" w:cs="Courier New" w:eastAsia="Courier New" w:hAnsi="Courier New"/>
                <w:sz w:val="18"/>
                <w:szCs w:val="18"/>
                <w:color w:val="auto"/>
                <w:w w:val="97"/>
              </w:rPr>
              <w:t>11 (*) (*) Vodafone</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380" w:type="dxa"/>
            <w:vAlign w:val="bottom"/>
            <w:vMerge w:val="restart"/>
          </w:tcPr>
          <w:p>
            <w:pPr>
              <w:jc w:val="right"/>
              <w:ind w:right="793"/>
              <w:spacing w:after="0"/>
              <w:rPr>
                <w:sz w:val="20"/>
                <w:szCs w:val="20"/>
                <w:color w:val="auto"/>
              </w:rPr>
            </w:pPr>
            <w:r>
              <w:rPr>
                <w:rFonts w:ascii="Courier New" w:cs="Courier New" w:eastAsia="Courier New" w:hAnsi="Courier New"/>
                <w:sz w:val="18"/>
                <w:szCs w:val="18"/>
                <w:color w:val="auto"/>
                <w:w w:val="96"/>
              </w:rPr>
              <w:t>group</w:t>
            </w:r>
          </w:p>
        </w:tc>
        <w:tc>
          <w:tcPr>
            <w:tcW w:w="29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2940" w:type="dxa"/>
            <w:vAlign w:val="bottom"/>
            <w:vMerge w:val="restart"/>
          </w:tcPr>
          <w:p>
            <w:pPr>
              <w:jc w:val="center"/>
              <w:ind w:right="432"/>
              <w:spacing w:after="0"/>
              <w:rPr>
                <w:sz w:val="20"/>
                <w:szCs w:val="20"/>
                <w:color w:val="auto"/>
              </w:rPr>
            </w:pPr>
            <w:r>
              <w:rPr>
                <w:rFonts w:ascii="Courier New" w:cs="Courier New" w:eastAsia="Courier New" w:hAnsi="Courier New"/>
                <w:sz w:val="18"/>
                <w:szCs w:val="18"/>
                <w:color w:val="auto"/>
                <w:w w:val="96"/>
              </w:rPr>
              <w:t>(*) 10 11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294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Less than 10 percent of total revenue</w:t>
      </w:r>
    </w:p>
    <w:p>
      <w:pPr>
        <w:spacing w:after="0" w:line="169" w:lineRule="exact"/>
        <w:rPr>
          <w:sz w:val="20"/>
          <w:szCs w:val="20"/>
          <w:color w:val="auto"/>
        </w:rPr>
      </w:pPr>
    </w:p>
    <w:p>
      <w:pPr>
        <w:jc w:val="both"/>
        <w:ind w:left="420" w:right="1779" w:hanging="412"/>
        <w:spacing w:after="0" w:line="292" w:lineRule="auto"/>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quarter ended December 31, 2002, SBC has ceased to be a principal shareholder of the Company, according to SFAS No. 57 and thus is no longer a related party.</w:t>
      </w:r>
    </w:p>
    <w:p>
      <w:pPr>
        <w:spacing w:after="0" w:line="66" w:lineRule="exact"/>
        <w:rPr>
          <w:rFonts w:ascii="Courier New" w:cs="Courier New" w:eastAsia="Courier New" w:hAnsi="Courier New"/>
          <w:sz w:val="18"/>
          <w:szCs w:val="18"/>
          <w:color w:val="auto"/>
        </w:rPr>
      </w:pPr>
    </w:p>
    <w:p>
      <w:pPr>
        <w:ind w:left="420" w:right="1999" w:hanging="412"/>
        <w:spacing w:after="0" w:line="292" w:lineRule="auto"/>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Bell Canada group includes Certen through June 30, 2003. In July 2003, the Company acquired Bell's ownership interest in Certen, and Certen became a wholly owned subsidiary of the Company. See Note 3.</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21 -- OPERATIONAL EFFICIENCY AND COST REDUCTION PROGRAMS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FISCAL YEAR ENDED SEPTEMBER 30, 2003</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In the first quarter of fiscal 2003, the Company implemented a series of measures designed to reduce costs and improve productivity, with targeted quarterly savings of approximately $8,000. As part of this plan, the Company reduced its workforce by approximately 400 employees, representing approximately 4% of the Company's worldwide workforce of 9,000 full-time employees, vacated facilities in different centers around the world and implemented other cost reduction measures, including travel cuts and reduction in other discretionary costs.</w:t>
      </w:r>
    </w:p>
    <w:p>
      <w:pPr>
        <w:spacing w:after="0" w:line="104"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The restructuring charge associated with these actions and recorded in the first quarter of fiscal 2003 was $9,956. Approximately $4,451 of the total charge was paid in cash as of September 30, 2003. The remaining employee separation costs, are expected to be paid out through the first quarter of fiscal 2004. The remaining facility related costs, are expected to be paid out through June 2008.</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Details of $9,956 Restructuring Charge:</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Company recorded a charge of $4,011 related to employee separation costs in connection with the termination of employment of software information technology specialists and administrative professionals from various locations around the world. The Company recorded a charge of $4,022 related to facilities, representing rent obligations relating to vacated facilities in Raanana, Israel and St. Louis, Missouri. The Company also recorded a provision of $1,829 for asset write-offs, principally for leasehold improvements in Raanana, Israel and St. Louis, Missouri that were abandoned.</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F-37</w:t>
      </w:r>
    </w:p>
    <w:p>
      <w:pPr>
        <w:sectPr>
          <w:pgSz w:w="11900" w:h="16838" w:orient="portrait"/>
          <w:cols w:equalWidth="0" w:num="1">
            <w:col w:w="10219"/>
          </w:cols>
          <w:pgMar w:left="240" w:top="488" w:right="1440" w:bottom="1440" w:gutter="0" w:footer="0" w:header="0"/>
        </w:sectPr>
      </w:pPr>
    </w:p>
    <w:bookmarkStart w:id="114" w:name="page115"/>
    <w:bookmarkEnd w:id="114"/>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The first quarter of fiscal 2003 restructuring charge is comprised of the following as of September 30, 2003:</w:t>
      </w:r>
    </w:p>
    <w:p>
      <w:pPr>
        <w:spacing w:after="0" w:line="18"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EMPLOYEE SEPARATION ASSET COSTS</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FACILITIES WRITE-OFFS OTHER TOTAL ----</w:t>
      </w:r>
    </w:p>
    <w:p>
      <w:pPr>
        <w:ind w:left="60"/>
        <w:spacing w:after="0" w:line="238" w:lineRule="auto"/>
        <w:rPr>
          <w:sz w:val="20"/>
          <w:szCs w:val="20"/>
          <w:color w:val="auto"/>
        </w:rPr>
      </w:pPr>
      <w:r>
        <w:rPr>
          <w:rFonts w:ascii="Courier New" w:cs="Courier New" w:eastAsia="Courier New" w:hAnsi="Courier New"/>
          <w:sz w:val="18"/>
          <w:szCs w:val="18"/>
          <w:color w:val="auto"/>
        </w:rPr>
        <w:t>------ ---------- ---------- ----- ---</w:t>
      </w:r>
    </w:p>
    <w:p>
      <w:pPr>
        <w:ind w:left="60" w:right="6159" w:firstLine="473"/>
        <w:spacing w:after="0" w:line="268" w:lineRule="auto"/>
        <w:tabs>
          <w:tab w:leader="none" w:pos="106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Balance as of October 1, 2002.......... $ -- $ -- $ -- $ -- $ -</w:t>
      </w:r>
    </w:p>
    <w:tbl>
      <w:tblPr>
        <w:tblLayout w:type="fixed"/>
        <w:tblInd w:w="0" w:type="dxa"/>
        <w:tblCellMar>
          <w:top w:w="0" w:type="dxa"/>
          <w:left w:w="0" w:type="dxa"/>
          <w:bottom w:w="0" w:type="dxa"/>
          <w:right w:w="0" w:type="dxa"/>
        </w:tblCellMar>
      </w:tblPr>
      <w:tr>
        <w:trPr>
          <w:trHeight w:val="171"/>
        </w:trPr>
        <w:tc>
          <w:tcPr>
            <w:tcW w:w="2640" w:type="dxa"/>
            <w:vAlign w:val="bottom"/>
          </w:tcPr>
          <w:p>
            <w:pPr>
              <w:jc w:val="right"/>
              <w:ind w:right="435"/>
              <w:spacing w:after="0" w:line="171"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w w:val="74"/>
              </w:rPr>
              <w:t>Charges................................</w:t>
            </w:r>
          </w:p>
        </w:tc>
        <w:tc>
          <w:tcPr>
            <w:tcW w:w="1420" w:type="dxa"/>
            <w:vAlign w:val="bottom"/>
            <w:vMerge w:val="restart"/>
          </w:tcPr>
          <w:p>
            <w:pPr>
              <w:spacing w:after="0"/>
              <w:rPr>
                <w:sz w:val="20"/>
                <w:szCs w:val="20"/>
                <w:color w:val="auto"/>
              </w:rPr>
            </w:pPr>
            <w:r>
              <w:rPr>
                <w:rFonts w:ascii="Courier New" w:cs="Courier New" w:eastAsia="Courier New" w:hAnsi="Courier New"/>
                <w:sz w:val="18"/>
                <w:szCs w:val="18"/>
                <w:color w:val="auto"/>
              </w:rPr>
              <w:t>9,956 Cash</w:t>
            </w:r>
          </w:p>
        </w:tc>
        <w:tc>
          <w:tcPr>
            <w:tcW w:w="0" w:type="dxa"/>
            <w:vAlign w:val="bottom"/>
          </w:tcPr>
          <w:p>
            <w:pPr>
              <w:spacing w:after="0"/>
              <w:rPr>
                <w:sz w:val="1"/>
                <w:szCs w:val="1"/>
                <w:color w:val="auto"/>
              </w:rPr>
            </w:pPr>
          </w:p>
        </w:tc>
      </w:tr>
      <w:tr>
        <w:trPr>
          <w:trHeight w:val="203"/>
        </w:trPr>
        <w:tc>
          <w:tcPr>
            <w:tcW w:w="264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4,011 4,022 1,829 94</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1"/>
              </w:rPr>
              <w:t>payments..........................</w:t>
            </w:r>
          </w:p>
        </w:tc>
        <w:tc>
          <w:tcPr>
            <w:tcW w:w="1420" w:type="dxa"/>
            <w:vAlign w:val="bottom"/>
            <w:vMerge w:val="restart"/>
          </w:tcPr>
          <w:p>
            <w:pPr>
              <w:spacing w:after="0"/>
              <w:rPr>
                <w:sz w:val="20"/>
                <w:szCs w:val="20"/>
                <w:color w:val="auto"/>
              </w:rPr>
            </w:pPr>
            <w:r>
              <w:rPr>
                <w:rFonts w:ascii="Courier New" w:cs="Courier New" w:eastAsia="Courier New" w:hAnsi="Courier New"/>
                <w:sz w:val="18"/>
                <w:szCs w:val="18"/>
                <w:color w:val="auto"/>
              </w:rPr>
              <w:t>(4,451) Non</w:t>
            </w:r>
          </w:p>
        </w:tc>
        <w:tc>
          <w:tcPr>
            <w:tcW w:w="0" w:type="dxa"/>
            <w:vAlign w:val="bottom"/>
          </w:tcPr>
          <w:p>
            <w:pPr>
              <w:spacing w:after="0"/>
              <w:rPr>
                <w:sz w:val="1"/>
                <w:szCs w:val="1"/>
                <w:color w:val="auto"/>
              </w:rPr>
            </w:pPr>
          </w:p>
        </w:tc>
      </w:tr>
      <w:tr>
        <w:trPr>
          <w:trHeight w:val="203"/>
        </w:trPr>
        <w:tc>
          <w:tcPr>
            <w:tcW w:w="264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(3,890) (467) -- (94)</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w w:val="77"/>
              </w:rPr>
              <w:t>cash...............................</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right="6099" w:firstLine="955"/>
        <w:spacing w:after="0" w:line="268" w:lineRule="auto"/>
        <w:tabs>
          <w:tab w:leader="none" w:pos="1263" w:val="left"/>
        </w:tabs>
        <w:numPr>
          <w:ilvl w:val="2"/>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(1,829) -- (1,829) Adjustments(1).........................</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38 (453) -- -- (415) ------- ------ --</w:t>
      </w:r>
    </w:p>
    <w:p>
      <w:pPr>
        <w:ind w:left="60" w:right="6159" w:firstLine="315"/>
        <w:spacing w:after="0" w:line="268" w:lineRule="auto"/>
        <w:tabs>
          <w:tab w:leader="none" w:pos="1008"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Balance as of September 30, 2003....... $ 159 $3,102</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 $ 3,261 ======= ======</w:t>
      </w:r>
    </w:p>
    <w:p>
      <w:pPr>
        <w:ind w:left="10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spacing w:after="0" w:line="37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20" w:right="1779" w:hanging="412"/>
        <w:spacing w:after="0" w:line="253" w:lineRule="auto"/>
        <w:tabs>
          <w:tab w:leader="none" w:pos="42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differences in foreign exchange rates from balances paid in currencies other than the U.S. dollar of $81 that were credited to "interest income and other, net" and adjustments of $334 due to changes in previous estimates. These adjustments resulted in a decrease of restructuring liabilities related to facilities of $453 and an increase of restructuring liabilities related to employee separation costs of $119. The net amount was credited to "cost of service" and "selling, general and administrative" expenses.</w:t>
      </w:r>
    </w:p>
    <w:p>
      <w:pPr>
        <w:spacing w:after="0" w:line="104"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financial savings of these actions, of approximately $8,000 quarterly commencing in the second quarter of 2003, is reflected as a reduction in operating expense. These cost savings may not be permanent as increased activity levels resulting from, among other factors, acquisitions, new Managed Services agreements and increased revenue, may require an increase in headcount and other increased spending.</w:t>
      </w:r>
    </w:p>
    <w:p>
      <w:pPr>
        <w:spacing w:after="0" w:line="9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FISCAL YEAR ENDED SEPTEMBER 30, 2002</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In the fourth quarter of fiscal 2002, the Company implemented a cost reduction program targeted to reduce costs by approximately $30,000 quarterly in response to a decline of the forecasted revenue for the third and fourth quarters of fiscal 2002. The decline resulted from, among other factors, slowdowns in customer buying decisions in the third quarter of fiscal 2002, stemming from overall reductions in the capital investment budgets of many communications service providers, leading to fewer new contracts than expected, as well as from smaller than expected initial spending commitments and reduced discretionary spending under contracts with some customers.</w:t>
      </w:r>
    </w:p>
    <w:p>
      <w:pPr>
        <w:spacing w:after="0" w:line="99"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The restructuring charge associated with these actions and recorded in the fourth quarter of fiscal 2002 was $20,919. Approximately $15,933 of the total charge was paid in cash as of September 30, 2003. The remaining employee separation costs, are expected to be paid out through the first quarter of fiscal 2004. The remaining facility related costs, are expected to be paid out through April 2012.</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Details of $20,919 Restructuring Charge:</w:t>
      </w:r>
    </w:p>
    <w:p>
      <w:pPr>
        <w:spacing w:after="0" w:line="201" w:lineRule="exact"/>
        <w:rPr>
          <w:sz w:val="20"/>
          <w:szCs w:val="20"/>
          <w:color w:val="auto"/>
        </w:rPr>
      </w:pPr>
    </w:p>
    <w:p>
      <w:pPr>
        <w:ind w:right="1999" w:firstLine="527"/>
        <w:spacing w:after="0" w:line="250" w:lineRule="auto"/>
        <w:rPr>
          <w:sz w:val="20"/>
          <w:szCs w:val="20"/>
          <w:color w:val="auto"/>
        </w:rPr>
      </w:pPr>
      <w:r>
        <w:rPr>
          <w:rFonts w:ascii="Courier New" w:cs="Courier New" w:eastAsia="Courier New" w:hAnsi="Courier New"/>
          <w:sz w:val="18"/>
          <w:szCs w:val="18"/>
          <w:color w:val="auto"/>
        </w:rPr>
        <w:t>The Company recorded a charge of $11,353 related to employee separation costs in connection with the termination of employment of approximately 1,000 employees, representing approximately 10% of the Company's worldwide workforce of 9,900 full-time employees. The actual number of employees terminated approximated original estimates. There was not a single group of employees or business function that was solely impacted by these measures; instead it impacted information technology specialists and administration professionals across a broad range of functions according to the areas with reduced activities. The Company recorded a charge of $7,880 related to facilities, representing rent obligations</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F-38</w:t>
      </w:r>
    </w:p>
    <w:p>
      <w:pPr>
        <w:sectPr>
          <w:pgSz w:w="11900" w:h="16838" w:orient="portrait"/>
          <w:cols w:equalWidth="0" w:num="1">
            <w:col w:w="10219"/>
          </w:cols>
          <w:pgMar w:left="240" w:top="488" w:right="1440" w:bottom="0" w:gutter="0" w:footer="0" w:header="0"/>
        </w:sectPr>
      </w:pPr>
    </w:p>
    <w:bookmarkStart w:id="115" w:name="page116"/>
    <w:bookmarkEnd w:id="115"/>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relating to vacated facilities in various locations in Canada, Israel and the United States. The Company also recorded a provision of $1,584 for asset write-offs, principally for leasehold improvements in Canada, Israel and the United States that were abandoned.</w:t>
      </w:r>
    </w:p>
    <w:p>
      <w:pPr>
        <w:spacing w:after="0" w:line="82"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The fourth quarter of fiscal 2002 restructuring charge is comprised of the following as of September 30, 2003:</w:t>
      </w:r>
    </w:p>
    <w:p>
      <w:pPr>
        <w:spacing w:after="0" w:line="18"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8"/>
          <w:szCs w:val="18"/>
          <w:color w:val="auto"/>
        </w:rPr>
        <w:t>EMPLOYEE SEPARATION ASSET COSTS</w:t>
      </w:r>
    </w:p>
    <w:p>
      <w:pPr>
        <w:spacing w:after="0" w:line="29"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8"/>
          <w:szCs w:val="18"/>
          <w:color w:val="auto"/>
        </w:rPr>
        <w:t>FACILITIES WRITE-OFFS OTHER TOTAL ---</w:t>
      </w:r>
    </w:p>
    <w:p>
      <w:pPr>
        <w:ind w:left="60"/>
        <w:spacing w:after="0" w:line="238" w:lineRule="auto"/>
        <w:rPr>
          <w:sz w:val="20"/>
          <w:szCs w:val="20"/>
          <w:color w:val="auto"/>
        </w:rPr>
      </w:pPr>
      <w:r>
        <w:rPr>
          <w:rFonts w:ascii="Courier New" w:cs="Courier New" w:eastAsia="Courier New" w:hAnsi="Courier New"/>
          <w:sz w:val="18"/>
          <w:szCs w:val="18"/>
          <w:color w:val="auto"/>
        </w:rPr>
        <w:t>------- ---------- ---------- ----- -</w:t>
      </w:r>
    </w:p>
    <w:p>
      <w:pPr>
        <w:ind w:left="380"/>
        <w:spacing w:after="0"/>
        <w:rPr>
          <w:sz w:val="20"/>
          <w:szCs w:val="20"/>
          <w:color w:val="auto"/>
        </w:rPr>
      </w:pPr>
      <w:r>
        <w:rPr>
          <w:rFonts w:ascii="Courier New" w:cs="Courier New" w:eastAsia="Courier New" w:hAnsi="Courier New"/>
          <w:sz w:val="18"/>
          <w:szCs w:val="18"/>
          <w:color w:val="auto"/>
        </w:rPr>
        <w:t>------ Balance as of October 1,</w:t>
      </w:r>
    </w:p>
    <w:p>
      <w:pPr>
        <w:ind w:left="60"/>
        <w:spacing w:after="0" w:line="238" w:lineRule="auto"/>
        <w:rPr>
          <w:sz w:val="20"/>
          <w:szCs w:val="20"/>
          <w:color w:val="auto"/>
        </w:rPr>
      </w:pPr>
      <w:r>
        <w:rPr>
          <w:rFonts w:ascii="Courier New" w:cs="Courier New" w:eastAsia="Courier New" w:hAnsi="Courier New"/>
          <w:sz w:val="18"/>
          <w:szCs w:val="18"/>
          <w:color w:val="auto"/>
        </w:rPr>
        <w:t>2001......... $ -- $ -- $ -- $ -- $ -</w:t>
      </w:r>
    </w:p>
    <w:p>
      <w:pPr>
        <w:jc w:val="center"/>
        <w:ind w:right="6199"/>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Charges...............................</w:t>
      </w:r>
    </w:p>
    <w:tbl>
      <w:tblPr>
        <w:tblLayout w:type="fixed"/>
        <w:tblInd w:w="0" w:type="dxa"/>
        <w:tblCellMar>
          <w:top w:w="0" w:type="dxa"/>
          <w:left w:w="0" w:type="dxa"/>
          <w:bottom w:w="0" w:type="dxa"/>
          <w:right w:w="0" w:type="dxa"/>
        </w:tblCellMar>
      </w:tblPr>
      <w:tr>
        <w:trPr>
          <w:trHeight w:val="171"/>
        </w:trPr>
        <w:tc>
          <w:tcPr>
            <w:tcW w:w="1580" w:type="dxa"/>
            <w:vAlign w:val="bottom"/>
          </w:tcPr>
          <w:p>
            <w:pPr>
              <w:jc w:val="right"/>
              <w:ind w:right="15"/>
              <w:spacing w:after="0" w:line="171" w:lineRule="exact"/>
              <w:rPr>
                <w:sz w:val="20"/>
                <w:szCs w:val="20"/>
                <w:color w:val="auto"/>
              </w:rPr>
            </w:pPr>
            <w:r>
              <w:rPr>
                <w:rFonts w:ascii="Courier New" w:cs="Courier New" w:eastAsia="Courier New" w:hAnsi="Courier New"/>
                <w:sz w:val="18"/>
                <w:szCs w:val="18"/>
                <w:color w:val="auto"/>
              </w:rPr>
              <w:t>11,353 7,880</w:t>
            </w:r>
          </w:p>
        </w:tc>
        <w:tc>
          <w:tcPr>
            <w:tcW w:w="2380" w:type="dxa"/>
            <w:vAlign w:val="bottom"/>
            <w:gridSpan w:val="2"/>
          </w:tcPr>
          <w:p>
            <w:pPr>
              <w:jc w:val="right"/>
              <w:ind w:right="72"/>
              <w:spacing w:after="0" w:line="171" w:lineRule="exact"/>
              <w:rPr>
                <w:sz w:val="20"/>
                <w:szCs w:val="20"/>
                <w:color w:val="auto"/>
              </w:rPr>
            </w:pPr>
            <w:r>
              <w:rPr>
                <w:rFonts w:ascii="Courier New" w:cs="Courier New" w:eastAsia="Courier New" w:hAnsi="Courier New"/>
                <w:sz w:val="18"/>
                <w:szCs w:val="18"/>
                <w:color w:val="auto"/>
                <w:w w:val="96"/>
              </w:rPr>
              <w:t>1,584 102 20,919 Cash</w:t>
            </w:r>
          </w:p>
        </w:tc>
        <w:tc>
          <w:tcPr>
            <w:tcW w:w="0" w:type="dxa"/>
            <w:vAlign w:val="bottom"/>
          </w:tcPr>
          <w:p>
            <w:pPr>
              <w:spacing w:after="0"/>
              <w:rPr>
                <w:sz w:val="1"/>
                <w:szCs w:val="1"/>
                <w:color w:val="auto"/>
              </w:rPr>
            </w:pP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payments.........................</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(8,053) (456) -- (57) (8,566) Non</w:t>
            </w:r>
          </w:p>
        </w:tc>
        <w:tc>
          <w:tcPr>
            <w:tcW w:w="0" w:type="dxa"/>
            <w:vAlign w:val="bottom"/>
          </w:tcPr>
          <w:p>
            <w:pPr>
              <w:spacing w:after="0"/>
              <w:rPr>
                <w:sz w:val="1"/>
                <w:szCs w:val="1"/>
                <w:color w:val="auto"/>
              </w:rPr>
            </w:pP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cash..............................</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(1,584) -- (1,584)</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203"/>
        </w:trPr>
        <w:tc>
          <w:tcPr>
            <w:tcW w:w="15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 ----</w:t>
            </w:r>
          </w:p>
        </w:tc>
        <w:tc>
          <w:tcPr>
            <w:tcW w:w="2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 Balance as of</w:t>
            </w:r>
          </w:p>
        </w:tc>
        <w:tc>
          <w:tcPr>
            <w:tcW w:w="0" w:type="dxa"/>
            <w:vAlign w:val="bottom"/>
          </w:tcPr>
          <w:p>
            <w:pPr>
              <w:spacing w:after="0"/>
              <w:rPr>
                <w:sz w:val="1"/>
                <w:szCs w:val="1"/>
                <w:color w:val="auto"/>
              </w:rPr>
            </w:pPr>
          </w:p>
        </w:tc>
      </w:tr>
      <w:tr>
        <w:trPr>
          <w:trHeight w:val="203"/>
        </w:trPr>
        <w:tc>
          <w:tcPr>
            <w:tcW w:w="15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September 30,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2"/>
              </w:rPr>
              <w:t>2002......</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3,300 7,424</w:t>
            </w:r>
          </w:p>
        </w:tc>
        <w:tc>
          <w:tcPr>
            <w:tcW w:w="0" w:type="dxa"/>
            <w:vAlign w:val="bottom"/>
          </w:tcPr>
          <w:p>
            <w:pPr>
              <w:spacing w:after="0"/>
              <w:rPr>
                <w:sz w:val="1"/>
                <w:szCs w:val="1"/>
                <w:color w:val="auto"/>
              </w:rPr>
            </w:pPr>
          </w:p>
        </w:tc>
      </w:tr>
      <w:tr>
        <w:trPr>
          <w:trHeight w:val="203"/>
        </w:trPr>
        <w:tc>
          <w:tcPr>
            <w:tcW w:w="3960" w:type="dxa"/>
            <w:vAlign w:val="bottom"/>
            <w:gridSpan w:val="3"/>
          </w:tcPr>
          <w:p>
            <w:pPr>
              <w:jc w:val="right"/>
              <w:ind w:right="972"/>
              <w:spacing w:after="0" w:line="203" w:lineRule="exact"/>
              <w:rPr>
                <w:sz w:val="20"/>
                <w:szCs w:val="20"/>
                <w:color w:val="auto"/>
              </w:rPr>
            </w:pPr>
            <w:r>
              <w:rPr>
                <w:rFonts w:ascii="Courier New" w:cs="Courier New" w:eastAsia="Courier New" w:hAnsi="Courier New"/>
                <w:sz w:val="18"/>
                <w:szCs w:val="18"/>
                <w:color w:val="auto"/>
              </w:rPr>
              <w:t>-- 45 10,769 Cash</w:t>
            </w:r>
          </w:p>
        </w:tc>
        <w:tc>
          <w:tcPr>
            <w:tcW w:w="0" w:type="dxa"/>
            <w:vAlign w:val="bottom"/>
          </w:tcPr>
          <w:p>
            <w:pPr>
              <w:spacing w:after="0"/>
              <w:rPr>
                <w:sz w:val="1"/>
                <w:szCs w:val="1"/>
                <w:color w:val="auto"/>
              </w:rPr>
            </w:pP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payments.........................</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(3,240) (4,082) -- (45) (7,367)</w:t>
            </w:r>
          </w:p>
        </w:tc>
        <w:tc>
          <w:tcPr>
            <w:tcW w:w="0" w:type="dxa"/>
            <w:vAlign w:val="bottom"/>
          </w:tcPr>
          <w:p>
            <w:pPr>
              <w:spacing w:after="0"/>
              <w:rPr>
                <w:sz w:val="1"/>
                <w:szCs w:val="1"/>
                <w:color w:val="auto"/>
              </w:rPr>
            </w:pPr>
          </w:p>
        </w:tc>
      </w:tr>
      <w:tr>
        <w:trPr>
          <w:trHeight w:val="203"/>
        </w:trPr>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2"/>
                <w:szCs w:val="12"/>
                <w:color w:val="auto"/>
                <w:w w:val="71"/>
              </w:rPr>
              <w:t>Adjustments(1)........................</w:t>
            </w:r>
            <w:r>
              <w:rPr>
                <w:rFonts w:ascii="Courier New" w:cs="Courier New" w:eastAsia="Courier New" w:hAnsi="Courier New"/>
                <w:sz w:val="20"/>
                <w:szCs w:val="20"/>
                <w:color w:val="auto"/>
                <w:w w:val="71"/>
                <w:vertAlign w:val="subscript"/>
              </w:rPr>
              <w:t>-------</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22 (148) -- -- (126)</w:t>
            </w: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 ----</w:t>
            </w:r>
          </w:p>
        </w:tc>
        <w:tc>
          <w:tcPr>
            <w:tcW w:w="2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 Balance as of</w:t>
            </w:r>
          </w:p>
        </w:tc>
        <w:tc>
          <w:tcPr>
            <w:tcW w:w="0" w:type="dxa"/>
            <w:vAlign w:val="bottom"/>
          </w:tcPr>
          <w:p>
            <w:pPr>
              <w:spacing w:after="0"/>
              <w:rPr>
                <w:sz w:val="1"/>
                <w:szCs w:val="1"/>
                <w:color w:val="auto"/>
              </w:rPr>
            </w:pPr>
          </w:p>
        </w:tc>
      </w:tr>
      <w:tr>
        <w:trPr>
          <w:trHeight w:val="235"/>
        </w:trPr>
        <w:tc>
          <w:tcPr>
            <w:tcW w:w="23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1"/>
              </w:rPr>
              <w:t>September 30, 2003......</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$ 82 $ 3,194</w:t>
            </w:r>
          </w:p>
        </w:tc>
        <w:tc>
          <w:tcPr>
            <w:tcW w:w="0" w:type="dxa"/>
            <w:vAlign w:val="bottom"/>
          </w:tcPr>
          <w:p>
            <w:pPr>
              <w:spacing w:after="0"/>
              <w:rPr>
                <w:sz w:val="1"/>
                <w:szCs w:val="1"/>
                <w:color w:val="auto"/>
              </w:rPr>
            </w:pPr>
          </w:p>
        </w:tc>
      </w:tr>
    </w:tbl>
    <w:p>
      <w:pPr>
        <w:ind w:left="480" w:hanging="211"/>
        <w:spacing w:after="0" w:line="238" w:lineRule="auto"/>
        <w:tabs>
          <w:tab w:leader="none" w:pos="480"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$ 3,276 ======= =======</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37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20" w:right="1779" w:hanging="412"/>
        <w:spacing w:after="0" w:line="253" w:lineRule="auto"/>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differences in foreign exchange rates from balances paid in currencies other than the U.S. dollar of $21 that were credited to "interest income and other, net" and adjustments of $105 due to changes in previous estimates. These adjustments resulted in a decrease of restructuring liabilities related to facilities of $148 and an increase of restructuring liabilities related to employee separation costs of $43. The net amount was credited to "cost of service" and "selling, general and administrative" expenses.</w:t>
      </w:r>
    </w:p>
    <w:p>
      <w:pPr>
        <w:spacing w:after="0" w:line="104"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financial savings of these actions of approximately $30,000 quarterly commencing in the first quarter of fiscal 2003 is reflected as a reduction in operating expense. These cost savings may not be permanent as increased activity levels resulting from, among other factors, acquisitions, Managed Services agreements and increased revenue, may require an increase in headcount and other increased spending.</w:t>
      </w:r>
    </w:p>
    <w:p>
      <w:pPr>
        <w:spacing w:after="0" w:line="93"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In the first quarter of fiscal 2002, as part of a plan to achieve increased operational efficiency and to more closely monitor and reduce costs, the Company consolidated its Stamford, Connecticut data center into its Champaign, Illinois facility and closed the Stamford facility.</w:t>
      </w:r>
    </w:p>
    <w:p>
      <w:pPr>
        <w:spacing w:after="0" w:line="82"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The restructuring charge associated with this action and recorded in the first quarter of fiscal 2002 was $13,311. Approximately $5,996 of the total charge was paid in cash as of September 30, 2003. The remainder of the charge, comprised of facility related costs, is expected to be paid out through August 2008.</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Details of $13,311 Restructuring charge:</w:t>
      </w:r>
    </w:p>
    <w:p>
      <w:pPr>
        <w:spacing w:after="0" w:line="201" w:lineRule="exact"/>
        <w:rPr>
          <w:sz w:val="20"/>
          <w:szCs w:val="20"/>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Approximately $6,255 of the total restructuring charge related to facilities and represented rent obligations outstanding for the Stamford site. Approximately $4,126 of the total restructuring charge related to the write-off of leasehold improvements at the Stamford site that were abandoned. The Company also recorded a provision of $2,530 related to employee separation costs in connection with the termination of employment of 166 employees.</w:t>
      </w:r>
    </w:p>
    <w:p>
      <w:pPr>
        <w:spacing w:after="0" w:line="6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F-39</w:t>
      </w:r>
    </w:p>
    <w:p>
      <w:pPr>
        <w:sectPr>
          <w:pgSz w:w="11900" w:h="16838" w:orient="portrait"/>
          <w:cols w:equalWidth="0" w:num="1">
            <w:col w:w="10219"/>
          </w:cols>
          <w:pgMar w:left="240" w:top="488" w:right="1440" w:bottom="186" w:gutter="0" w:footer="0" w:header="0"/>
        </w:sectPr>
      </w:pPr>
    </w:p>
    <w:bookmarkStart w:id="116" w:name="page117"/>
    <w:bookmarkEnd w:id="11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restructuring charge related to the consolidation of the Stamford and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Champaign facilities is comprised of the following as of September 30, 2003:</w:t>
      </w:r>
    </w:p>
    <w:p>
      <w:pPr>
        <w:spacing w:after="0" w:line="169"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EMPLOYEE SEPARATION ASSET COSTS</w:t>
      </w:r>
    </w:p>
    <w:p>
      <w:pPr>
        <w:spacing w:after="0" w:line="29"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FACILITIES WRITE-OFFS OTHER TOTAL --</w:t>
      </w:r>
    </w:p>
    <w:tbl>
      <w:tblPr>
        <w:tblLayout w:type="fixed"/>
        <w:tblInd w:w="0" w:type="dxa"/>
        <w:tblCellMar>
          <w:top w:w="0" w:type="dxa"/>
          <w:left w:w="0" w:type="dxa"/>
          <w:bottom w:w="0" w:type="dxa"/>
          <w:right w:w="0" w:type="dxa"/>
        </w:tblCellMar>
      </w:tblPr>
      <w:tr>
        <w:trPr>
          <w:trHeight w:val="171"/>
        </w:trPr>
        <w:tc>
          <w:tcPr>
            <w:tcW w:w="840" w:type="dxa"/>
            <w:vAlign w:val="bottom"/>
          </w:tcPr>
          <w:p>
            <w:pPr>
              <w:ind w:left="60"/>
              <w:spacing w:after="0" w:line="170" w:lineRule="exact"/>
              <w:rPr>
                <w:sz w:val="20"/>
                <w:szCs w:val="20"/>
                <w:color w:val="auto"/>
              </w:rPr>
            </w:pPr>
            <w:r>
              <w:rPr>
                <w:rFonts w:ascii="Courier New" w:cs="Courier New" w:eastAsia="Courier New" w:hAnsi="Courier New"/>
                <w:sz w:val="18"/>
                <w:szCs w:val="18"/>
                <w:color w:val="auto"/>
                <w:w w:val="87"/>
              </w:rPr>
              <w:t>--------</w:t>
            </w:r>
          </w:p>
        </w:tc>
        <w:tc>
          <w:tcPr>
            <w:tcW w:w="300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 ---------- -----</w:t>
            </w:r>
          </w:p>
        </w:tc>
        <w:tc>
          <w:tcPr>
            <w:tcW w:w="0" w:type="dxa"/>
            <w:vAlign w:val="bottom"/>
          </w:tcPr>
          <w:p>
            <w:pPr>
              <w:spacing w:after="0"/>
              <w:rPr>
                <w:sz w:val="1"/>
                <w:szCs w:val="1"/>
                <w:color w:val="auto"/>
              </w:rPr>
            </w:pPr>
          </w:p>
        </w:tc>
      </w:tr>
      <w:tr>
        <w:trPr>
          <w:trHeight w:val="203"/>
        </w:trPr>
        <w:tc>
          <w:tcPr>
            <w:tcW w:w="840" w:type="dxa"/>
            <w:vAlign w:val="bottom"/>
            <w:vMerge w:val="restart"/>
          </w:tcPr>
          <w:p>
            <w:pPr>
              <w:ind w:left="60"/>
              <w:spacing w:after="0"/>
              <w:rPr>
                <w:sz w:val="20"/>
                <w:szCs w:val="20"/>
                <w:color w:val="auto"/>
              </w:rPr>
            </w:pPr>
            <w:r>
              <w:rPr>
                <w:rFonts w:ascii="Courier New" w:cs="Courier New" w:eastAsia="Courier New" w:hAnsi="Courier New"/>
                <w:sz w:val="10"/>
                <w:szCs w:val="10"/>
                <w:color w:val="auto"/>
                <w:w w:val="70"/>
              </w:rPr>
              <w:t>2001</w:t>
            </w:r>
            <w:r>
              <w:rPr>
                <w:rFonts w:ascii="Courier New" w:cs="Courier New" w:eastAsia="Courier New" w:hAnsi="Courier New"/>
                <w:sz w:val="13"/>
                <w:szCs w:val="13"/>
                <w:color w:val="auto"/>
                <w:w w:val="70"/>
                <w:vertAlign w:val="superscript"/>
              </w:rPr>
              <w:t>-------</w:t>
            </w:r>
            <w:r>
              <w:rPr>
                <w:rFonts w:ascii="Courier New" w:cs="Courier New" w:eastAsia="Courier New" w:hAnsi="Courier New"/>
                <w:sz w:val="10"/>
                <w:szCs w:val="10"/>
                <w:color w:val="auto"/>
                <w:w w:val="70"/>
              </w:rPr>
              <w:t>........</w:t>
            </w:r>
          </w:p>
        </w:tc>
        <w:tc>
          <w:tcPr>
            <w:tcW w:w="3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Balance as of October 1,</w:t>
            </w:r>
          </w:p>
        </w:tc>
        <w:tc>
          <w:tcPr>
            <w:tcW w:w="0" w:type="dxa"/>
            <w:vAlign w:val="bottom"/>
          </w:tcPr>
          <w:p>
            <w:pPr>
              <w:spacing w:after="0"/>
              <w:rPr>
                <w:sz w:val="1"/>
                <w:szCs w:val="1"/>
                <w:color w:val="auto"/>
              </w:rPr>
            </w:pPr>
          </w:p>
        </w:tc>
      </w:tr>
      <w:tr>
        <w:trPr>
          <w:trHeight w:val="203"/>
        </w:trPr>
        <w:tc>
          <w:tcPr>
            <w:tcW w:w="840" w:type="dxa"/>
            <w:vAlign w:val="bottom"/>
            <w:vMerge w:val="continue"/>
          </w:tcPr>
          <w:p>
            <w:pPr>
              <w:spacing w:after="0"/>
              <w:rPr>
                <w:sz w:val="17"/>
                <w:szCs w:val="17"/>
                <w:color w:val="auto"/>
              </w:rPr>
            </w:pP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 -- $ -- $ -- $ -</w:t>
            </w:r>
          </w:p>
        </w:tc>
        <w:tc>
          <w:tcPr>
            <w:tcW w:w="0" w:type="dxa"/>
            <w:vAlign w:val="bottom"/>
          </w:tcPr>
          <w:p>
            <w:pPr>
              <w:spacing w:after="0"/>
              <w:rPr>
                <w:sz w:val="1"/>
                <w:szCs w:val="1"/>
                <w:color w:val="auto"/>
              </w:rPr>
            </w:pPr>
          </w:p>
        </w:tc>
      </w:tr>
      <w:tr>
        <w:trPr>
          <w:trHeight w:val="296"/>
        </w:trPr>
        <w:tc>
          <w:tcPr>
            <w:tcW w:w="840" w:type="dxa"/>
            <w:vAlign w:val="bottom"/>
            <w:vMerge w:val="restart"/>
          </w:tcPr>
          <w:p>
            <w:pPr>
              <w:jc w:val="right"/>
              <w:ind w:right="30"/>
              <w:spacing w:after="0"/>
              <w:rPr>
                <w:sz w:val="20"/>
                <w:szCs w:val="20"/>
                <w:color w:val="auto"/>
              </w:rPr>
            </w:pPr>
            <w:r>
              <w:rPr>
                <w:rFonts w:ascii="Courier New" w:cs="Courier New" w:eastAsia="Courier New" w:hAnsi="Courier New"/>
                <w:sz w:val="18"/>
                <w:szCs w:val="18"/>
                <w:color w:val="auto"/>
                <w:w w:val="95"/>
              </w:rPr>
              <w:t>Charges</w:t>
            </w:r>
          </w:p>
        </w:tc>
        <w:tc>
          <w:tcPr>
            <w:tcW w:w="300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109"/>
        </w:trPr>
        <w:tc>
          <w:tcPr>
            <w:tcW w:w="840" w:type="dxa"/>
            <w:vAlign w:val="bottom"/>
            <w:vMerge w:val="continue"/>
          </w:tcPr>
          <w:p>
            <w:pPr>
              <w:jc w:val="right"/>
              <w:spacing w:after="0" w:line="85" w:lineRule="exact"/>
              <w:rPr>
                <w:sz w:val="20"/>
                <w:szCs w:val="20"/>
                <w:color w:val="auto"/>
              </w:rPr>
            </w:pPr>
            <w:r>
              <w:rPr>
                <w:rFonts w:ascii="Courier New" w:cs="Courier New" w:eastAsia="Courier New" w:hAnsi="Courier New"/>
                <w:sz w:val="9"/>
                <w:szCs w:val="9"/>
                <w:color w:val="auto"/>
              </w:rPr>
              <w:t>..............................</w:t>
            </w:r>
          </w:p>
        </w:tc>
        <w:tc>
          <w:tcPr>
            <w:tcW w:w="300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w w:val="97"/>
              </w:rPr>
              <w:t>6,255 4,126 400 13,311 Cash</w:t>
            </w:r>
          </w:p>
        </w:tc>
        <w:tc>
          <w:tcPr>
            <w:tcW w:w="0" w:type="dxa"/>
            <w:vAlign w:val="bottom"/>
          </w:tcPr>
          <w:p>
            <w:pPr>
              <w:spacing w:after="0"/>
              <w:rPr>
                <w:sz w:val="1"/>
                <w:szCs w:val="1"/>
                <w:color w:val="auto"/>
              </w:rPr>
            </w:pPr>
          </w:p>
        </w:tc>
      </w:tr>
      <w:tr>
        <w:trPr>
          <w:trHeight w:val="203"/>
        </w:trPr>
        <w:tc>
          <w:tcPr>
            <w:tcW w:w="840" w:type="dxa"/>
            <w:vAlign w:val="bottom"/>
          </w:tcPr>
          <w:p>
            <w:pPr>
              <w:jc w:val="right"/>
              <w:ind w:right="30"/>
              <w:spacing w:after="0" w:line="203" w:lineRule="exact"/>
              <w:rPr>
                <w:sz w:val="20"/>
                <w:szCs w:val="20"/>
                <w:color w:val="auto"/>
              </w:rPr>
            </w:pPr>
            <w:r>
              <w:rPr>
                <w:rFonts w:ascii="Courier New" w:cs="Courier New" w:eastAsia="Courier New" w:hAnsi="Courier New"/>
                <w:sz w:val="18"/>
                <w:szCs w:val="18"/>
                <w:color w:val="auto"/>
              </w:rPr>
              <w:t>2,530</w:t>
            </w:r>
          </w:p>
        </w:tc>
        <w:tc>
          <w:tcPr>
            <w:tcW w:w="3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payments........................</w:t>
            </w:r>
          </w:p>
        </w:tc>
        <w:tc>
          <w:tcPr>
            <w:tcW w:w="0" w:type="dxa"/>
            <w:vAlign w:val="bottom"/>
          </w:tcPr>
          <w:p>
            <w:pPr>
              <w:spacing w:after="0"/>
              <w:rPr>
                <w:sz w:val="1"/>
                <w:szCs w:val="1"/>
                <w:color w:val="auto"/>
              </w:rPr>
            </w:pPr>
          </w:p>
        </w:tc>
      </w:tr>
      <w:tr>
        <w:trPr>
          <w:trHeight w:val="203"/>
        </w:trPr>
        <w:tc>
          <w:tcPr>
            <w:tcW w:w="38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(2,473) (2,592) -- (5) (5,070) Non</w:t>
            </w:r>
          </w:p>
        </w:tc>
        <w:tc>
          <w:tcPr>
            <w:tcW w:w="0" w:type="dxa"/>
            <w:vAlign w:val="bottom"/>
          </w:tcPr>
          <w:p>
            <w:pPr>
              <w:spacing w:after="0"/>
              <w:rPr>
                <w:sz w:val="1"/>
                <w:szCs w:val="1"/>
                <w:color w:val="auto"/>
              </w:rPr>
            </w:pPr>
          </w:p>
        </w:tc>
      </w:tr>
      <w:tr>
        <w:trPr>
          <w:trHeight w:val="235"/>
        </w:trPr>
        <w:tc>
          <w:tcPr>
            <w:tcW w:w="840" w:type="dxa"/>
            <w:vAlign w:val="bottom"/>
          </w:tcPr>
          <w:p>
            <w:pPr>
              <w:ind w:left="60"/>
              <w:spacing w:after="0"/>
              <w:rPr>
                <w:sz w:val="20"/>
                <w:szCs w:val="20"/>
                <w:color w:val="auto"/>
              </w:rPr>
            </w:pPr>
            <w:r>
              <w:rPr>
                <w:rFonts w:ascii="Courier New" w:cs="Courier New" w:eastAsia="Courier New" w:hAnsi="Courier New"/>
                <w:sz w:val="5"/>
                <w:szCs w:val="5"/>
                <w:color w:val="auto"/>
                <w:w w:val="76"/>
              </w:rPr>
              <w:t>cash.............................</w:t>
            </w:r>
          </w:p>
        </w:tc>
        <w:tc>
          <w:tcPr>
            <w:tcW w:w="3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left="380" w:hanging="323"/>
        <w:spacing w:after="0" w:line="238" w:lineRule="auto"/>
        <w:tabs>
          <w:tab w:leader="none" w:pos="38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(4,126) -- (4,126) ------- ------</w:t>
      </w:r>
    </w:p>
    <w:p>
      <w:pPr>
        <w:jc w:val="both"/>
        <w:ind w:left="100" w:right="641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 ------- Balance as of September 30, 2002..... 57 3,663</w:t>
      </w:r>
    </w:p>
    <w:p>
      <w:pPr>
        <w:ind w:left="1380" w:hanging="323"/>
        <w:spacing w:after="0" w:line="238" w:lineRule="auto"/>
        <w:tabs>
          <w:tab w:leader="none" w:pos="1380"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395 4,115 Cash</w:t>
      </w:r>
    </w:p>
    <w:p>
      <w:pPr>
        <w:ind w:left="100"/>
        <w:spacing w:after="0"/>
        <w:rPr>
          <w:sz w:val="20"/>
          <w:szCs w:val="20"/>
          <w:color w:val="auto"/>
        </w:rPr>
      </w:pPr>
      <w:r>
        <w:rPr>
          <w:rFonts w:ascii="Courier New" w:cs="Courier New" w:eastAsia="Courier New" w:hAnsi="Courier New"/>
          <w:sz w:val="18"/>
          <w:szCs w:val="18"/>
          <w:color w:val="auto"/>
        </w:rPr>
        <w:t>payments........................ --</w:t>
      </w:r>
    </w:p>
    <w:p>
      <w:pPr>
        <w:ind w:left="1540" w:hanging="641"/>
        <w:spacing w:after="0" w:line="238" w:lineRule="auto"/>
        <w:tabs>
          <w:tab w:leader="none" w:pos="1540" w:val="left"/>
        </w:tabs>
        <w:numPr>
          <w:ilvl w:val="3"/>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(141) (926)</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Adjustments(1).......................</w:t>
      </w:r>
    </w:p>
    <w:p>
      <w:pPr>
        <w:ind w:left="580" w:hanging="523"/>
        <w:spacing w:after="0" w:line="238" w:lineRule="auto"/>
        <w:tabs>
          <w:tab w:leader="none" w:pos="580"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(168) -- (254) (479) ------- --</w:t>
      </w:r>
    </w:p>
    <w:p>
      <w:pPr>
        <w:jc w:val="both"/>
        <w:ind w:left="60" w:right="6379" w:firstLine="49"/>
        <w:spacing w:after="0" w:line="268" w:lineRule="auto"/>
        <w:tabs>
          <w:tab w:leader="none" w:pos="745" w:val="left"/>
        </w:tabs>
        <w:numPr>
          <w:ilvl w:val="2"/>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Balance as of September 30, 2003..... $ -- $</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2,710 $ -- $ -- $ 2,710 =======</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 ===== =======</w:t>
      </w:r>
    </w:p>
    <w:p>
      <w:pPr>
        <w:spacing w:after="0" w:line="37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20" w:right="1779" w:hanging="412"/>
        <w:spacing w:after="0" w:line="260" w:lineRule="auto"/>
        <w:tabs>
          <w:tab w:leader="none" w:pos="42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adjustments of $479 due to changes in previous estimates. These adjustments resulted in a decrease of restructuring liabilities related to facilities of $168, a decrease of restructuring liabilities related to employee separation costs of $57 and a decrease in other related costs of $254. The net amount was credited to "cost of service" and "selling, general and administrative" expenses.</w:t>
      </w:r>
    </w:p>
    <w:p>
      <w:pPr>
        <w:spacing w:after="0" w:line="93"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The operating costs related to the Stamford site that were eliminated were approximately $8,500 in its last quarter of activity.</w:t>
      </w:r>
    </w:p>
    <w:p>
      <w:pPr>
        <w:spacing w:after="0" w:line="18"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Actual future cash requirements may differ materially from the accrual as of September 30, 2003, particularly if actual sublease income differs significantly from current estimates.</w:t>
      </w:r>
    </w:p>
    <w:p>
      <w:pPr>
        <w:spacing w:after="0" w:line="66" w:lineRule="exact"/>
        <w:rPr>
          <w:sz w:val="20"/>
          <w:szCs w:val="20"/>
          <w:color w:val="auto"/>
        </w:rPr>
      </w:pPr>
    </w:p>
    <w:p>
      <w:pPr>
        <w:ind w:right="1999" w:firstLine="527"/>
        <w:spacing w:after="0" w:line="402" w:lineRule="auto"/>
        <w:rPr>
          <w:sz w:val="20"/>
          <w:szCs w:val="20"/>
          <w:color w:val="auto"/>
        </w:rPr>
      </w:pPr>
      <w:r>
        <w:rPr>
          <w:rFonts w:ascii="Courier New" w:cs="Courier New" w:eastAsia="Courier New" w:hAnsi="Courier New"/>
          <w:sz w:val="16"/>
          <w:szCs w:val="16"/>
          <w:color w:val="auto"/>
        </w:rPr>
        <w:t>These charges are included in "restructuring charges, in-process research and development and other" for the years ended September 30, 2003 and 2002.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22 -- FINANCIAL INSTRUMENTS</w:t>
      </w:r>
    </w:p>
    <w:p>
      <w:pPr>
        <w:spacing w:after="0" w:line="201"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The Company enters into forward contracts to purchase and sell foreign currencies to reduce the exposure associated with revenue denominated in a foreign currency and exposure associated with anticipated expenses (primarily personnel costs), in non-U.S. dollar-based currencies and designates these as cash flow hedges. The Company also may enter into forward contracts to sell foreign currency in order to hedge its exposure associated with some firm commitments from customers in non-U.S. dollar-based currencies and designates these for accounting purposes as fair value hedges. As of September 30, 2003, the Company had no outstanding fair value hedges. The derivative financial instruments are afforded hedge accounting because they are effective in managing foreign exchange risks and are appropriately assigned to the underlying exposures. The Company does not engage in currency speculation. The Company currently enters into forward exchange contracts exclusively with major financial institutions. Forward contracts, which are not designated as hedging instruments under SFAS No. 133, are used to offset the effect of exchange rates on certain assets and liabilities.</w:t>
      </w:r>
    </w:p>
    <w:p>
      <w:pPr>
        <w:spacing w:after="0" w:line="113"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hedges are evaluated for effectiveness at least quarterly. As the critical terms of the forward contract and the hedged transaction are matched at inception, the hedge effectiveness is assessed generally based on changes in forward rates for cash flow hedges as compared to the changes in the fair value of the cash flows associated with the underlying hedged transactions. The effective portion of the change in the fair value of forward exchange contracts, which are classified as cash flow hedges, is recorded as</w:t>
      </w:r>
    </w:p>
    <w:p>
      <w:pPr>
        <w:sectPr>
          <w:pgSz w:w="11900" w:h="16838" w:orient="portrait"/>
          <w:cols w:equalWidth="0" w:num="1">
            <w:col w:w="10219"/>
          </w:cols>
          <w:pgMar w:left="240" w:top="488" w:right="1440" w:bottom="0" w:gutter="0" w:footer="0" w:header="0"/>
        </w:sectPr>
      </w:pPr>
    </w:p>
    <w:bookmarkStart w:id="117" w:name="page118"/>
    <w:bookmarkEnd w:id="117"/>
    <w:p>
      <w:pPr>
        <w:ind w:left="2920"/>
        <w:spacing w:after="0"/>
        <w:rPr>
          <w:sz w:val="20"/>
          <w:szCs w:val="20"/>
          <w:color w:val="auto"/>
        </w:rPr>
      </w:pPr>
      <w:r>
        <w:rPr>
          <w:rFonts w:ascii="Courier New" w:cs="Courier New" w:eastAsia="Courier New" w:hAnsi="Courier New"/>
          <w:sz w:val="16"/>
          <w:szCs w:val="16"/>
          <w:color w:val="auto"/>
        </w:rPr>
        <w:t>F-40</w:t>
      </w:r>
    </w:p>
    <w:p>
      <w:pPr>
        <w:sectPr>
          <w:pgSz w:w="11900" w:h="16838" w:orient="portrait"/>
          <w:cols w:equalWidth="0" w:num="1">
            <w:col w:w="9019"/>
          </w:cols>
          <w:pgMar w:left="1440" w:top="312" w:right="1440" w:bottom="1440" w:gutter="0" w:footer="0" w:header="0"/>
        </w:sectPr>
      </w:pPr>
    </w:p>
    <w:bookmarkStart w:id="118" w:name="page119"/>
    <w:bookmarkEnd w:id="118"/>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comprehensive income until the underlying transaction is recognized in earnings. For fair value hedges, changes in the fair value of forward exchange contracts offset the change in the fair value of the hedged item to the extent of the arrangement's effectiveness. Any residual change in fair value of the forward contracts, such as time value, excluded from effectiveness testing for hedges of estimated receipts from customers, is recognized immediately in "interest income and other, net". Hedge ineffectiveness, if any, is also included in current period in earnings in "interest income and other, net".</w:t>
      </w:r>
    </w:p>
    <w:p>
      <w:pPr>
        <w:spacing w:after="0" w:line="104" w:lineRule="exact"/>
        <w:rPr>
          <w:sz w:val="20"/>
          <w:szCs w:val="20"/>
          <w:color w:val="auto"/>
        </w:rPr>
      </w:pPr>
    </w:p>
    <w:p>
      <w:pPr>
        <w:ind w:right="1999" w:firstLine="527"/>
        <w:spacing w:after="0" w:line="293" w:lineRule="auto"/>
        <w:rPr>
          <w:sz w:val="20"/>
          <w:szCs w:val="20"/>
          <w:color w:val="auto"/>
        </w:rPr>
      </w:pPr>
      <w:r>
        <w:rPr>
          <w:rFonts w:ascii="Courier New" w:cs="Courier New" w:eastAsia="Courier New" w:hAnsi="Courier New"/>
          <w:sz w:val="16"/>
          <w:szCs w:val="16"/>
          <w:color w:val="auto"/>
        </w:rPr>
        <w:t>The Company discontinues hedge accounting for a forward contract when (1) it is determined that the derivative is no longer effective in offsetting changes in the fair value of cash flows of hedged item; (2) the derivative matures or is terminated; (3) it is determined that the forecasted hedged transaction will no longer occur; (4) a hedged firm commitment no longer meets the definition of a firm commitment, or (5) management decides to remove the designation of the derivative as a hedging instrument.</w:t>
      </w:r>
    </w:p>
    <w:p>
      <w:pPr>
        <w:spacing w:after="0" w:line="72"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When hedge accounting is discontinued, and if the derivative remains outstanding, the Company will record the derivative at its fair value on the consolidated balance sheet, recognizing changes in the fair value in current period earnings in "interest income and other, net". When the Company discontinues hedge accounting because it is no longer probable that the forecasted transaction will occur, the gains and losses that were accumulated in other comprehensive income will be recognized immediately in earnings in "interest income and other, net".</w:t>
      </w:r>
    </w:p>
    <w:p>
      <w:pPr>
        <w:spacing w:after="0" w:line="104" w:lineRule="exact"/>
        <w:rPr>
          <w:sz w:val="20"/>
          <w:szCs w:val="20"/>
          <w:color w:val="auto"/>
        </w:rPr>
      </w:pPr>
    </w:p>
    <w:p>
      <w:pPr>
        <w:ind w:right="2619" w:firstLine="527"/>
        <w:spacing w:after="0" w:line="402" w:lineRule="auto"/>
        <w:rPr>
          <w:sz w:val="20"/>
          <w:szCs w:val="20"/>
          <w:color w:val="auto"/>
        </w:rPr>
      </w:pPr>
      <w:r>
        <w:rPr>
          <w:rFonts w:ascii="Courier New" w:cs="Courier New" w:eastAsia="Courier New" w:hAnsi="Courier New"/>
          <w:sz w:val="16"/>
          <w:szCs w:val="16"/>
          <w:color w:val="auto"/>
        </w:rPr>
        <w:t>The fair value of the open contracts recorded by the Company in its consolidated balance sheets as an asset or a liability is as follows:</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AS OF SEPTEMBER 30, ------------------- 2003</w:t>
      </w:r>
    </w:p>
    <w:p>
      <w:pPr>
        <w:spacing w:after="0" w:line="29"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2002 -------- -------- Prepaid expenses and</w:t>
      </w:r>
    </w:p>
    <w:p>
      <w:pPr>
        <w:jc w:val="center"/>
        <w:ind w:right="5059"/>
        <w:spacing w:after="0" w:line="238" w:lineRule="auto"/>
        <w:rPr>
          <w:sz w:val="20"/>
          <w:szCs w:val="20"/>
          <w:color w:val="auto"/>
        </w:rPr>
      </w:pPr>
      <w:r>
        <w:rPr>
          <w:rFonts w:ascii="Courier New" w:cs="Courier New" w:eastAsia="Courier New" w:hAnsi="Courier New"/>
          <w:sz w:val="18"/>
          <w:szCs w:val="18"/>
          <w:color w:val="auto"/>
        </w:rPr>
        <w:t>other current assets................... $ 7,447</w:t>
      </w:r>
    </w:p>
    <w:p>
      <w:pPr>
        <w:ind w:left="120" w:right="5159" w:firstLine="255"/>
        <w:spacing w:after="0" w:line="268" w:lineRule="auto"/>
        <w:tabs>
          <w:tab w:leader="none" w:pos="594"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1,165 Accrued expenses and other current liabilities............ (2,138) (8,290) -------</w:t>
      </w:r>
    </w:p>
    <w:p>
      <w:pPr>
        <w:ind w:left="1740"/>
        <w:spacing w:after="0"/>
        <w:rPr>
          <w:sz w:val="20"/>
          <w:szCs w:val="20"/>
          <w:color w:val="auto"/>
        </w:rPr>
      </w:pPr>
      <w:r>
        <w:rPr>
          <w:rFonts w:ascii="Courier New" w:cs="Courier New" w:eastAsia="Courier New" w:hAnsi="Courier New"/>
          <w:sz w:val="18"/>
          <w:szCs w:val="18"/>
          <w:color w:val="auto"/>
        </w:rPr>
        <w:t>------- Net fair</w:t>
      </w:r>
    </w:p>
    <w:p>
      <w:pPr>
        <w:spacing w:after="0" w:line="238" w:lineRule="auto"/>
        <w:rPr>
          <w:sz w:val="20"/>
          <w:szCs w:val="20"/>
          <w:color w:val="auto"/>
        </w:rPr>
      </w:pPr>
      <w:r>
        <w:rPr>
          <w:rFonts w:ascii="Courier New" w:cs="Courier New" w:eastAsia="Courier New" w:hAnsi="Courier New"/>
          <w:sz w:val="18"/>
          <w:szCs w:val="18"/>
          <w:color w:val="auto"/>
        </w:rPr>
        <w:t>value............................................</w:t>
      </w:r>
    </w:p>
    <w:p>
      <w:pPr>
        <w:ind w:left="900"/>
        <w:spacing w:after="0"/>
        <w:rPr>
          <w:sz w:val="20"/>
          <w:szCs w:val="20"/>
          <w:color w:val="auto"/>
        </w:rPr>
      </w:pPr>
      <w:r>
        <w:rPr>
          <w:rFonts w:ascii="Courier New" w:cs="Courier New" w:eastAsia="Courier New" w:hAnsi="Courier New"/>
          <w:sz w:val="18"/>
          <w:szCs w:val="18"/>
          <w:color w:val="auto"/>
        </w:rPr>
        <w:t>$ 5,309 $(7,125) ======= =======</w:t>
      </w:r>
    </w:p>
    <w:p>
      <w:pPr>
        <w:spacing w:after="0" w:line="372"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All forward contracts outstanding as of September 30, 2003 are expected to mature within the next twelve months.</w:t>
      </w:r>
    </w:p>
    <w:p>
      <w:pPr>
        <w:spacing w:after="0" w:line="18"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During fiscal years 2003 and 2002, the gains or losses recognized in earnings for hedge ineffectiveness, including the time value portion excluded from effectiveness testing, were not significant. During fiscal years 2003 and 2002 the Company recognized losses of $143 and $0, respectively for a hedged firm commitment that no longer qualified as a fair value hedge. During fiscal years 2003 and 2002, the Company recognized losses of $16 and $25, respectively resulting from hedged forecasted cash flows that no longer qualified as cash flow hedges.</w:t>
      </w:r>
    </w:p>
    <w:p>
      <w:pPr>
        <w:spacing w:after="0" w:line="104"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Derivatives gains and losses, that are included in other comprehensive income, are reclassified into earnings at the time the forecasted revenue or expenses are recognized. The Company estimates that a $3,489 net gain related to forward contracts that is included in other comprehensive income as of September 30, 2003 will be reclassified into earnings within the next twelve months. The amount ultimately realized in earnings will likely differ due to future changes in foreign exchange rates.</w:t>
      </w:r>
    </w:p>
    <w:p>
      <w:pPr>
        <w:spacing w:after="0" w:line="98"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Subsequent to the balance sheet date, the Company entered into material foreign exchange forward contracts for approximately $100,000 notional amount. These derivatives were designated as cash flow hedges, to hedge exposure to changes in foreign currency exchange rates associated with revenue denominated in a foreign currency, including long-term exposures.</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F-41</w:t>
      </w:r>
    </w:p>
    <w:p>
      <w:pPr>
        <w:sectPr>
          <w:pgSz w:w="11900" w:h="16838" w:orient="portrait"/>
          <w:cols w:equalWidth="0" w:num="1">
            <w:col w:w="10219"/>
          </w:cols>
          <w:pgMar w:left="240" w:top="488" w:right="1440" w:bottom="1440" w:gutter="0" w:footer="0" w:header="0"/>
        </w:sectPr>
      </w:pPr>
    </w:p>
    <w:bookmarkStart w:id="119" w:name="page120"/>
    <w:bookmarkEnd w:id="119"/>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23 -- SELECTED QUARTERLY RESULTS OF OPERATIONS (UNAUDITED)</w:t>
      </w:r>
    </w:p>
    <w:p>
      <w:pPr>
        <w:spacing w:after="0" w:line="201"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The following are details of the unaudited quarterly results of operations for the three months ended:</w:t>
      </w:r>
    </w:p>
    <w:p>
      <w:pPr>
        <w:spacing w:after="0" w:line="18"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8"/>
          <w:szCs w:val="18"/>
          <w:color w:val="auto"/>
        </w:rPr>
        <w:t>SEPTEMBER 30, JUNE 30, MARCH 31, DECEMBER</w:t>
      </w:r>
    </w:p>
    <w:p>
      <w:pPr>
        <w:spacing w:after="0" w:line="29"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8"/>
          <w:szCs w:val="18"/>
          <w:color w:val="auto"/>
        </w:rPr>
        <w:t>31, ------------- -------- --------- -------</w:t>
      </w:r>
    </w:p>
    <w:tbl>
      <w:tblPr>
        <w:tblLayout w:type="fixed"/>
        <w:tblInd w:w="0" w:type="dxa"/>
        <w:tblCellMar>
          <w:top w:w="0" w:type="dxa"/>
          <w:left w:w="0" w:type="dxa"/>
          <w:bottom w:w="0" w:type="dxa"/>
          <w:right w:w="0" w:type="dxa"/>
        </w:tblCellMar>
      </w:tblPr>
      <w:tr>
        <w:trPr>
          <w:trHeight w:val="296"/>
        </w:trPr>
        <w:tc>
          <w:tcPr>
            <w:tcW w:w="13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1"/>
              </w:rPr>
              <w:t>Revenue......................................</w:t>
            </w:r>
          </w:p>
        </w:tc>
        <w:tc>
          <w:tcPr>
            <w:tcW w:w="3320" w:type="dxa"/>
            <w:vAlign w:val="bottom"/>
            <w:gridSpan w:val="2"/>
          </w:tcPr>
          <w:p>
            <w:pPr>
              <w:jc w:val="right"/>
              <w:ind w:right="1552"/>
              <w:spacing w:after="0"/>
              <w:rPr>
                <w:sz w:val="20"/>
                <w:szCs w:val="20"/>
                <w:color w:val="auto"/>
              </w:rPr>
            </w:pPr>
            <w:r>
              <w:rPr>
                <w:rFonts w:ascii="Courier New" w:cs="Courier New" w:eastAsia="Courier New" w:hAnsi="Courier New"/>
                <w:sz w:val="18"/>
                <w:szCs w:val="18"/>
                <w:color w:val="auto"/>
              </w:rPr>
              <w:t>----- 2003(1)</w:t>
            </w:r>
          </w:p>
        </w:tc>
        <w:tc>
          <w:tcPr>
            <w:tcW w:w="0" w:type="dxa"/>
            <w:vAlign w:val="bottom"/>
          </w:tcPr>
          <w:p>
            <w:pPr>
              <w:spacing w:after="0"/>
              <w:rPr>
                <w:sz w:val="1"/>
                <w:szCs w:val="1"/>
                <w:color w:val="auto"/>
              </w:rPr>
            </w:pPr>
          </w:p>
        </w:tc>
      </w:tr>
      <w:tr>
        <w:trPr>
          <w:trHeight w:val="77"/>
        </w:trPr>
        <w:tc>
          <w:tcPr>
            <w:tcW w:w="1380" w:type="dxa"/>
            <w:vAlign w:val="bottom"/>
            <w:vMerge w:val="continue"/>
          </w:tcPr>
          <w:p>
            <w:pPr>
              <w:spacing w:after="0"/>
              <w:rPr>
                <w:sz w:val="6"/>
                <w:szCs w:val="6"/>
                <w:color w:val="auto"/>
              </w:rPr>
            </w:pPr>
          </w:p>
        </w:tc>
        <w:tc>
          <w:tcPr>
            <w:tcW w:w="3320" w:type="dxa"/>
            <w:vAlign w:val="bottom"/>
            <w:gridSpan w:val="2"/>
            <w:vMerge w:val="restart"/>
          </w:tcPr>
          <w:p>
            <w:pPr>
              <w:jc w:val="right"/>
              <w:ind w:right="392"/>
              <w:spacing w:after="0"/>
              <w:rPr>
                <w:sz w:val="20"/>
                <w:szCs w:val="20"/>
                <w:color w:val="auto"/>
              </w:rPr>
            </w:pPr>
            <w:r>
              <w:rPr>
                <w:rFonts w:ascii="Courier New" w:cs="Courier New" w:eastAsia="Courier New" w:hAnsi="Courier New"/>
                <w:sz w:val="18"/>
                <w:szCs w:val="18"/>
                <w:color w:val="auto"/>
              </w:rPr>
              <w:t>$377,168 $355,014 $339,386</w:t>
            </w:r>
          </w:p>
        </w:tc>
        <w:tc>
          <w:tcPr>
            <w:tcW w:w="0" w:type="dxa"/>
            <w:vAlign w:val="bottom"/>
          </w:tcPr>
          <w:p>
            <w:pPr>
              <w:spacing w:after="0"/>
              <w:rPr>
                <w:sz w:val="1"/>
                <w:szCs w:val="1"/>
                <w:color w:val="auto"/>
              </w:rPr>
            </w:pP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$411,759</w:t>
            </w:r>
          </w:p>
        </w:tc>
        <w:tc>
          <w:tcPr>
            <w:tcW w:w="3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1"/>
              </w:rPr>
              <w:t>income.............................</w:t>
            </w:r>
          </w:p>
        </w:tc>
        <w:tc>
          <w:tcPr>
            <w:tcW w:w="3320" w:type="dxa"/>
            <w:vAlign w:val="bottom"/>
            <w:gridSpan w:val="2"/>
          </w:tcPr>
          <w:p>
            <w:pPr>
              <w:jc w:val="center"/>
              <w:ind w:right="1232"/>
              <w:spacing w:after="0" w:line="203" w:lineRule="exact"/>
              <w:rPr>
                <w:sz w:val="20"/>
                <w:szCs w:val="20"/>
                <w:color w:val="auto"/>
              </w:rPr>
            </w:pPr>
            <w:r>
              <w:rPr>
                <w:rFonts w:ascii="Courier New" w:cs="Courier New" w:eastAsia="Courier New" w:hAnsi="Courier New"/>
                <w:sz w:val="18"/>
                <w:szCs w:val="18"/>
                <w:color w:val="auto"/>
                <w:w w:val="98"/>
              </w:rPr>
              <w:t>Operating</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56,167</w:t>
            </w:r>
          </w:p>
        </w:tc>
        <w:tc>
          <w:tcPr>
            <w:tcW w:w="0" w:type="dxa"/>
            <w:vAlign w:val="bottom"/>
          </w:tcPr>
          <w:p>
            <w:pPr>
              <w:spacing w:after="0"/>
              <w:rPr>
                <w:sz w:val="1"/>
                <w:szCs w:val="1"/>
                <w:color w:val="auto"/>
              </w:rPr>
            </w:pPr>
          </w:p>
        </w:tc>
      </w:tr>
      <w:tr>
        <w:trPr>
          <w:trHeight w:val="203"/>
        </w:trPr>
        <w:tc>
          <w:tcPr>
            <w:tcW w:w="47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59,982 56,314 37,955 Net</w:t>
            </w:r>
          </w:p>
        </w:tc>
        <w:tc>
          <w:tcPr>
            <w:tcW w:w="0" w:type="dxa"/>
            <w:vAlign w:val="bottom"/>
          </w:tcPr>
          <w:p>
            <w:pPr>
              <w:spacing w:after="0"/>
              <w:rPr>
                <w:sz w:val="1"/>
                <w:szCs w:val="1"/>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income...................................</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43,871 47,438 45,375 32,199 Basic earnings</w:t>
            </w:r>
          </w:p>
        </w:tc>
        <w:tc>
          <w:tcPr>
            <w:tcW w:w="0" w:type="dxa"/>
            <w:vAlign w:val="bottom"/>
          </w:tcPr>
          <w:p>
            <w:pPr>
              <w:spacing w:after="0"/>
              <w:rPr>
                <w:sz w:val="1"/>
                <w:szCs w:val="1"/>
                <w:color w:val="auto"/>
              </w:rPr>
            </w:pP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per share.....................</w:t>
            </w:r>
          </w:p>
        </w:tc>
        <w:tc>
          <w:tcPr>
            <w:tcW w:w="2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0.20 0.22</w:t>
            </w:r>
          </w:p>
        </w:tc>
        <w:tc>
          <w:tcPr>
            <w:tcW w:w="0" w:type="dxa"/>
            <w:vAlign w:val="bottom"/>
          </w:tcPr>
          <w:p>
            <w:pPr>
              <w:spacing w:after="0"/>
              <w:rPr>
                <w:sz w:val="1"/>
                <w:szCs w:val="1"/>
                <w:color w:val="auto"/>
              </w:rPr>
            </w:pPr>
          </w:p>
        </w:tc>
      </w:tr>
      <w:tr>
        <w:trPr>
          <w:trHeight w:val="203"/>
        </w:trPr>
        <w:tc>
          <w:tcPr>
            <w:tcW w:w="47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0.21 0.15 Diluted earnings per</w:t>
            </w:r>
          </w:p>
        </w:tc>
        <w:tc>
          <w:tcPr>
            <w:tcW w:w="0" w:type="dxa"/>
            <w:vAlign w:val="bottom"/>
          </w:tcPr>
          <w:p>
            <w:pPr>
              <w:spacing w:after="0"/>
              <w:rPr>
                <w:sz w:val="1"/>
                <w:szCs w:val="1"/>
                <w:color w:val="auto"/>
              </w:rPr>
            </w:pP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share...................</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0.20 0.21 0.21 0.15</w:t>
            </w:r>
          </w:p>
        </w:tc>
        <w:tc>
          <w:tcPr>
            <w:tcW w:w="0" w:type="dxa"/>
            <w:vAlign w:val="bottom"/>
          </w:tcPr>
          <w:p>
            <w:pPr>
              <w:spacing w:after="0"/>
              <w:rPr>
                <w:sz w:val="1"/>
                <w:szCs w:val="1"/>
                <w:color w:val="auto"/>
              </w:rPr>
            </w:pPr>
          </w:p>
        </w:tc>
      </w:tr>
      <w:tr>
        <w:trPr>
          <w:trHeight w:val="296"/>
        </w:trPr>
        <w:tc>
          <w:tcPr>
            <w:tcW w:w="13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1"/>
              </w:rPr>
              <w:t>Revenue......................................</w:t>
            </w:r>
          </w:p>
        </w:tc>
        <w:tc>
          <w:tcPr>
            <w:tcW w:w="3320" w:type="dxa"/>
            <w:vAlign w:val="bottom"/>
            <w:gridSpan w:val="2"/>
          </w:tcPr>
          <w:p>
            <w:pPr>
              <w:jc w:val="right"/>
              <w:ind w:right="1872"/>
              <w:spacing w:after="0"/>
              <w:rPr>
                <w:sz w:val="20"/>
                <w:szCs w:val="20"/>
                <w:color w:val="auto"/>
              </w:rPr>
            </w:pPr>
            <w:r>
              <w:rPr>
                <w:rFonts w:ascii="Courier New" w:cs="Courier New" w:eastAsia="Courier New" w:hAnsi="Courier New"/>
                <w:sz w:val="18"/>
                <w:szCs w:val="18"/>
                <w:color w:val="auto"/>
              </w:rPr>
              <w:t>2002(2)</w:t>
            </w:r>
          </w:p>
        </w:tc>
        <w:tc>
          <w:tcPr>
            <w:tcW w:w="0" w:type="dxa"/>
            <w:vAlign w:val="bottom"/>
          </w:tcPr>
          <w:p>
            <w:pPr>
              <w:spacing w:after="0"/>
              <w:rPr>
                <w:sz w:val="1"/>
                <w:szCs w:val="1"/>
                <w:color w:val="auto"/>
              </w:rPr>
            </w:pPr>
          </w:p>
        </w:tc>
      </w:tr>
      <w:tr>
        <w:trPr>
          <w:trHeight w:val="109"/>
        </w:trPr>
        <w:tc>
          <w:tcPr>
            <w:tcW w:w="1380" w:type="dxa"/>
            <w:vAlign w:val="bottom"/>
            <w:vMerge w:val="continue"/>
          </w:tcPr>
          <w:p>
            <w:pPr>
              <w:spacing w:after="0"/>
              <w:rPr>
                <w:sz w:val="9"/>
                <w:szCs w:val="9"/>
                <w:color w:val="auto"/>
              </w:rPr>
            </w:pPr>
          </w:p>
        </w:tc>
        <w:tc>
          <w:tcPr>
            <w:tcW w:w="3320" w:type="dxa"/>
            <w:vAlign w:val="bottom"/>
            <w:gridSpan w:val="2"/>
            <w:vMerge w:val="restart"/>
          </w:tcPr>
          <w:p>
            <w:pPr>
              <w:jc w:val="right"/>
              <w:ind w:right="392"/>
              <w:spacing w:after="0"/>
              <w:rPr>
                <w:sz w:val="20"/>
                <w:szCs w:val="20"/>
                <w:color w:val="auto"/>
              </w:rPr>
            </w:pPr>
            <w:r>
              <w:rPr>
                <w:rFonts w:ascii="Courier New" w:cs="Courier New" w:eastAsia="Courier New" w:hAnsi="Courier New"/>
                <w:sz w:val="18"/>
                <w:szCs w:val="18"/>
                <w:color w:val="auto"/>
              </w:rPr>
              <w:t>$380,135 $455,269 $422,641</w:t>
            </w:r>
          </w:p>
        </w:tc>
        <w:tc>
          <w:tcPr>
            <w:tcW w:w="0" w:type="dxa"/>
            <w:vAlign w:val="bottom"/>
          </w:tcPr>
          <w:p>
            <w:pPr>
              <w:spacing w:after="0"/>
              <w:rPr>
                <w:sz w:val="1"/>
                <w:szCs w:val="1"/>
                <w:color w:val="auto"/>
              </w:rPr>
            </w:pP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$355,520</w:t>
            </w:r>
          </w:p>
        </w:tc>
        <w:tc>
          <w:tcPr>
            <w:tcW w:w="3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3"/>
              </w:rPr>
              <w:t>income......................</w:t>
            </w:r>
          </w:p>
        </w:tc>
        <w:tc>
          <w:tcPr>
            <w:tcW w:w="3320" w:type="dxa"/>
            <w:vAlign w:val="bottom"/>
            <w:gridSpan w:val="2"/>
          </w:tcPr>
          <w:p>
            <w:pPr>
              <w:jc w:val="center"/>
              <w:ind w:right="1232"/>
              <w:spacing w:after="0" w:line="203" w:lineRule="exact"/>
              <w:rPr>
                <w:sz w:val="20"/>
                <w:szCs w:val="20"/>
                <w:color w:val="auto"/>
              </w:rPr>
            </w:pPr>
            <w:r>
              <w:rPr>
                <w:rFonts w:ascii="Courier New" w:cs="Courier New" w:eastAsia="Courier New" w:hAnsi="Courier New"/>
                <w:sz w:val="18"/>
                <w:szCs w:val="18"/>
                <w:color w:val="auto"/>
                <w:w w:val="97"/>
              </w:rPr>
              <w:t>Operating (loss)</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(25,385) 2,503</w:t>
            </w:r>
          </w:p>
        </w:tc>
        <w:tc>
          <w:tcPr>
            <w:tcW w:w="0" w:type="dxa"/>
            <w:vAlign w:val="bottom"/>
          </w:tcPr>
          <w:p>
            <w:pPr>
              <w:spacing w:after="0"/>
              <w:rPr>
                <w:sz w:val="1"/>
                <w:szCs w:val="1"/>
                <w:color w:val="auto"/>
              </w:rPr>
            </w:pPr>
          </w:p>
        </w:tc>
      </w:tr>
      <w:tr>
        <w:trPr>
          <w:trHeight w:val="203"/>
        </w:trPr>
        <w:tc>
          <w:tcPr>
            <w:tcW w:w="47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50,813 21,229 Net (loss)</w:t>
            </w:r>
          </w:p>
        </w:tc>
        <w:tc>
          <w:tcPr>
            <w:tcW w:w="0" w:type="dxa"/>
            <w:vAlign w:val="bottom"/>
          </w:tcPr>
          <w:p>
            <w:pPr>
              <w:spacing w:after="0"/>
              <w:rPr>
                <w:sz w:val="1"/>
                <w:szCs w:val="1"/>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income............................</w:t>
            </w:r>
          </w:p>
        </w:tc>
        <w:tc>
          <w:tcPr>
            <w:tcW w:w="2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(8,986)</w:t>
            </w:r>
          </w:p>
        </w:tc>
        <w:tc>
          <w:tcPr>
            <w:tcW w:w="0" w:type="dxa"/>
            <w:vAlign w:val="bottom"/>
          </w:tcPr>
          <w:p>
            <w:pPr>
              <w:spacing w:after="0"/>
              <w:rPr>
                <w:sz w:val="1"/>
                <w:szCs w:val="1"/>
                <w:color w:val="auto"/>
              </w:rPr>
            </w:pPr>
          </w:p>
        </w:tc>
      </w:tr>
      <w:tr>
        <w:trPr>
          <w:trHeight w:val="203"/>
        </w:trPr>
        <w:tc>
          <w:tcPr>
            <w:tcW w:w="47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(26,851) 26,441 4,334 Basic and diluted</w:t>
            </w:r>
          </w:p>
        </w:tc>
        <w:tc>
          <w:tcPr>
            <w:tcW w:w="0" w:type="dxa"/>
            <w:vAlign w:val="bottom"/>
          </w:tcPr>
          <w:p>
            <w:pPr>
              <w:spacing w:after="0"/>
              <w:rPr>
                <w:sz w:val="1"/>
                <w:szCs w:val="1"/>
                <w:color w:val="auto"/>
              </w:rPr>
            </w:pPr>
          </w:p>
        </w:tc>
      </w:tr>
      <w:tr>
        <w:trPr>
          <w:trHeight w:val="296"/>
        </w:trPr>
        <w:tc>
          <w:tcPr>
            <w:tcW w:w="13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7"/>
              </w:rPr>
              <w:t>share.....................................</w:t>
            </w:r>
          </w:p>
        </w:tc>
        <w:tc>
          <w:tcPr>
            <w:tcW w:w="3320" w:type="dxa"/>
            <w:vAlign w:val="bottom"/>
            <w:gridSpan w:val="2"/>
          </w:tcPr>
          <w:p>
            <w:pPr>
              <w:jc w:val="center"/>
              <w:ind w:right="1232"/>
              <w:spacing w:after="0"/>
              <w:rPr>
                <w:sz w:val="20"/>
                <w:szCs w:val="20"/>
                <w:color w:val="auto"/>
              </w:rPr>
            </w:pPr>
            <w:r>
              <w:rPr>
                <w:rFonts w:ascii="Courier New" w:cs="Courier New" w:eastAsia="Courier New" w:hAnsi="Courier New"/>
                <w:sz w:val="18"/>
                <w:szCs w:val="18"/>
                <w:color w:val="auto"/>
                <w:w w:val="97"/>
              </w:rPr>
              <w:t>(loss) earnings per</w:t>
            </w:r>
          </w:p>
        </w:tc>
        <w:tc>
          <w:tcPr>
            <w:tcW w:w="0" w:type="dxa"/>
            <w:vAlign w:val="bottom"/>
          </w:tcPr>
          <w:p>
            <w:pPr>
              <w:spacing w:after="0"/>
              <w:rPr>
                <w:sz w:val="1"/>
                <w:szCs w:val="1"/>
                <w:color w:val="auto"/>
              </w:rPr>
            </w:pPr>
          </w:p>
        </w:tc>
      </w:tr>
      <w:tr>
        <w:trPr>
          <w:trHeight w:val="109"/>
        </w:trPr>
        <w:tc>
          <w:tcPr>
            <w:tcW w:w="13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2120" w:type="dxa"/>
            <w:vAlign w:val="bottom"/>
            <w:vMerge w:val="restart"/>
          </w:tcPr>
          <w:p>
            <w:pPr>
              <w:jc w:val="right"/>
              <w:ind w:right="1032"/>
              <w:spacing w:after="0"/>
              <w:rPr>
                <w:sz w:val="20"/>
                <w:szCs w:val="20"/>
                <w:color w:val="auto"/>
              </w:rPr>
            </w:pPr>
            <w:r>
              <w:rPr>
                <w:rFonts w:ascii="Courier New" w:cs="Courier New" w:eastAsia="Courier New" w:hAnsi="Courier New"/>
                <w:sz w:val="18"/>
                <w:szCs w:val="18"/>
                <w:color w:val="auto"/>
              </w:rPr>
              <w:t>0.12 0.02</w:t>
            </w:r>
          </w:p>
        </w:tc>
        <w:tc>
          <w:tcPr>
            <w:tcW w:w="0" w:type="dxa"/>
            <w:vAlign w:val="bottom"/>
          </w:tcPr>
          <w:p>
            <w:pPr>
              <w:spacing w:after="0"/>
              <w:rPr>
                <w:sz w:val="1"/>
                <w:szCs w:val="1"/>
                <w:color w:val="auto"/>
              </w:rPr>
            </w:pPr>
          </w:p>
        </w:tc>
      </w:tr>
      <w:tr>
        <w:trPr>
          <w:trHeight w:val="296"/>
        </w:trPr>
        <w:tc>
          <w:tcPr>
            <w:tcW w:w="2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(0.04) (0.12)</w:t>
            </w:r>
          </w:p>
        </w:tc>
        <w:tc>
          <w:tcPr>
            <w:tcW w:w="2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right="1999" w:hanging="412"/>
        <w:spacing w:after="0" w:line="274" w:lineRule="auto"/>
        <w:tabs>
          <w:tab w:leader="none" w:pos="42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2003, the fiscal quarter ended December 31, 2002 included a restructuring charge of $9,956, and the fiscal quarter ended September 30, 2003 included a charge related to the Company's 10% share in Certen's pre-acquisition results of $4,133.</w:t>
      </w:r>
    </w:p>
    <w:p>
      <w:pPr>
        <w:spacing w:after="0" w:line="81" w:lineRule="exact"/>
        <w:rPr>
          <w:rFonts w:ascii="Courier New" w:cs="Courier New" w:eastAsia="Courier New" w:hAnsi="Courier New"/>
          <w:sz w:val="18"/>
          <w:szCs w:val="18"/>
          <w:color w:val="auto"/>
        </w:rPr>
      </w:pPr>
    </w:p>
    <w:p>
      <w:pPr>
        <w:ind w:left="420" w:right="1999" w:hanging="412"/>
        <w:spacing w:after="0" w:line="265" w:lineRule="auto"/>
        <w:tabs>
          <w:tab w:leader="none" w:pos="42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2002, the fiscal quarter ended December 31, 2001 included a restructuring charge and purchased in-process research and development expense of $13,311 and $17,400, respectively, and the fiscal quarter ended September 30, 2002 included a restructuring charge and gain from the repurchases of 2% Notes of $20,919 and $6,012, respectively.</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F-42</w:t>
      </w:r>
    </w:p>
    <w:p>
      <w:pPr>
        <w:sectPr>
          <w:pgSz w:w="11900" w:h="16838" w:orient="portrait"/>
          <w:cols w:equalWidth="0" w:num="1">
            <w:col w:w="10219"/>
          </w:cols>
          <w:pgMar w:left="240" w:top="488" w:right="1440" w:bottom="1440" w:gutter="0" w:footer="0" w:header="0"/>
        </w:sectPr>
      </w:pPr>
    </w:p>
    <w:bookmarkStart w:id="120" w:name="page121"/>
    <w:bookmarkEnd w:id="12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FINANCIAL STATEMENT SCHEDULE</w:t>
      </w:r>
    </w:p>
    <w:p>
      <w:pPr>
        <w:spacing w:after="0" w:line="2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VALUATION AND QUALIFYING ACCOUNTS</w:t>
      </w:r>
    </w:p>
    <w:p>
      <w:pPr>
        <w:jc w:val="center"/>
        <w:ind w:right="1779"/>
        <w:spacing w:after="0"/>
        <w:rPr>
          <w:sz w:val="20"/>
          <w:szCs w:val="20"/>
          <w:color w:val="auto"/>
        </w:rPr>
      </w:pPr>
      <w:r>
        <w:rPr>
          <w:rFonts w:ascii="Courier New" w:cs="Courier New" w:eastAsia="Courier New" w:hAnsi="Courier New"/>
          <w:sz w:val="18"/>
          <w:szCs w:val="18"/>
          <w:color w:val="auto"/>
        </w:rPr>
        <w:t>(DOLLARS IN THOUSANDS)</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ACCOUNTS VALUATION RECEIVABLE ALLOWANCES ON NET ALLOWANCES</w:t>
      </w:r>
    </w:p>
    <w:tbl>
      <w:tblPr>
        <w:tblLayout w:type="fixed"/>
        <w:tblInd w:w="120" w:type="dxa"/>
        <w:tblCellMar>
          <w:top w:w="0" w:type="dxa"/>
          <w:left w:w="0" w:type="dxa"/>
          <w:bottom w:w="0" w:type="dxa"/>
          <w:right w:w="0" w:type="dxa"/>
        </w:tblCellMar>
      </w:tblPr>
      <w:tr>
        <w:trPr>
          <w:trHeight w:val="201"/>
        </w:trPr>
        <w:tc>
          <w:tcPr>
            <w:tcW w:w="400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w w:val="98"/>
              </w:rPr>
              <w:t>DEFERRED TAX ASSETS -----------------</w:t>
            </w:r>
          </w:p>
        </w:tc>
        <w:tc>
          <w:tcPr>
            <w:tcW w:w="2100" w:type="dxa"/>
            <w:vAlign w:val="bottom"/>
            <w:gridSpan w:val="2"/>
          </w:tcPr>
          <w:p>
            <w:pPr>
              <w:jc w:val="right"/>
              <w:spacing w:after="0" w:line="201"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4900" w:type="dxa"/>
            <w:vAlign w:val="bottom"/>
            <w:gridSpan w:val="2"/>
          </w:tcPr>
          <w:p>
            <w:pPr>
              <w:jc w:val="center"/>
              <w:ind w:left="1112"/>
              <w:spacing w:after="0" w:line="203" w:lineRule="exact"/>
              <w:rPr>
                <w:sz w:val="20"/>
                <w:szCs w:val="20"/>
                <w:color w:val="auto"/>
              </w:rPr>
            </w:pPr>
            <w:r>
              <w:rPr>
                <w:rFonts w:ascii="Courier New" w:cs="Courier New" w:eastAsia="Courier New" w:hAnsi="Courier New"/>
                <w:sz w:val="18"/>
                <w:szCs w:val="18"/>
                <w:color w:val="auto"/>
                <w:w w:val="97"/>
              </w:rPr>
              <w:t>Balance as of October 1,</w:t>
            </w:r>
          </w:p>
        </w:tc>
        <w:tc>
          <w:tcPr>
            <w:tcW w:w="12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9"/>
              </w:rPr>
              <w:t>$ 16,743</w:t>
            </w:r>
          </w:p>
        </w:tc>
        <w:tc>
          <w:tcPr>
            <w:tcW w:w="0" w:type="dxa"/>
            <w:vAlign w:val="bottom"/>
          </w:tcPr>
          <w:p>
            <w:pPr>
              <w:spacing w:after="0"/>
              <w:rPr>
                <w:sz w:val="1"/>
                <w:szCs w:val="1"/>
                <w:color w:val="auto"/>
              </w:rPr>
            </w:pPr>
          </w:p>
        </w:tc>
      </w:tr>
      <w:tr>
        <w:trPr>
          <w:trHeight w:val="203"/>
        </w:trPr>
        <w:tc>
          <w:tcPr>
            <w:tcW w:w="4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$ 6,868</w:t>
            </w: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jc w:val="center"/>
              <w:ind w:left="1112"/>
              <w:spacing w:after="0" w:line="203" w:lineRule="exact"/>
              <w:rPr>
                <w:sz w:val="20"/>
                <w:szCs w:val="20"/>
                <w:color w:val="auto"/>
              </w:rPr>
            </w:pPr>
            <w:r>
              <w:rPr>
                <w:rFonts w:ascii="Courier New" w:cs="Courier New" w:eastAsia="Courier New" w:hAnsi="Courier New"/>
                <w:sz w:val="18"/>
                <w:szCs w:val="18"/>
                <w:color w:val="auto"/>
                <w:w w:val="97"/>
              </w:rPr>
              <w:t>Additions: Charged to costs and</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expenses.............................</w:t>
            </w:r>
          </w:p>
        </w:tc>
        <w:tc>
          <w:tcPr>
            <w:tcW w:w="2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-- 11,164 Charged to</w:t>
            </w:r>
          </w:p>
        </w:tc>
        <w:tc>
          <w:tcPr>
            <w:tcW w:w="0" w:type="dxa"/>
            <w:vAlign w:val="bottom"/>
          </w:tcPr>
          <w:p>
            <w:pPr>
              <w:spacing w:after="0"/>
              <w:rPr>
                <w:sz w:val="1"/>
                <w:szCs w:val="1"/>
                <w:color w:val="auto"/>
              </w:rPr>
            </w:pPr>
          </w:p>
        </w:tc>
      </w:tr>
      <w:tr>
        <w:trPr>
          <w:trHeight w:val="235"/>
        </w:trPr>
        <w:tc>
          <w:tcPr>
            <w:tcW w:w="49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revenue........................................</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899 --</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Deductions..................................................</w:t>
      </w:r>
    </w:p>
    <w:p>
      <w:pPr>
        <w:ind w:left="120"/>
        <w:spacing w:after="0"/>
        <w:rPr>
          <w:sz w:val="20"/>
          <w:szCs w:val="20"/>
          <w:color w:val="auto"/>
        </w:rPr>
      </w:pPr>
      <w:r>
        <w:rPr>
          <w:rFonts w:ascii="Courier New" w:cs="Courier New" w:eastAsia="Courier New" w:hAnsi="Courier New"/>
          <w:sz w:val="18"/>
          <w:szCs w:val="18"/>
          <w:color w:val="auto"/>
        </w:rPr>
        <w:t>(3,649) -- --------- --------- Balance as of September 30,</w:t>
      </w:r>
    </w:p>
    <w:tbl>
      <w:tblPr>
        <w:tblLayout w:type="fixed"/>
        <w:tblInd w:w="0" w:type="dxa"/>
        <w:tblCellMar>
          <w:top w:w="0" w:type="dxa"/>
          <w:left w:w="0" w:type="dxa"/>
          <w:bottom w:w="0" w:type="dxa"/>
          <w:right w:w="0" w:type="dxa"/>
        </w:tblCellMar>
      </w:tblPr>
      <w:tr>
        <w:trPr>
          <w:trHeight w:val="171"/>
        </w:trPr>
        <w:tc>
          <w:tcPr>
            <w:tcW w:w="274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w w:val="78"/>
              </w:rPr>
              <w:t>2001............................</w:t>
            </w:r>
          </w:p>
        </w:tc>
        <w:tc>
          <w:tcPr>
            <w:tcW w:w="3540" w:type="dxa"/>
            <w:vAlign w:val="bottom"/>
          </w:tcPr>
          <w:p>
            <w:pPr>
              <w:jc w:val="right"/>
              <w:ind w:right="72"/>
              <w:spacing w:after="0" w:line="170" w:lineRule="exact"/>
              <w:rPr>
                <w:sz w:val="20"/>
                <w:szCs w:val="20"/>
                <w:color w:val="auto"/>
              </w:rPr>
            </w:pPr>
            <w:r>
              <w:rPr>
                <w:rFonts w:ascii="Courier New" w:cs="Courier New" w:eastAsia="Courier New" w:hAnsi="Courier New"/>
                <w:sz w:val="18"/>
                <w:szCs w:val="18"/>
                <w:color w:val="auto"/>
              </w:rPr>
              <w:t>4,118 27,907 Additions:</w:t>
            </w:r>
          </w:p>
        </w:tc>
        <w:tc>
          <w:tcPr>
            <w:tcW w:w="0" w:type="dxa"/>
            <w:vAlign w:val="bottom"/>
          </w:tcPr>
          <w:p>
            <w:pPr>
              <w:spacing w:after="0"/>
              <w:rPr>
                <w:sz w:val="1"/>
                <w:szCs w:val="1"/>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Charged to costs and expenses.............................</w:t>
            </w:r>
          </w:p>
        </w:tc>
        <w:tc>
          <w:tcPr>
            <w:tcW w:w="0" w:type="dxa"/>
            <w:vAlign w:val="bottom"/>
          </w:tcPr>
          <w:p>
            <w:pPr>
              <w:spacing w:after="0"/>
              <w:rPr>
                <w:sz w:val="1"/>
                <w:szCs w:val="1"/>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 -- Charged to</w:t>
            </w:r>
          </w:p>
        </w:tc>
        <w:tc>
          <w:tcPr>
            <w:tcW w:w="0" w:type="dxa"/>
            <w:vAlign w:val="bottom"/>
          </w:tcPr>
          <w:p>
            <w:pPr>
              <w:spacing w:after="0"/>
              <w:rPr>
                <w:sz w:val="1"/>
                <w:szCs w:val="1"/>
                <w:color w:val="auto"/>
              </w:rPr>
            </w:pP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3"/>
                <w:szCs w:val="13"/>
                <w:color w:val="auto"/>
                <w:w w:val="74"/>
              </w:rPr>
              <w:t>revenue........................................</w:t>
            </w:r>
          </w:p>
        </w:tc>
        <w:tc>
          <w:tcPr>
            <w:tcW w:w="3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9,082 --</w:t>
            </w:r>
          </w:p>
        </w:tc>
        <w:tc>
          <w:tcPr>
            <w:tcW w:w="0" w:type="dxa"/>
            <w:vAlign w:val="bottom"/>
          </w:tcPr>
          <w:p>
            <w:pPr>
              <w:spacing w:after="0"/>
              <w:rPr>
                <w:sz w:val="1"/>
                <w:szCs w:val="1"/>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Charged to other accounts.................................</w:t>
            </w:r>
          </w:p>
        </w:tc>
        <w:tc>
          <w:tcPr>
            <w:tcW w:w="0" w:type="dxa"/>
            <w:vAlign w:val="bottom"/>
          </w:tcPr>
          <w:p>
            <w:pPr>
              <w:spacing w:after="0"/>
              <w:rPr>
                <w:sz w:val="1"/>
                <w:szCs w:val="1"/>
                <w:color w:val="auto"/>
              </w:rPr>
            </w:pPr>
          </w:p>
        </w:tc>
      </w:tr>
      <w:tr>
        <w:trPr>
          <w:trHeight w:val="203"/>
        </w:trPr>
        <w:tc>
          <w:tcPr>
            <w:tcW w:w="6280" w:type="dxa"/>
            <w:vAlign w:val="bottom"/>
            <w:gridSpan w:val="2"/>
          </w:tcPr>
          <w:p>
            <w:pPr>
              <w:jc w:val="right"/>
              <w:ind w:right="2392"/>
              <w:spacing w:after="0" w:line="203" w:lineRule="exact"/>
              <w:rPr>
                <w:sz w:val="20"/>
                <w:szCs w:val="20"/>
                <w:color w:val="auto"/>
              </w:rPr>
            </w:pPr>
            <w:r>
              <w:rPr>
                <w:rFonts w:ascii="Courier New" w:cs="Courier New" w:eastAsia="Courier New" w:hAnsi="Courier New"/>
                <w:sz w:val="18"/>
                <w:szCs w:val="18"/>
                <w:color w:val="auto"/>
              </w:rPr>
              <w:t>13,777(1) --</w:t>
            </w:r>
          </w:p>
        </w:tc>
        <w:tc>
          <w:tcPr>
            <w:tcW w:w="0" w:type="dxa"/>
            <w:vAlign w:val="bottom"/>
          </w:tcPr>
          <w:p>
            <w:pPr>
              <w:spacing w:after="0"/>
              <w:rPr>
                <w:sz w:val="1"/>
                <w:szCs w:val="1"/>
                <w:color w:val="auto"/>
              </w:rPr>
            </w:pP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0"/>
                <w:szCs w:val="10"/>
                <w:color w:val="auto"/>
                <w:w w:val="75"/>
              </w:rPr>
              <w:t>Deductions..................................................</w:t>
            </w:r>
          </w:p>
        </w:tc>
        <w:tc>
          <w:tcPr>
            <w:tcW w:w="3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7"/>
              </w:rPr>
              <w:t>--------- Balance as of September</w:t>
            </w:r>
          </w:p>
        </w:tc>
        <w:tc>
          <w:tcPr>
            <w:tcW w:w="0" w:type="dxa"/>
            <w:vAlign w:val="bottom"/>
          </w:tcPr>
          <w:p>
            <w:pPr>
              <w:spacing w:after="0"/>
              <w:rPr>
                <w:sz w:val="1"/>
                <w:szCs w:val="1"/>
                <w:color w:val="auto"/>
              </w:rPr>
            </w:pPr>
          </w:p>
        </w:tc>
      </w:tr>
      <w:tr>
        <w:trPr>
          <w:trHeight w:val="203"/>
        </w:trPr>
        <w:tc>
          <w:tcPr>
            <w:tcW w:w="274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(737) (17,203) ---------</w:t>
            </w:r>
          </w:p>
        </w:tc>
        <w:tc>
          <w:tcPr>
            <w:tcW w:w="3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8"/>
              </w:rPr>
              <w:t>30, 2002............................</w:t>
            </w:r>
          </w:p>
        </w:tc>
        <w:tc>
          <w:tcPr>
            <w:tcW w:w="3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26,240 10,704</w:t>
            </w:r>
          </w:p>
        </w:tc>
        <w:tc>
          <w:tcPr>
            <w:tcW w:w="0" w:type="dxa"/>
            <w:vAlign w:val="bottom"/>
          </w:tcPr>
          <w:p>
            <w:pPr>
              <w:spacing w:after="0"/>
              <w:rPr>
                <w:sz w:val="1"/>
                <w:szCs w:val="1"/>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Additions: Charged to costs and</w:t>
            </w:r>
          </w:p>
        </w:tc>
        <w:tc>
          <w:tcPr>
            <w:tcW w:w="0" w:type="dxa"/>
            <w:vAlign w:val="bottom"/>
          </w:tcPr>
          <w:p>
            <w:pPr>
              <w:spacing w:after="0"/>
              <w:rPr>
                <w:sz w:val="1"/>
                <w:szCs w:val="1"/>
                <w:color w:val="auto"/>
              </w:rPr>
            </w:pP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6"/>
              </w:rPr>
              <w:t>expenses.............................</w:t>
            </w:r>
          </w:p>
        </w:tc>
        <w:tc>
          <w:tcPr>
            <w:tcW w:w="3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 Charged to</w:t>
            </w:r>
          </w:p>
        </w:tc>
        <w:tc>
          <w:tcPr>
            <w:tcW w:w="0" w:type="dxa"/>
            <w:vAlign w:val="bottom"/>
          </w:tcPr>
          <w:p>
            <w:pPr>
              <w:spacing w:after="0"/>
              <w:rPr>
                <w:sz w:val="1"/>
                <w:szCs w:val="1"/>
                <w:color w:val="auto"/>
              </w:rPr>
            </w:pP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3"/>
                <w:szCs w:val="13"/>
                <w:color w:val="auto"/>
                <w:w w:val="74"/>
              </w:rPr>
              <w:t>revenue........................................</w:t>
            </w:r>
          </w:p>
        </w:tc>
        <w:tc>
          <w:tcPr>
            <w:tcW w:w="3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17,585 --</w:t>
            </w:r>
          </w:p>
        </w:tc>
        <w:tc>
          <w:tcPr>
            <w:tcW w:w="0" w:type="dxa"/>
            <w:vAlign w:val="bottom"/>
          </w:tcPr>
          <w:p>
            <w:pPr>
              <w:spacing w:after="0"/>
              <w:rPr>
                <w:sz w:val="1"/>
                <w:szCs w:val="1"/>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Charged to other accounts.................................</w:t>
            </w:r>
          </w:p>
        </w:tc>
        <w:tc>
          <w:tcPr>
            <w:tcW w:w="0" w:type="dxa"/>
            <w:vAlign w:val="bottom"/>
          </w:tcPr>
          <w:p>
            <w:pPr>
              <w:spacing w:after="0"/>
              <w:rPr>
                <w:sz w:val="1"/>
                <w:szCs w:val="1"/>
                <w:color w:val="auto"/>
              </w:rPr>
            </w:pPr>
          </w:p>
        </w:tc>
      </w:tr>
      <w:tr>
        <w:trPr>
          <w:trHeight w:val="203"/>
        </w:trPr>
        <w:tc>
          <w:tcPr>
            <w:tcW w:w="6280" w:type="dxa"/>
            <w:vAlign w:val="bottom"/>
            <w:gridSpan w:val="2"/>
          </w:tcPr>
          <w:p>
            <w:pPr>
              <w:jc w:val="right"/>
              <w:ind w:right="2452"/>
              <w:spacing w:after="0" w:line="203" w:lineRule="exact"/>
              <w:rPr>
                <w:sz w:val="20"/>
                <w:szCs w:val="20"/>
                <w:color w:val="auto"/>
              </w:rPr>
            </w:pPr>
            <w:r>
              <w:rPr>
                <w:rFonts w:ascii="Courier New" w:cs="Courier New" w:eastAsia="Courier New" w:hAnsi="Courier New"/>
                <w:sz w:val="18"/>
                <w:szCs w:val="18"/>
                <w:color w:val="auto"/>
              </w:rPr>
              <w:t>-- 2,578(2)</w:t>
            </w:r>
          </w:p>
        </w:tc>
        <w:tc>
          <w:tcPr>
            <w:tcW w:w="0" w:type="dxa"/>
            <w:vAlign w:val="bottom"/>
          </w:tcPr>
          <w:p>
            <w:pPr>
              <w:spacing w:after="0"/>
              <w:rPr>
                <w:sz w:val="1"/>
                <w:szCs w:val="1"/>
                <w:color w:val="auto"/>
              </w:rPr>
            </w:pP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9"/>
                <w:szCs w:val="9"/>
                <w:color w:val="auto"/>
                <w:w w:val="74"/>
              </w:rPr>
              <w:t>Deductions..................................................</w:t>
            </w:r>
            <w:r>
              <w:rPr>
                <w:rFonts w:ascii="Courier New" w:cs="Courier New" w:eastAsia="Courier New" w:hAnsi="Courier New"/>
                <w:sz w:val="12"/>
                <w:szCs w:val="12"/>
                <w:color w:val="auto"/>
                <w:w w:val="74"/>
                <w:vertAlign w:val="subscript"/>
              </w:rPr>
              <w:t>---------</w:t>
            </w:r>
          </w:p>
        </w:tc>
        <w:tc>
          <w:tcPr>
            <w:tcW w:w="35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Balance as of</w:t>
            </w:r>
          </w:p>
        </w:tc>
        <w:tc>
          <w:tcPr>
            <w:tcW w:w="0" w:type="dxa"/>
            <w:vAlign w:val="bottom"/>
          </w:tcPr>
          <w:p>
            <w:pPr>
              <w:spacing w:after="0"/>
              <w:rPr>
                <w:sz w:val="1"/>
                <w:szCs w:val="1"/>
                <w:color w:val="auto"/>
              </w:rPr>
            </w:pPr>
          </w:p>
        </w:tc>
      </w:tr>
      <w:tr>
        <w:trPr>
          <w:trHeight w:val="203"/>
        </w:trPr>
        <w:tc>
          <w:tcPr>
            <w:tcW w:w="2740" w:type="dxa"/>
            <w:vAlign w:val="bottom"/>
          </w:tcPr>
          <w:p>
            <w:pPr>
              <w:jc w:val="right"/>
              <w:ind w:right="81"/>
              <w:spacing w:after="0" w:line="203" w:lineRule="exact"/>
              <w:rPr>
                <w:sz w:val="20"/>
                <w:szCs w:val="20"/>
                <w:color w:val="auto"/>
              </w:rPr>
            </w:pPr>
            <w:r>
              <w:rPr>
                <w:rFonts w:ascii="Courier New" w:cs="Courier New" w:eastAsia="Courier New" w:hAnsi="Courier New"/>
                <w:sz w:val="18"/>
                <w:szCs w:val="18"/>
                <w:color w:val="auto"/>
              </w:rPr>
              <w:t>(25,807)(3) (13,282)(4)</w:t>
            </w:r>
          </w:p>
        </w:tc>
        <w:tc>
          <w:tcPr>
            <w:tcW w:w="3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740" w:type="dxa"/>
            <w:vAlign w:val="bottom"/>
          </w:tcPr>
          <w:p>
            <w:pPr>
              <w:jc w:val="right"/>
              <w:spacing w:after="0"/>
              <w:rPr>
                <w:sz w:val="20"/>
                <w:szCs w:val="20"/>
                <w:color w:val="auto"/>
              </w:rPr>
            </w:pPr>
            <w:r>
              <w:rPr>
                <w:rFonts w:ascii="Courier New" w:cs="Courier New" w:eastAsia="Courier New" w:hAnsi="Courier New"/>
                <w:sz w:val="14"/>
                <w:szCs w:val="14"/>
                <w:color w:val="auto"/>
                <w:w w:val="70"/>
              </w:rPr>
              <w:t>September 30, 2003............................</w:t>
            </w:r>
          </w:p>
        </w:tc>
        <w:tc>
          <w:tcPr>
            <w:tcW w:w="3540" w:type="dxa"/>
            <w:vAlign w:val="bottom"/>
          </w:tcPr>
          <w:p>
            <w:pPr>
              <w:jc w:val="right"/>
              <w:spacing w:after="0"/>
              <w:rPr>
                <w:sz w:val="20"/>
                <w:szCs w:val="20"/>
                <w:color w:val="auto"/>
              </w:rPr>
            </w:pPr>
            <w:r>
              <w:rPr>
                <w:rFonts w:ascii="Courier New" w:cs="Courier New" w:eastAsia="Courier New" w:hAnsi="Courier New"/>
                <w:sz w:val="18"/>
                <w:szCs w:val="18"/>
                <w:color w:val="auto"/>
              </w:rPr>
              <w:t>$ 18,018 $ -</w:t>
            </w:r>
          </w:p>
        </w:tc>
        <w:tc>
          <w:tcPr>
            <w:tcW w:w="0" w:type="dxa"/>
            <w:vAlign w:val="bottom"/>
          </w:tcPr>
          <w:p>
            <w:pPr>
              <w:spacing w:after="0"/>
              <w:rPr>
                <w:sz w:val="1"/>
                <w:szCs w:val="1"/>
                <w:color w:val="auto"/>
              </w:rPr>
            </w:pPr>
          </w:p>
        </w:tc>
      </w:tr>
    </w:tbl>
    <w:p>
      <w:pPr>
        <w:ind w:left="2060"/>
        <w:spacing w:after="0"/>
        <w:rPr>
          <w:sz w:val="20"/>
          <w:szCs w:val="20"/>
          <w:color w:val="auto"/>
        </w:rPr>
      </w:pPr>
      <w:r>
        <w:rPr>
          <w:rFonts w:ascii="Courier New" w:cs="Courier New" w:eastAsia="Courier New" w:hAnsi="Courier New"/>
          <w:sz w:val="18"/>
          <w:szCs w:val="18"/>
          <w:color w:val="auto"/>
        </w:rPr>
        <w:t>- ========= =========</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right="2619" w:hanging="412"/>
        <w:spacing w:after="0" w:line="347"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receivable allowance acquired as part of the acquisition of Clarify.</w:t>
      </w:r>
    </w:p>
    <w:p>
      <w:pPr>
        <w:spacing w:after="0" w:line="18" w:lineRule="exact"/>
        <w:rPr>
          <w:rFonts w:ascii="Courier New" w:cs="Courier New" w:eastAsia="Courier New" w:hAnsi="Courier New"/>
          <w:sz w:val="18"/>
          <w:szCs w:val="18"/>
          <w:color w:val="auto"/>
        </w:rPr>
      </w:pPr>
    </w:p>
    <w:p>
      <w:pPr>
        <w:ind w:left="420" w:right="2199" w:hanging="412"/>
        <w:spacing w:after="0" w:line="347"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valuation allowances on net deferred tax assets incurred during fiscal 2003.</w:t>
      </w:r>
    </w:p>
    <w:p>
      <w:pPr>
        <w:spacing w:after="0" w:line="18" w:lineRule="exact"/>
        <w:rPr>
          <w:rFonts w:ascii="Courier New" w:cs="Courier New" w:eastAsia="Courier New" w:hAnsi="Courier New"/>
          <w:sz w:val="18"/>
          <w:szCs w:val="18"/>
          <w:color w:val="auto"/>
        </w:rPr>
      </w:pPr>
    </w:p>
    <w:p>
      <w:pPr>
        <w:ind w:left="420" w:right="2519" w:hanging="412"/>
        <w:spacing w:after="0" w:line="292"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accounts receivable allowance eliminated as a result of the acquisition of Certen and write-off of accounts receivable previously reserved.</w:t>
      </w:r>
    </w:p>
    <w:p>
      <w:pPr>
        <w:spacing w:after="0" w:line="6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 of valuation allowance.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F-43</w:t>
      </w:r>
    </w:p>
    <w:p>
      <w:pPr>
        <w:sectPr>
          <w:pgSz w:w="11900" w:h="16838" w:orient="portrait"/>
          <w:cols w:equalWidth="0" w:num="1">
            <w:col w:w="10219"/>
          </w:cols>
          <w:pgMar w:left="240" w:top="690"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8"/>
          <w:szCs w:val="18"/>
          <w:color w:val="auto"/>
        </w:rPr>
        <w:t>Deloitte &amp; Touche, LLP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Assurance and Advisory Services</w:t>
      </w:r>
    </w:p>
    <w:p>
      <w:pPr>
        <w:spacing w:after="0" w:line="238" w:lineRule="auto"/>
        <w:rPr>
          <w:sz w:val="20"/>
          <w:szCs w:val="20"/>
          <w:color w:val="auto"/>
        </w:rPr>
      </w:pPr>
      <w:r>
        <w:rPr>
          <w:rFonts w:ascii="Courier New" w:cs="Courier New" w:eastAsia="Courier New" w:hAnsi="Courier New"/>
          <w:sz w:val="18"/>
          <w:szCs w:val="18"/>
          <w:color w:val="auto"/>
        </w:rPr>
        <w:t>1 Place Ville-Marie</w:t>
      </w:r>
    </w:p>
    <w:p>
      <w:pPr>
        <w:spacing w:after="0"/>
        <w:rPr>
          <w:sz w:val="20"/>
          <w:szCs w:val="20"/>
          <w:color w:val="auto"/>
        </w:rPr>
      </w:pPr>
      <w:r>
        <w:rPr>
          <w:rFonts w:ascii="Courier New" w:cs="Courier New" w:eastAsia="Courier New" w:hAnsi="Courier New"/>
          <w:sz w:val="18"/>
          <w:szCs w:val="18"/>
          <w:color w:val="auto"/>
        </w:rPr>
        <w:t>Suite 3000</w:t>
      </w:r>
    </w:p>
    <w:p>
      <w:pPr>
        <w:spacing w:after="0" w:line="238" w:lineRule="auto"/>
        <w:rPr>
          <w:sz w:val="20"/>
          <w:szCs w:val="20"/>
          <w:color w:val="auto"/>
        </w:rPr>
      </w:pPr>
      <w:r>
        <w:rPr>
          <w:rFonts w:ascii="Courier New" w:cs="Courier New" w:eastAsia="Courier New" w:hAnsi="Courier New"/>
          <w:sz w:val="18"/>
          <w:szCs w:val="18"/>
          <w:color w:val="auto"/>
        </w:rPr>
        <w:t>Montreal QC H3B 4T9</w:t>
      </w:r>
    </w:p>
    <w:p>
      <w:pPr>
        <w:spacing w:after="0"/>
        <w:rPr>
          <w:sz w:val="20"/>
          <w:szCs w:val="20"/>
          <w:color w:val="auto"/>
        </w:rPr>
      </w:pPr>
      <w:r>
        <w:rPr>
          <w:rFonts w:ascii="Courier New" w:cs="Courier New" w:eastAsia="Courier New" w:hAnsi="Courier New"/>
          <w:sz w:val="18"/>
          <w:szCs w:val="18"/>
          <w:color w:val="auto"/>
        </w:rPr>
        <w:t>Canada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 (514) 393-7115</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Fax: (514) 390-4113</w:t>
      </w:r>
    </w:p>
    <w:p>
      <w:pPr>
        <w:spacing w:after="0" w:line="238" w:lineRule="auto"/>
        <w:rPr>
          <w:sz w:val="20"/>
          <w:szCs w:val="20"/>
          <w:color w:val="auto"/>
        </w:rPr>
      </w:pPr>
      <w:r>
        <w:rPr>
          <w:rFonts w:ascii="Courier New" w:cs="Courier New" w:eastAsia="Courier New" w:hAnsi="Courier New"/>
          <w:sz w:val="18"/>
          <w:szCs w:val="18"/>
          <w:color w:val="auto"/>
        </w:rPr>
        <w:t>www.deloitte.ca</w:t>
      </w:r>
    </w:p>
    <w:p>
      <w:pPr>
        <w:jc w:val="right"/>
        <w:ind w:right="1779"/>
        <w:spacing w:after="0"/>
        <w:rPr>
          <w:sz w:val="20"/>
          <w:szCs w:val="20"/>
          <w:color w:val="auto"/>
        </w:rPr>
      </w:pPr>
      <w:r>
        <w:rPr>
          <w:rFonts w:ascii="Courier New" w:cs="Courier New" w:eastAsia="Courier New" w:hAnsi="Courier New"/>
          <w:sz w:val="18"/>
          <w:szCs w:val="18"/>
          <w:color w:val="auto"/>
        </w:rPr>
        <w:t>(DELOITTE &amp; TOUCHE LOGO)</w:t>
      </w:r>
    </w:p>
    <w:p>
      <w:pPr>
        <w:spacing w:after="0" w:line="16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INDEPENDENT AUDITORS' REPORT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of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Certen Inc.</w:t>
      </w:r>
    </w:p>
    <w:p>
      <w:pPr>
        <w:spacing w:after="0" w:line="169"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We have audited the balance sheet of Certen Inc. as at December 31, 2001 and 2002 and the statements of operations and retained earnings and cash flows for the years then ended. These financial statements are the responsibility of the Company's management. Our responsibility is to express an opinion on these financial statements based on our audits.</w:t>
      </w:r>
    </w:p>
    <w:p>
      <w:pPr>
        <w:spacing w:after="0" w:line="90"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We conducted our audits in accordance with Canadian generally accepted auditing standards and auditing standards generally accepted in the United States of America. These standards require that we plan and perform an audit to obtain reasonable assurance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4"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In our opinion, these financial statements present fairly, in all material respects, the financial position of the Company as at December 31, 2001 and 2002 and the results of its operations and its cash flows for the years then ended in accordance with Canadian generally accepted accounting principles.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Chartered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19, 2003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2, 2003 as to Note 17)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TOUCHE TOHMATSU LOGO)</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F-44</w:t>
      </w:r>
    </w:p>
    <w:p>
      <w:pPr>
        <w:sectPr>
          <w:pgSz w:w="11900" w:h="16838" w:orient="portrait"/>
          <w:cols w:equalWidth="0" w:num="1">
            <w:col w:w="10219"/>
          </w:cols>
          <w:pgMar w:left="240" w:top="691" w:right="1440" w:bottom="1440" w:gutter="0" w:footer="0" w:header="0"/>
        </w:sectPr>
      </w:pPr>
    </w:p>
    <w:bookmarkStart w:id="122" w:name="page123"/>
    <w:bookmarkEnd w:id="122"/>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STATEMENT OF OPERATIONS AND RETAINED EARNINGS YEAR ENDED DECEMBER 31, 2002</w:t>
      </w:r>
    </w:p>
    <w:p>
      <w:pPr>
        <w:spacing w:after="0" w:line="5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OF DOLLARS)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2002 2001 -----------</w:t>
            </w:r>
          </w:p>
        </w:tc>
        <w:tc>
          <w:tcPr>
            <w:tcW w:w="4000" w:type="dxa"/>
            <w:vAlign w:val="bottom"/>
            <w:gridSpan w:val="3"/>
          </w:tcPr>
          <w:p>
            <w:pPr>
              <w:ind w:left="320"/>
              <w:spacing w:after="0"/>
              <w:rPr>
                <w:sz w:val="20"/>
                <w:szCs w:val="20"/>
                <w:color w:val="auto"/>
              </w:rPr>
            </w:pPr>
            <w:r>
              <w:rPr>
                <w:rFonts w:ascii="Courier New" w:cs="Courier New" w:eastAsia="Courier New" w:hAnsi="Courier New"/>
                <w:sz w:val="18"/>
                <w:szCs w:val="18"/>
                <w:color w:val="auto"/>
                <w:w w:val="96"/>
              </w:rPr>
              <w:t>----------- (12 MONTHS) (11 MONTHS)</w:t>
            </w:r>
          </w:p>
        </w:tc>
        <w:tc>
          <w:tcPr>
            <w:tcW w:w="0" w:type="dxa"/>
            <w:vAlign w:val="bottom"/>
          </w:tcPr>
          <w:p>
            <w:pPr>
              <w:spacing w:after="0"/>
              <w:rPr>
                <w:sz w:val="1"/>
                <w:szCs w:val="1"/>
                <w:color w:val="auto"/>
              </w:rPr>
            </w:pPr>
          </w:p>
        </w:tc>
      </w:tr>
      <w:tr>
        <w:trPr>
          <w:trHeight w:val="296"/>
        </w:trPr>
        <w:tc>
          <w:tcPr>
            <w:tcW w:w="2060" w:type="dxa"/>
            <w:vAlign w:val="bottom"/>
            <w:gridSpan w:val="2"/>
            <w:vMerge w:val="restart"/>
          </w:tcPr>
          <w:p>
            <w:pPr>
              <w:jc w:val="right"/>
              <w:spacing w:after="0"/>
              <w:rPr>
                <w:sz w:val="20"/>
                <w:szCs w:val="20"/>
                <w:color w:val="auto"/>
              </w:rPr>
            </w:pPr>
            <w:r>
              <w:rPr>
                <w:rFonts w:ascii="Courier New" w:cs="Courier New" w:eastAsia="Courier New" w:hAnsi="Courier New"/>
                <w:sz w:val="4"/>
                <w:szCs w:val="4"/>
                <w:color w:val="auto"/>
                <w:w w:val="85"/>
              </w:rPr>
              <w:t>services</w:t>
            </w:r>
            <w:r>
              <w:rPr>
                <w:rFonts w:ascii="Courier New" w:cs="Courier New" w:eastAsia="Courier New" w:hAnsi="Courier New"/>
                <w:sz w:val="8"/>
                <w:szCs w:val="8"/>
                <w:color w:val="auto"/>
                <w:w w:val="85"/>
                <w:vertAlign w:val="subscript"/>
              </w:rPr>
              <w:t>.....................................</w:t>
            </w:r>
            <w:r>
              <w:rPr>
                <w:rFonts w:ascii="Courier New" w:cs="Courier New" w:eastAsia="Courier New" w:hAnsi="Courier New"/>
                <w:sz w:val="4"/>
                <w:szCs w:val="4"/>
                <w:color w:val="auto"/>
                <w:w w:val="85"/>
              </w:rPr>
              <w:t>..........................................</w:t>
            </w:r>
          </w:p>
        </w:tc>
        <w:tc>
          <w:tcPr>
            <w:tcW w:w="2900" w:type="dxa"/>
            <w:vAlign w:val="bottom"/>
            <w:gridSpan w:val="2"/>
          </w:tcPr>
          <w:p>
            <w:pPr>
              <w:jc w:val="center"/>
              <w:ind w:right="812"/>
              <w:spacing w:after="0"/>
              <w:rPr>
                <w:sz w:val="20"/>
                <w:szCs w:val="20"/>
                <w:color w:val="auto"/>
              </w:rPr>
            </w:pPr>
            <w:r>
              <w:rPr>
                <w:rFonts w:ascii="Courier New" w:cs="Courier New" w:eastAsia="Courier New" w:hAnsi="Courier New"/>
                <w:sz w:val="18"/>
                <w:szCs w:val="18"/>
                <w:color w:val="auto"/>
                <w:w w:val="97"/>
              </w:rPr>
              <w:t>$ $ REVENUE Billing</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540" w:type="dxa"/>
            <w:vAlign w:val="bottom"/>
            <w:vMerge w:val="continue"/>
          </w:tcPr>
          <w:p>
            <w:pPr>
              <w:spacing w:after="0"/>
              <w:rPr>
                <w:sz w:val="24"/>
                <w:szCs w:val="24"/>
                <w:color w:val="auto"/>
              </w:rPr>
            </w:pPr>
          </w:p>
        </w:tc>
        <w:tc>
          <w:tcPr>
            <w:tcW w:w="3420" w:type="dxa"/>
            <w:vAlign w:val="bottom"/>
            <w:gridSpan w:val="3"/>
            <w:vMerge w:val="restart"/>
          </w:tcPr>
          <w:p>
            <w:pPr>
              <w:jc w:val="center"/>
              <w:ind w:right="292"/>
              <w:spacing w:after="0"/>
              <w:rPr>
                <w:sz w:val="20"/>
                <w:szCs w:val="20"/>
                <w:color w:val="auto"/>
              </w:rPr>
            </w:pPr>
            <w:r>
              <w:rPr>
                <w:rFonts w:ascii="Courier New" w:cs="Courier New" w:eastAsia="Courier New" w:hAnsi="Courier New"/>
                <w:sz w:val="18"/>
                <w:szCs w:val="18"/>
                <w:color w:val="auto"/>
                <w:w w:val="97"/>
              </w:rPr>
              <w:t>365,286 312,444 Professional</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540" w:type="dxa"/>
            <w:vAlign w:val="bottom"/>
            <w:vMerge w:val="restart"/>
          </w:tcPr>
          <w:p>
            <w:pPr>
              <w:jc w:val="right"/>
              <w:ind w:right="311"/>
              <w:spacing w:after="0"/>
              <w:rPr>
                <w:sz w:val="20"/>
                <w:szCs w:val="20"/>
                <w:color w:val="auto"/>
              </w:rPr>
            </w:pPr>
            <w:r>
              <w:rPr>
                <w:rFonts w:ascii="Courier New" w:cs="Courier New" w:eastAsia="Courier New" w:hAnsi="Courier New"/>
                <w:sz w:val="18"/>
                <w:szCs w:val="18"/>
                <w:color w:val="auto"/>
              </w:rPr>
              <w:t>services</w:t>
            </w:r>
          </w:p>
        </w:tc>
        <w:tc>
          <w:tcPr>
            <w:tcW w:w="3420" w:type="dxa"/>
            <w:vAlign w:val="bottom"/>
            <w:gridSpan w:val="3"/>
            <w:vMerge w:val="continue"/>
          </w:tcPr>
          <w:p>
            <w:pPr>
              <w:spacing w:after="0"/>
              <w:rPr>
                <w:sz w:val="10"/>
                <w:szCs w:val="10"/>
                <w:color w:val="auto"/>
              </w:rPr>
            </w:pP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71,499</w:t>
            </w: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52,352 -------</w:t>
            </w:r>
          </w:p>
        </w:tc>
        <w:tc>
          <w:tcPr>
            <w:tcW w:w="45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------- 436,785 364,796 Cost of services,</w:t>
            </w:r>
          </w:p>
        </w:tc>
        <w:tc>
          <w:tcPr>
            <w:tcW w:w="0" w:type="dxa"/>
            <w:vAlign w:val="bottom"/>
          </w:tcPr>
          <w:p>
            <w:pPr>
              <w:spacing w:after="0"/>
              <w:rPr>
                <w:sz w:val="1"/>
                <w:szCs w:val="1"/>
                <w:color w:val="auto"/>
              </w:rPr>
            </w:pPr>
          </w:p>
        </w:tc>
      </w:tr>
      <w:tr>
        <w:trPr>
          <w:trHeight w:val="203"/>
        </w:trPr>
        <w:tc>
          <w:tcPr>
            <w:tcW w:w="496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w w:val="99"/>
              </w:rPr>
              <w:t>selling and administrative expenses.......</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331,224</w:t>
            </w:r>
          </w:p>
        </w:tc>
        <w:tc>
          <w:tcPr>
            <w:tcW w:w="0" w:type="dxa"/>
            <w:vAlign w:val="bottom"/>
          </w:tcPr>
          <w:p>
            <w:pPr>
              <w:spacing w:after="0"/>
              <w:rPr>
                <w:sz w:val="1"/>
                <w:szCs w:val="1"/>
                <w:color w:val="auto"/>
              </w:rPr>
            </w:pPr>
          </w:p>
        </w:tc>
      </w:tr>
      <w:tr>
        <w:trPr>
          <w:trHeight w:val="203"/>
        </w:trPr>
        <w:tc>
          <w:tcPr>
            <w:tcW w:w="606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287,490 Net benefit plans expense (Note</w:t>
            </w:r>
          </w:p>
        </w:tc>
        <w:tc>
          <w:tcPr>
            <w:tcW w:w="0" w:type="dxa"/>
            <w:vAlign w:val="bottom"/>
          </w:tcPr>
          <w:p>
            <w:pPr>
              <w:spacing w:after="0"/>
              <w:rPr>
                <w:sz w:val="1"/>
                <w:szCs w:val="1"/>
                <w:color w:val="auto"/>
              </w:rPr>
            </w:pP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6)..........................</w:t>
            </w:r>
          </w:p>
        </w:tc>
        <w:tc>
          <w:tcPr>
            <w:tcW w:w="840" w:type="dxa"/>
            <w:vAlign w:val="bottom"/>
          </w:tcPr>
          <w:p>
            <w:pPr>
              <w:spacing w:after="0"/>
              <w:rPr>
                <w:sz w:val="17"/>
                <w:szCs w:val="17"/>
                <w:color w:val="auto"/>
              </w:rPr>
            </w:pP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2,233 1,900 ------- -------</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3420" w:type="dxa"/>
            <w:vAlign w:val="bottom"/>
            <w:gridSpan w:val="3"/>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Operating earnings before the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8"/>
              </w:rPr>
              <w:t>undernoted....................</w:t>
            </w:r>
          </w:p>
        </w:tc>
        <w:tc>
          <w:tcPr>
            <w:tcW w:w="31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103,328 75,406</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4"/>
              </w:rPr>
              <w:t>5)................................</w:t>
            </w:r>
          </w:p>
        </w:tc>
        <w:tc>
          <w:tcPr>
            <w:tcW w:w="3420" w:type="dxa"/>
            <w:vAlign w:val="bottom"/>
            <w:gridSpan w:val="3"/>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Amortization (Notes 4 and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60,518 18,234</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6"/>
              </w:rPr>
              <w:t>3)...............................</w:t>
            </w:r>
          </w:p>
        </w:tc>
        <w:tc>
          <w:tcPr>
            <w:tcW w:w="3420" w:type="dxa"/>
            <w:vAlign w:val="bottom"/>
            <w:gridSpan w:val="3"/>
          </w:tcPr>
          <w:p>
            <w:pPr>
              <w:jc w:val="center"/>
              <w:ind w:right="292"/>
              <w:spacing w:after="0" w:line="203" w:lineRule="exact"/>
              <w:rPr>
                <w:sz w:val="20"/>
                <w:szCs w:val="20"/>
                <w:color w:val="auto"/>
              </w:rPr>
            </w:pPr>
            <w:r>
              <w:rPr>
                <w:rFonts w:ascii="Courier New" w:cs="Courier New" w:eastAsia="Courier New" w:hAnsi="Courier New"/>
                <w:sz w:val="18"/>
                <w:szCs w:val="18"/>
                <w:color w:val="auto"/>
                <w:w w:val="96"/>
              </w:rPr>
              <w:t>Restructuring charge (Note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721 -- ------- -------</w:t>
            </w:r>
          </w:p>
        </w:tc>
        <w:tc>
          <w:tcPr>
            <w:tcW w:w="0" w:type="dxa"/>
            <w:vAlign w:val="bottom"/>
          </w:tcPr>
          <w:p>
            <w:pPr>
              <w:spacing w:after="0"/>
              <w:rPr>
                <w:sz w:val="1"/>
                <w:szCs w:val="1"/>
                <w:color w:val="auto"/>
              </w:rPr>
            </w:pPr>
          </w:p>
        </w:tc>
      </w:tr>
      <w:tr>
        <w:trPr>
          <w:trHeight w:val="296"/>
        </w:trPr>
        <w:tc>
          <w:tcPr>
            <w:tcW w:w="2060" w:type="dxa"/>
            <w:vAlign w:val="bottom"/>
            <w:gridSpan w:val="2"/>
            <w:vMerge w:val="restart"/>
          </w:tcPr>
          <w:p>
            <w:pPr>
              <w:jc w:val="right"/>
              <w:spacing w:after="0"/>
              <w:rPr>
                <w:sz w:val="20"/>
                <w:szCs w:val="20"/>
                <w:color w:val="auto"/>
              </w:rPr>
            </w:pPr>
            <w:r>
              <w:rPr>
                <w:rFonts w:ascii="Courier New" w:cs="Courier New" w:eastAsia="Courier New" w:hAnsi="Courier New"/>
                <w:sz w:val="9"/>
                <w:szCs w:val="9"/>
                <w:color w:val="auto"/>
                <w:w w:val="75"/>
              </w:rPr>
              <w:t>earnings..........................................</w:t>
            </w:r>
          </w:p>
        </w:tc>
        <w:tc>
          <w:tcPr>
            <w:tcW w:w="2900" w:type="dxa"/>
            <w:vAlign w:val="bottom"/>
            <w:gridSpan w:val="2"/>
          </w:tcPr>
          <w:p>
            <w:pPr>
              <w:jc w:val="center"/>
              <w:ind w:right="812"/>
              <w:spacing w:after="0"/>
              <w:rPr>
                <w:sz w:val="20"/>
                <w:szCs w:val="20"/>
                <w:color w:val="auto"/>
              </w:rPr>
            </w:pPr>
            <w:r>
              <w:rPr>
                <w:rFonts w:ascii="Courier New" w:cs="Courier New" w:eastAsia="Courier New" w:hAnsi="Courier New"/>
                <w:sz w:val="18"/>
                <w:szCs w:val="18"/>
                <w:color w:val="auto"/>
                <w:w w:val="98"/>
              </w:rPr>
              <w:t>Operating</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42,089</w:t>
            </w: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960" w:type="dxa"/>
            <w:vAlign w:val="bottom"/>
            <w:gridSpan w:val="4"/>
          </w:tcPr>
          <w:p>
            <w:pPr>
              <w:jc w:val="center"/>
              <w:ind w:left="1091"/>
              <w:spacing w:after="0" w:line="203" w:lineRule="exact"/>
              <w:rPr>
                <w:sz w:val="20"/>
                <w:szCs w:val="20"/>
                <w:color w:val="auto"/>
              </w:rPr>
            </w:pPr>
            <w:r>
              <w:rPr>
                <w:rFonts w:ascii="Courier New" w:cs="Courier New" w:eastAsia="Courier New" w:hAnsi="Courier New"/>
                <w:sz w:val="18"/>
                <w:szCs w:val="18"/>
                <w:color w:val="auto"/>
                <w:w w:val="97"/>
              </w:rPr>
              <w:t>57,172 Interest expense -- long-term</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debt..........................</w:t>
            </w:r>
          </w:p>
        </w:tc>
        <w:tc>
          <w:tcPr>
            <w:tcW w:w="840" w:type="dxa"/>
            <w:vAlign w:val="bottom"/>
          </w:tcPr>
          <w:p>
            <w:pPr>
              <w:spacing w:after="0"/>
              <w:rPr>
                <w:sz w:val="17"/>
                <w:szCs w:val="17"/>
                <w:color w:val="auto"/>
              </w:rPr>
            </w:pPr>
          </w:p>
        </w:tc>
        <w:tc>
          <w:tcPr>
            <w:tcW w:w="3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4,991 1,111 Accretion on</w:t>
            </w:r>
          </w:p>
        </w:tc>
        <w:tc>
          <w:tcPr>
            <w:tcW w:w="0" w:type="dxa"/>
            <w:vAlign w:val="bottom"/>
          </w:tcPr>
          <w:p>
            <w:pPr>
              <w:spacing w:after="0"/>
              <w:rPr>
                <w:sz w:val="1"/>
                <w:szCs w:val="1"/>
                <w:color w:val="auto"/>
              </w:rPr>
            </w:pPr>
          </w:p>
        </w:tc>
      </w:tr>
      <w:tr>
        <w:trPr>
          <w:trHeight w:val="203"/>
        </w:trPr>
        <w:tc>
          <w:tcPr>
            <w:tcW w:w="606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convertible debentures due to related party (Note</w:t>
            </w:r>
          </w:p>
        </w:tc>
        <w:tc>
          <w:tcPr>
            <w:tcW w:w="0" w:type="dxa"/>
            <w:vAlign w:val="bottom"/>
          </w:tcPr>
          <w:p>
            <w:pPr>
              <w:spacing w:after="0"/>
              <w:rPr>
                <w:sz w:val="1"/>
                <w:szCs w:val="1"/>
                <w:color w:val="auto"/>
              </w:rPr>
            </w:pPr>
          </w:p>
        </w:tc>
      </w:tr>
      <w:tr>
        <w:trPr>
          <w:trHeight w:val="381"/>
        </w:trPr>
        <w:tc>
          <w:tcPr>
            <w:tcW w:w="206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4"/>
              </w:rPr>
              <w:t>9)..................................................</w:t>
            </w:r>
            <w:r>
              <w:rPr>
                <w:rFonts w:ascii="Courier New" w:cs="Courier New" w:eastAsia="Courier New" w:hAnsi="Courier New"/>
                <w:sz w:val="8"/>
                <w:szCs w:val="8"/>
                <w:color w:val="auto"/>
                <w:w w:val="74"/>
                <w:vertAlign w:val="subscript"/>
              </w:rPr>
              <w:t>..............................................</w:t>
            </w:r>
          </w:p>
        </w:tc>
        <w:tc>
          <w:tcPr>
            <w:tcW w:w="2900" w:type="dxa"/>
            <w:vAlign w:val="bottom"/>
            <w:gridSpan w:val="2"/>
            <w:vMerge w:val="restart"/>
          </w:tcPr>
          <w:p>
            <w:pPr>
              <w:jc w:val="center"/>
              <w:ind w:right="792"/>
              <w:spacing w:after="0"/>
              <w:rPr>
                <w:sz w:val="20"/>
                <w:szCs w:val="20"/>
                <w:color w:val="auto"/>
              </w:rPr>
            </w:pPr>
            <w:r>
              <w:rPr>
                <w:rFonts w:ascii="Courier New" w:cs="Courier New" w:eastAsia="Courier New" w:hAnsi="Courier New"/>
                <w:sz w:val="18"/>
                <w:szCs w:val="18"/>
                <w:color w:val="auto"/>
                <w:w w:val="97"/>
              </w:rPr>
              <w:t>5,457 908 Other</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540" w:type="dxa"/>
            <w:vAlign w:val="bottom"/>
            <w:vMerge w:val="restart"/>
          </w:tcPr>
          <w:p>
            <w:pPr>
              <w:jc w:val="right"/>
              <w:ind w:right="411"/>
              <w:spacing w:after="0"/>
              <w:rPr>
                <w:sz w:val="20"/>
                <w:szCs w:val="20"/>
                <w:color w:val="auto"/>
              </w:rPr>
            </w:pPr>
            <w:r>
              <w:rPr>
                <w:rFonts w:ascii="Courier New" w:cs="Courier New" w:eastAsia="Courier New" w:hAnsi="Courier New"/>
                <w:sz w:val="18"/>
                <w:szCs w:val="18"/>
                <w:color w:val="auto"/>
              </w:rPr>
              <w:t>expenses</w:t>
            </w:r>
          </w:p>
        </w:tc>
        <w:tc>
          <w:tcPr>
            <w:tcW w:w="520" w:type="dxa"/>
            <w:vAlign w:val="bottom"/>
          </w:tcPr>
          <w:p>
            <w:pPr>
              <w:spacing w:after="0"/>
              <w:rPr>
                <w:sz w:val="10"/>
                <w:szCs w:val="10"/>
                <w:color w:val="auto"/>
              </w:rPr>
            </w:pPr>
          </w:p>
        </w:tc>
        <w:tc>
          <w:tcPr>
            <w:tcW w:w="2900" w:type="dxa"/>
            <w:vAlign w:val="bottom"/>
            <w:gridSpan w:val="2"/>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520" w:type="dxa"/>
            <w:vAlign w:val="bottom"/>
          </w:tcPr>
          <w:p>
            <w:pPr>
              <w:jc w:val="right"/>
              <w:spacing w:after="0" w:line="109" w:lineRule="exact"/>
              <w:rPr>
                <w:sz w:val="20"/>
                <w:szCs w:val="20"/>
                <w:color w:val="auto"/>
              </w:rPr>
            </w:pPr>
            <w:r>
              <w:rPr>
                <w:rFonts w:ascii="Courier New" w:cs="Courier New" w:eastAsia="Courier New" w:hAnsi="Courier New"/>
                <w:sz w:val="12"/>
                <w:szCs w:val="12"/>
                <w:color w:val="auto"/>
                <w:w w:val="99"/>
              </w:rPr>
              <w:t>-------</w:t>
            </w:r>
          </w:p>
        </w:tc>
        <w:tc>
          <w:tcPr>
            <w:tcW w:w="4000" w:type="dxa"/>
            <w:vAlign w:val="bottom"/>
            <w:gridSpan w:val="3"/>
            <w:vMerge w:val="restart"/>
          </w:tcPr>
          <w:p>
            <w:pPr>
              <w:jc w:val="right"/>
              <w:ind w:right="272"/>
              <w:spacing w:after="0"/>
              <w:rPr>
                <w:sz w:val="20"/>
                <w:szCs w:val="20"/>
                <w:color w:val="auto"/>
              </w:rPr>
            </w:pPr>
            <w:r>
              <w:rPr>
                <w:rFonts w:ascii="Courier New" w:cs="Courier New" w:eastAsia="Courier New" w:hAnsi="Courier New"/>
                <w:sz w:val="18"/>
                <w:szCs w:val="18"/>
                <w:color w:val="auto"/>
              </w:rPr>
              <w:t>------- Earnings before income</w:t>
            </w:r>
          </w:p>
        </w:tc>
        <w:tc>
          <w:tcPr>
            <w:tcW w:w="0" w:type="dxa"/>
            <w:vAlign w:val="bottom"/>
          </w:tcPr>
          <w:p>
            <w:pPr>
              <w:spacing w:after="0"/>
              <w:rPr>
                <w:sz w:val="1"/>
                <w:szCs w:val="1"/>
                <w:color w:val="auto"/>
              </w:rPr>
            </w:pPr>
          </w:p>
        </w:tc>
      </w:tr>
      <w:tr>
        <w:trPr>
          <w:trHeight w:val="203"/>
        </w:trPr>
        <w:tc>
          <w:tcPr>
            <w:tcW w:w="2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2,030 1,415</w:t>
            </w:r>
          </w:p>
        </w:tc>
        <w:tc>
          <w:tcPr>
            <w:tcW w:w="40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taxes................................</w:t>
            </w:r>
          </w:p>
        </w:tc>
        <w:tc>
          <w:tcPr>
            <w:tcW w:w="840" w:type="dxa"/>
            <w:vAlign w:val="bottom"/>
          </w:tcPr>
          <w:p>
            <w:pPr>
              <w:spacing w:after="0"/>
              <w:rPr>
                <w:sz w:val="17"/>
                <w:szCs w:val="17"/>
                <w:color w:val="auto"/>
              </w:rPr>
            </w:pP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29,611 53,738 -----</w:t>
            </w:r>
          </w:p>
        </w:tc>
        <w:tc>
          <w:tcPr>
            <w:tcW w:w="0" w:type="dxa"/>
            <w:vAlign w:val="bottom"/>
          </w:tcPr>
          <w:p>
            <w:pPr>
              <w:spacing w:after="0"/>
              <w:rPr>
                <w:sz w:val="1"/>
                <w:szCs w:val="1"/>
                <w:color w:val="auto"/>
              </w:rPr>
            </w:pPr>
          </w:p>
        </w:tc>
      </w:tr>
      <w:tr>
        <w:trPr>
          <w:trHeight w:val="296"/>
        </w:trPr>
        <w:tc>
          <w:tcPr>
            <w:tcW w:w="1540" w:type="dxa"/>
            <w:vAlign w:val="bottom"/>
            <w:vMerge w:val="restart"/>
          </w:tcPr>
          <w:p>
            <w:pPr>
              <w:jc w:val="right"/>
              <w:spacing w:after="0"/>
              <w:rPr>
                <w:sz w:val="20"/>
                <w:szCs w:val="20"/>
                <w:color w:val="auto"/>
              </w:rPr>
            </w:pPr>
            <w:r>
              <w:rPr>
                <w:rFonts w:ascii="Courier New" w:cs="Courier New" w:eastAsia="Courier New" w:hAnsi="Courier New"/>
                <w:sz w:val="3"/>
                <w:szCs w:val="3"/>
                <w:color w:val="auto"/>
                <w:w w:val="72"/>
              </w:rPr>
              <w:t>Current</w:t>
            </w:r>
            <w:r>
              <w:rPr>
                <w:rFonts w:ascii="Courier New" w:cs="Courier New" w:eastAsia="Courier New" w:hAnsi="Courier New"/>
                <w:sz w:val="5"/>
                <w:szCs w:val="5"/>
                <w:color w:val="auto"/>
                <w:w w:val="72"/>
                <w:vertAlign w:val="subscript"/>
              </w:rPr>
              <w:t>....................................................</w:t>
            </w:r>
            <w:r>
              <w:rPr>
                <w:rFonts w:ascii="Courier New" w:cs="Courier New" w:eastAsia="Courier New" w:hAnsi="Courier New"/>
                <w:sz w:val="3"/>
                <w:szCs w:val="3"/>
                <w:color w:val="auto"/>
                <w:w w:val="72"/>
              </w:rPr>
              <w:t>...................................................</w:t>
            </w:r>
          </w:p>
        </w:tc>
        <w:tc>
          <w:tcPr>
            <w:tcW w:w="3420" w:type="dxa"/>
            <w:vAlign w:val="bottom"/>
            <w:gridSpan w:val="3"/>
          </w:tcPr>
          <w:p>
            <w:pPr>
              <w:jc w:val="center"/>
              <w:ind w:right="292"/>
              <w:spacing w:after="0"/>
              <w:rPr>
                <w:sz w:val="20"/>
                <w:szCs w:val="20"/>
                <w:color w:val="auto"/>
              </w:rPr>
            </w:pPr>
            <w:r>
              <w:rPr>
                <w:rFonts w:ascii="Courier New" w:cs="Courier New" w:eastAsia="Courier New" w:hAnsi="Courier New"/>
                <w:sz w:val="18"/>
                <w:szCs w:val="18"/>
                <w:color w:val="auto"/>
                <w:w w:val="98"/>
              </w:rPr>
              <w:t>-- ------- Income taxes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5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70</w:t>
            </w:r>
          </w:p>
        </w:tc>
        <w:tc>
          <w:tcPr>
            <w:tcW w:w="2060" w:type="dxa"/>
            <w:vAlign w:val="bottom"/>
            <w:vMerge w:val="restart"/>
          </w:tcPr>
          <w:p>
            <w:pPr>
              <w:jc w:val="right"/>
              <w:ind w:right="1392"/>
              <w:spacing w:after="0"/>
              <w:rPr>
                <w:sz w:val="20"/>
                <w:szCs w:val="20"/>
                <w:color w:val="auto"/>
              </w:rPr>
            </w:pPr>
            <w:r>
              <w:rPr>
                <w:rFonts w:ascii="Courier New" w:cs="Courier New" w:eastAsia="Courier New" w:hAnsi="Courier New"/>
                <w:sz w:val="18"/>
                <w:szCs w:val="18"/>
                <w:color w:val="auto"/>
              </w:rPr>
              <w:t>2,491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540" w:type="dxa"/>
            <w:vAlign w:val="bottom"/>
            <w:vMerge w:val="restart"/>
          </w:tcPr>
          <w:p>
            <w:pPr>
              <w:jc w:val="right"/>
              <w:ind w:right="831"/>
              <w:spacing w:after="0"/>
              <w:rPr>
                <w:sz w:val="20"/>
                <w:szCs w:val="20"/>
                <w:color w:val="auto"/>
              </w:rPr>
            </w:pPr>
            <w:r>
              <w:rPr>
                <w:rFonts w:ascii="Courier New" w:cs="Courier New" w:eastAsia="Courier New" w:hAnsi="Courier New"/>
                <w:sz w:val="18"/>
                <w:szCs w:val="18"/>
                <w:color w:val="auto"/>
                <w:w w:val="95"/>
              </w:rPr>
              <w:t>Future</w:t>
            </w:r>
          </w:p>
        </w:tc>
        <w:tc>
          <w:tcPr>
            <w:tcW w:w="5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520" w:type="dxa"/>
            <w:vAlign w:val="bottom"/>
          </w:tcPr>
          <w:p>
            <w:pPr>
              <w:jc w:val="right"/>
              <w:spacing w:after="0" w:line="109" w:lineRule="exact"/>
              <w:rPr>
                <w:sz w:val="20"/>
                <w:szCs w:val="20"/>
                <w:color w:val="auto"/>
              </w:rPr>
            </w:pPr>
            <w:r>
              <w:rPr>
                <w:rFonts w:ascii="Courier New" w:cs="Courier New" w:eastAsia="Courier New" w:hAnsi="Courier New"/>
                <w:sz w:val="12"/>
                <w:szCs w:val="12"/>
                <w:color w:val="auto"/>
                <w:w w:val="99"/>
              </w:rPr>
              <w:t>-------</w:t>
            </w:r>
          </w:p>
        </w:tc>
        <w:tc>
          <w:tcPr>
            <w:tcW w:w="2900" w:type="dxa"/>
            <w:vAlign w:val="bottom"/>
            <w:gridSpan w:val="2"/>
            <w:vMerge w:val="restart"/>
          </w:tcPr>
          <w:p>
            <w:pPr>
              <w:ind w:left="320"/>
              <w:spacing w:after="0"/>
              <w:rPr>
                <w:sz w:val="20"/>
                <w:szCs w:val="20"/>
                <w:color w:val="auto"/>
              </w:rPr>
            </w:pPr>
            <w:r>
              <w:rPr>
                <w:rFonts w:ascii="Courier New" w:cs="Courier New" w:eastAsia="Courier New" w:hAnsi="Courier New"/>
                <w:sz w:val="18"/>
                <w:szCs w:val="18"/>
                <w:color w:val="auto"/>
                <w:w w:val="81"/>
              </w:rPr>
              <w:t>------- 14,317 16,964 -------</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540" w:type="dxa"/>
            <w:vAlign w:val="bottom"/>
          </w:tcPr>
          <w:p>
            <w:pPr>
              <w:jc w:val="right"/>
              <w:ind w:right="51"/>
              <w:spacing w:after="0" w:line="203" w:lineRule="exact"/>
              <w:rPr>
                <w:sz w:val="20"/>
                <w:szCs w:val="20"/>
                <w:color w:val="auto"/>
              </w:rPr>
            </w:pPr>
            <w:r>
              <w:rPr>
                <w:rFonts w:ascii="Courier New" w:cs="Courier New" w:eastAsia="Courier New" w:hAnsi="Courier New"/>
                <w:sz w:val="18"/>
                <w:szCs w:val="18"/>
                <w:color w:val="auto"/>
                <w:w w:val="99"/>
              </w:rPr>
              <w:t>14,247 14,473</w:t>
            </w:r>
          </w:p>
        </w:tc>
        <w:tc>
          <w:tcPr>
            <w:tcW w:w="520" w:type="dxa"/>
            <w:vAlign w:val="bottom"/>
          </w:tcPr>
          <w:p>
            <w:pPr>
              <w:spacing w:after="0"/>
              <w:rPr>
                <w:sz w:val="17"/>
                <w:szCs w:val="17"/>
                <w:color w:val="auto"/>
              </w:rPr>
            </w:pPr>
          </w:p>
        </w:tc>
        <w:tc>
          <w:tcPr>
            <w:tcW w:w="290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060" w:type="dxa"/>
            <w:vAlign w:val="bottom"/>
            <w:gridSpan w:val="2"/>
            <w:vMerge w:val="restart"/>
          </w:tcPr>
          <w:p>
            <w:pPr>
              <w:jc w:val="right"/>
              <w:spacing w:after="0"/>
              <w:rPr>
                <w:sz w:val="20"/>
                <w:szCs w:val="20"/>
                <w:color w:val="auto"/>
              </w:rPr>
            </w:pPr>
            <w:r>
              <w:rPr>
                <w:rFonts w:ascii="Courier New" w:cs="Courier New" w:eastAsia="Courier New" w:hAnsi="Courier New"/>
                <w:sz w:val="8"/>
                <w:szCs w:val="8"/>
                <w:color w:val="auto"/>
                <w:w w:val="75"/>
              </w:rPr>
              <w:t>EARNINGS................................................</w:t>
            </w:r>
          </w:p>
        </w:tc>
        <w:tc>
          <w:tcPr>
            <w:tcW w:w="2900" w:type="dxa"/>
            <w:vAlign w:val="bottom"/>
            <w:gridSpan w:val="2"/>
          </w:tcPr>
          <w:p>
            <w:pPr>
              <w:jc w:val="center"/>
              <w:ind w:right="812"/>
              <w:spacing w:after="0"/>
              <w:rPr>
                <w:sz w:val="20"/>
                <w:szCs w:val="20"/>
                <w:color w:val="auto"/>
              </w:rPr>
            </w:pPr>
            <w:r>
              <w:rPr>
                <w:rFonts w:ascii="Courier New" w:cs="Courier New" w:eastAsia="Courier New" w:hAnsi="Courier New"/>
                <w:sz w:val="18"/>
                <w:szCs w:val="18"/>
                <w:color w:val="auto"/>
                <w:w w:val="98"/>
              </w:rPr>
              <w:t>-- NET</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06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15,294 36,774 Retained earnings, beginning of</w:t>
            </w:r>
          </w:p>
        </w:tc>
        <w:tc>
          <w:tcPr>
            <w:tcW w:w="0" w:type="dxa"/>
            <w:vAlign w:val="bottom"/>
          </w:tcPr>
          <w:p>
            <w:pPr>
              <w:spacing w:after="0"/>
              <w:rPr>
                <w:sz w:val="1"/>
                <w:szCs w:val="1"/>
                <w:color w:val="auto"/>
              </w:rPr>
            </w:pP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year........................</w:t>
            </w:r>
          </w:p>
        </w:tc>
        <w:tc>
          <w:tcPr>
            <w:tcW w:w="840" w:type="dxa"/>
            <w:vAlign w:val="bottom"/>
          </w:tcPr>
          <w:p>
            <w:pPr>
              <w:spacing w:after="0"/>
              <w:rPr>
                <w:sz w:val="17"/>
                <w:szCs w:val="17"/>
                <w:color w:val="auto"/>
              </w:rPr>
            </w:pPr>
          </w:p>
        </w:tc>
        <w:tc>
          <w:tcPr>
            <w:tcW w:w="3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35,774 -- Related party</w:t>
            </w:r>
          </w:p>
        </w:tc>
        <w:tc>
          <w:tcPr>
            <w:tcW w:w="0" w:type="dxa"/>
            <w:vAlign w:val="bottom"/>
          </w:tcPr>
          <w:p>
            <w:pPr>
              <w:spacing w:after="0"/>
              <w:rPr>
                <w:sz w:val="1"/>
                <w:szCs w:val="1"/>
                <w:color w:val="auto"/>
              </w:rPr>
            </w:pPr>
          </w:p>
        </w:tc>
      </w:tr>
      <w:tr>
        <w:trPr>
          <w:trHeight w:val="203"/>
        </w:trPr>
        <w:tc>
          <w:tcPr>
            <w:tcW w:w="290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4"/>
              </w:rPr>
              <w:t>adjustment (Note 6)...........................</w:t>
            </w:r>
          </w:p>
        </w:tc>
        <w:tc>
          <w:tcPr>
            <w:tcW w:w="20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(1,000)</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0"/>
              </w:rPr>
              <w:t>YEAR..............................</w:t>
            </w:r>
            <w:r>
              <w:rPr>
                <w:rFonts w:ascii="Courier New" w:cs="Courier New" w:eastAsia="Courier New" w:hAnsi="Courier New"/>
                <w:sz w:val="11"/>
                <w:szCs w:val="11"/>
                <w:color w:val="auto"/>
                <w:w w:val="70"/>
                <w:vertAlign w:val="superscript"/>
              </w:rPr>
              <w:t>-------</w:t>
            </w:r>
          </w:p>
        </w:tc>
        <w:tc>
          <w:tcPr>
            <w:tcW w:w="4520" w:type="dxa"/>
            <w:vAlign w:val="bottom"/>
            <w:gridSpan w:val="4"/>
          </w:tcPr>
          <w:p>
            <w:pPr>
              <w:jc w:val="right"/>
              <w:ind w:right="752"/>
              <w:spacing w:after="0" w:line="203" w:lineRule="exact"/>
              <w:rPr>
                <w:sz w:val="20"/>
                <w:szCs w:val="20"/>
                <w:color w:val="auto"/>
              </w:rPr>
            </w:pPr>
            <w:r>
              <w:rPr>
                <w:rFonts w:ascii="Courier New" w:cs="Courier New" w:eastAsia="Courier New" w:hAnsi="Courier New"/>
                <w:sz w:val="18"/>
                <w:szCs w:val="18"/>
                <w:color w:val="auto"/>
              </w:rPr>
              <w:t>------- RETAINED EARNINGS, END OF</w:t>
            </w: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51,068 35,774 =======</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00" w:type="dxa"/>
            <w:vAlign w:val="bottom"/>
            <w:gridSpan w:val="2"/>
          </w:tcPr>
          <w:p>
            <w:pPr>
              <w:jc w:val="center"/>
              <w:ind w:right="812"/>
              <w:spacing w:after="0"/>
              <w:rPr>
                <w:sz w:val="20"/>
                <w:szCs w:val="20"/>
                <w:color w:val="auto"/>
              </w:rPr>
            </w:pPr>
            <w:r>
              <w:rPr>
                <w:rFonts w:ascii="Courier New" w:cs="Courier New" w:eastAsia="Courier New" w:hAnsi="Courier New"/>
                <w:sz w:val="18"/>
                <w:szCs w:val="18"/>
                <w:color w:val="auto"/>
                <w:w w:val="95"/>
              </w:rPr>
              <w:t>=======</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F-45</w:t>
      </w:r>
    </w:p>
    <w:p>
      <w:pPr>
        <w:sectPr>
          <w:pgSz w:w="11900" w:h="16838" w:orient="portrait"/>
          <w:cols w:equalWidth="0" w:num="1">
            <w:col w:w="10219"/>
          </w:cols>
          <w:pgMar w:left="240" w:top="691" w:right="1440"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96"/>
        </w:trPr>
        <w:tc>
          <w:tcPr>
            <w:tcW w:w="2220" w:type="dxa"/>
            <w:vAlign w:val="bottom"/>
          </w:tcPr>
          <w:p>
            <w:pPr>
              <w:spacing w:after="0"/>
              <w:rPr>
                <w:sz w:val="24"/>
                <w:szCs w:val="24"/>
                <w:color w:val="auto"/>
              </w:rPr>
            </w:pPr>
          </w:p>
        </w:tc>
        <w:tc>
          <w:tcPr>
            <w:tcW w:w="2780" w:type="dxa"/>
            <w:vAlign w:val="bottom"/>
          </w:tcPr>
          <w:p>
            <w:pPr>
              <w:jc w:val="center"/>
              <w:ind w:left="1012"/>
              <w:spacing w:after="0"/>
              <w:rPr>
                <w:sz w:val="20"/>
                <w:szCs w:val="20"/>
                <w:color w:val="auto"/>
              </w:rPr>
            </w:pPr>
            <w:r>
              <w:rPr>
                <w:rFonts w:ascii="Courier New" w:cs="Courier New" w:eastAsia="Courier New" w:hAnsi="Courier New"/>
                <w:sz w:val="18"/>
                <w:szCs w:val="18"/>
                <w:color w:val="auto"/>
                <w:w w:val="97"/>
              </w:rPr>
              <w:t>CERTEN INC.</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4"/>
                <w:szCs w:val="24"/>
                <w:color w:val="auto"/>
              </w:rPr>
            </w:pPr>
          </w:p>
        </w:tc>
        <w:tc>
          <w:tcPr>
            <w:tcW w:w="390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BALANCE SHEET AS AT DECEMBER 31, 2002</w:t>
            </w:r>
          </w:p>
        </w:tc>
        <w:tc>
          <w:tcPr>
            <w:tcW w:w="0" w:type="dxa"/>
            <w:vAlign w:val="bottom"/>
          </w:tcPr>
          <w:p>
            <w:pPr>
              <w:spacing w:after="0"/>
              <w:rPr>
                <w:sz w:val="1"/>
                <w:szCs w:val="1"/>
                <w:color w:val="auto"/>
              </w:rPr>
            </w:pPr>
          </w:p>
        </w:tc>
      </w:tr>
      <w:tr>
        <w:trPr>
          <w:trHeight w:val="296"/>
        </w:trPr>
        <w:tc>
          <w:tcPr>
            <w:tcW w:w="2220" w:type="dxa"/>
            <w:vAlign w:val="bottom"/>
          </w:tcPr>
          <w:p>
            <w:pPr>
              <w:spacing w:after="0"/>
              <w:rPr>
                <w:sz w:val="24"/>
                <w:szCs w:val="24"/>
                <w:color w:val="auto"/>
              </w:rPr>
            </w:pPr>
          </w:p>
        </w:tc>
        <w:tc>
          <w:tcPr>
            <w:tcW w:w="390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(IN THOUSANDS OF DOLLARS)</w:t>
            </w:r>
          </w:p>
        </w:tc>
        <w:tc>
          <w:tcPr>
            <w:tcW w:w="0" w:type="dxa"/>
            <w:vAlign w:val="bottom"/>
          </w:tcPr>
          <w:p>
            <w:pPr>
              <w:spacing w:after="0"/>
              <w:rPr>
                <w:sz w:val="1"/>
                <w:szCs w:val="1"/>
                <w:color w:val="auto"/>
              </w:rPr>
            </w:pPr>
          </w:p>
        </w:tc>
      </w:tr>
      <w:tr>
        <w:trPr>
          <w:trHeight w:val="311"/>
        </w:trPr>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2002 2001 -------</w:t>
            </w:r>
          </w:p>
        </w:tc>
        <w:tc>
          <w:tcPr>
            <w:tcW w:w="390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w w:val="98"/>
              </w:rPr>
              <w:t>------- $ $ ASSETS Current assets</w:t>
            </w:r>
          </w:p>
        </w:tc>
        <w:tc>
          <w:tcPr>
            <w:tcW w:w="0" w:type="dxa"/>
            <w:vAlign w:val="bottom"/>
          </w:tcPr>
          <w:p>
            <w:pPr>
              <w:spacing w:after="0"/>
              <w:rPr>
                <w:sz w:val="1"/>
                <w:szCs w:val="1"/>
                <w:color w:val="auto"/>
              </w:rPr>
            </w:pPr>
          </w:p>
        </w:tc>
      </w:tr>
      <w:tr>
        <w:trPr>
          <w:trHeight w:val="203"/>
        </w:trPr>
        <w:tc>
          <w:tcPr>
            <w:tcW w:w="5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Cash......................................................</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jc w:val="right"/>
              <w:spacing w:after="0" w:line="202" w:lineRule="exact"/>
              <w:rPr>
                <w:sz w:val="20"/>
                <w:szCs w:val="20"/>
                <w:color w:val="auto"/>
              </w:rPr>
            </w:pPr>
            <w:r>
              <w:rPr>
                <w:rFonts w:ascii="Courier New" w:cs="Courier New" w:eastAsia="Courier New" w:hAnsi="Courier New"/>
                <w:sz w:val="13"/>
                <w:szCs w:val="13"/>
                <w:color w:val="auto"/>
              </w:rPr>
              <w:t>.......................................</w:t>
            </w:r>
            <w:r>
              <w:rPr>
                <w:rFonts w:ascii="Courier New" w:cs="Courier New" w:eastAsia="Courier New" w:hAnsi="Courier New"/>
                <w:sz w:val="23"/>
                <w:szCs w:val="23"/>
                <w:color w:val="auto"/>
                <w:vertAlign w:val="superscript"/>
              </w:rPr>
              <w:t>33,59059,500Accounts</w:t>
            </w:r>
          </w:p>
        </w:tc>
        <w:tc>
          <w:tcPr>
            <w:tcW w:w="11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5,021</w:t>
            </w:r>
          </w:p>
        </w:tc>
        <w:tc>
          <w:tcPr>
            <w:tcW w:w="0" w:type="dxa"/>
            <w:vAlign w:val="bottom"/>
          </w:tcPr>
          <w:p>
            <w:pPr>
              <w:spacing w:after="0"/>
              <w:rPr>
                <w:sz w:val="1"/>
                <w:szCs w:val="1"/>
                <w:color w:val="auto"/>
              </w:rPr>
            </w:pPr>
          </w:p>
        </w:tc>
      </w:tr>
      <w:tr>
        <w:trPr>
          <w:trHeight w:val="203"/>
        </w:trPr>
        <w:tc>
          <w:tcPr>
            <w:tcW w:w="2220" w:type="dxa"/>
            <w:vAlign w:val="bottom"/>
          </w:tcPr>
          <w:p>
            <w:pPr>
              <w:jc w:val="right"/>
              <w:ind w:right="924"/>
              <w:spacing w:after="0" w:line="203" w:lineRule="exact"/>
              <w:rPr>
                <w:sz w:val="20"/>
                <w:szCs w:val="20"/>
                <w:color w:val="auto"/>
              </w:rPr>
            </w:pPr>
            <w:r>
              <w:rPr>
                <w:rFonts w:ascii="Courier New" w:cs="Courier New" w:eastAsia="Courier New" w:hAnsi="Courier New"/>
                <w:sz w:val="18"/>
                <w:szCs w:val="18"/>
                <w:color w:val="auto"/>
              </w:rPr>
              <w:t>receivable</w:t>
            </w:r>
          </w:p>
        </w:tc>
        <w:tc>
          <w:tcPr>
            <w:tcW w:w="27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jc w:val="center"/>
              <w:ind w:left="1044"/>
              <w:spacing w:after="0" w:line="203" w:lineRule="exact"/>
              <w:rPr>
                <w:sz w:val="20"/>
                <w:szCs w:val="20"/>
                <w:color w:val="auto"/>
              </w:rPr>
            </w:pPr>
            <w:r>
              <w:rPr>
                <w:rFonts w:ascii="Courier New" w:cs="Courier New" w:eastAsia="Courier New" w:hAnsi="Courier New"/>
                <w:sz w:val="18"/>
                <w:szCs w:val="18"/>
                <w:color w:val="auto"/>
                <w:w w:val="98"/>
              </w:rPr>
              <w:t>20,858 Other current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jc w:val="right"/>
              <w:spacing w:after="0"/>
              <w:rPr>
                <w:sz w:val="20"/>
                <w:szCs w:val="20"/>
                <w:color w:val="auto"/>
              </w:rPr>
            </w:pPr>
            <w:r>
              <w:rPr>
                <w:rFonts w:ascii="Courier New" w:cs="Courier New" w:eastAsia="Courier New" w:hAnsi="Courier New"/>
                <w:sz w:val="11"/>
                <w:szCs w:val="11"/>
                <w:color w:val="auto"/>
                <w:w w:val="75"/>
              </w:rPr>
              <w:t>receivables.................................</w:t>
            </w:r>
          </w:p>
        </w:tc>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4,359 48,695</w:t>
            </w:r>
          </w:p>
        </w:tc>
        <w:tc>
          <w:tcPr>
            <w:tcW w:w="0" w:type="dxa"/>
            <w:vAlign w:val="bottom"/>
          </w:tcPr>
          <w:p>
            <w:pPr>
              <w:spacing w:after="0"/>
              <w:rPr>
                <w:sz w:val="1"/>
                <w:szCs w:val="1"/>
                <w:color w:val="auto"/>
              </w:rPr>
            </w:pPr>
          </w:p>
        </w:tc>
      </w:tr>
      <w:tr>
        <w:trPr>
          <w:trHeight w:val="296"/>
        </w:trPr>
        <w:tc>
          <w:tcPr>
            <w:tcW w:w="222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3"/>
              </w:rPr>
              <w:t>expenses..........................................</w:t>
            </w:r>
          </w:p>
        </w:tc>
        <w:tc>
          <w:tcPr>
            <w:tcW w:w="2780" w:type="dxa"/>
            <w:vAlign w:val="bottom"/>
          </w:tcPr>
          <w:p>
            <w:pPr>
              <w:jc w:val="center"/>
              <w:ind w:right="1012"/>
              <w:spacing w:after="0"/>
              <w:rPr>
                <w:sz w:val="20"/>
                <w:szCs w:val="20"/>
                <w:color w:val="auto"/>
              </w:rPr>
            </w:pPr>
            <w:r>
              <w:rPr>
                <w:rFonts w:ascii="Courier New" w:cs="Courier New" w:eastAsia="Courier New" w:hAnsi="Courier New"/>
                <w:sz w:val="18"/>
                <w:szCs w:val="18"/>
                <w:color w:val="auto"/>
                <w:w w:val="95"/>
              </w:rPr>
              <w:t>Prepaid</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420 --</w:t>
            </w:r>
          </w:p>
        </w:tc>
        <w:tc>
          <w:tcPr>
            <w:tcW w:w="0" w:type="dxa"/>
            <w:vAlign w:val="bottom"/>
          </w:tcPr>
          <w:p>
            <w:pPr>
              <w:spacing w:after="0"/>
              <w:rPr>
                <w:sz w:val="1"/>
                <w:szCs w:val="1"/>
                <w:color w:val="auto"/>
              </w:rPr>
            </w:pPr>
          </w:p>
        </w:tc>
      </w:tr>
      <w:tr>
        <w:trPr>
          <w:trHeight w:val="109"/>
        </w:trPr>
        <w:tc>
          <w:tcPr>
            <w:tcW w:w="2220" w:type="dxa"/>
            <w:vAlign w:val="bottom"/>
            <w:vMerge w:val="continue"/>
          </w:tcPr>
          <w:p>
            <w:pPr>
              <w:spacing w:after="0"/>
              <w:rPr>
                <w:sz w:val="9"/>
                <w:szCs w:val="9"/>
                <w:color w:val="auto"/>
              </w:rPr>
            </w:pPr>
          </w:p>
        </w:tc>
        <w:tc>
          <w:tcPr>
            <w:tcW w:w="27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1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------- 43,390 129,053 Property, plant and</w:t>
            </w:r>
          </w:p>
        </w:tc>
        <w:tc>
          <w:tcPr>
            <w:tcW w:w="0" w:type="dxa"/>
            <w:vAlign w:val="bottom"/>
          </w:tcPr>
          <w:p>
            <w:pPr>
              <w:spacing w:after="0"/>
              <w:rPr>
                <w:sz w:val="1"/>
                <w:szCs w:val="1"/>
                <w:color w:val="auto"/>
              </w:rPr>
            </w:pPr>
          </w:p>
        </w:tc>
      </w:tr>
      <w:tr>
        <w:trPr>
          <w:trHeight w:val="203"/>
        </w:trPr>
        <w:tc>
          <w:tcPr>
            <w:tcW w:w="2220" w:type="dxa"/>
            <w:vAlign w:val="bottom"/>
          </w:tcPr>
          <w:p>
            <w:pPr>
              <w:jc w:val="right"/>
              <w:spacing w:after="0"/>
              <w:rPr>
                <w:sz w:val="20"/>
                <w:szCs w:val="20"/>
                <w:color w:val="auto"/>
              </w:rPr>
            </w:pPr>
            <w:r>
              <w:rPr>
                <w:rFonts w:ascii="Courier New" w:cs="Courier New" w:eastAsia="Courier New" w:hAnsi="Courier New"/>
                <w:sz w:val="13"/>
                <w:szCs w:val="13"/>
                <w:color w:val="auto"/>
                <w:w w:val="70"/>
              </w:rPr>
              <w:t>equipment (Note 4)......................</w:t>
            </w:r>
          </w:p>
        </w:tc>
        <w:tc>
          <w:tcPr>
            <w:tcW w:w="3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49,494 36,822</w:t>
            </w:r>
          </w:p>
        </w:tc>
        <w:tc>
          <w:tcPr>
            <w:tcW w:w="0" w:type="dxa"/>
            <w:vAlign w:val="bottom"/>
          </w:tcPr>
          <w:p>
            <w:pPr>
              <w:spacing w:after="0"/>
              <w:rPr>
                <w:sz w:val="1"/>
                <w:szCs w:val="1"/>
                <w:color w:val="auto"/>
              </w:rPr>
            </w:pPr>
          </w:p>
        </w:tc>
      </w:tr>
      <w:tr>
        <w:trPr>
          <w:trHeight w:val="203"/>
        </w:trPr>
        <w:tc>
          <w:tcPr>
            <w:tcW w:w="5000" w:type="dxa"/>
            <w:vAlign w:val="bottom"/>
            <w:gridSpan w:val="2"/>
          </w:tcPr>
          <w:p>
            <w:pPr>
              <w:jc w:val="center"/>
              <w:ind w:left="1044"/>
              <w:spacing w:after="0" w:line="203" w:lineRule="exact"/>
              <w:rPr>
                <w:sz w:val="20"/>
                <w:szCs w:val="20"/>
                <w:color w:val="auto"/>
              </w:rPr>
            </w:pPr>
            <w:r>
              <w:rPr>
                <w:rFonts w:ascii="Courier New" w:cs="Courier New" w:eastAsia="Courier New" w:hAnsi="Courier New"/>
                <w:sz w:val="18"/>
                <w:szCs w:val="18"/>
                <w:color w:val="auto"/>
                <w:w w:val="98"/>
              </w:rPr>
              <w:t>Intangible assets (Note</w:t>
            </w:r>
          </w:p>
        </w:tc>
        <w:tc>
          <w:tcPr>
            <w:tcW w:w="11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196,345</w:t>
            </w:r>
          </w:p>
        </w:tc>
        <w:tc>
          <w:tcPr>
            <w:tcW w:w="0" w:type="dxa"/>
            <w:vAlign w:val="bottom"/>
          </w:tcPr>
          <w:p>
            <w:pPr>
              <w:spacing w:after="0"/>
              <w:rPr>
                <w:sz w:val="1"/>
                <w:szCs w:val="1"/>
                <w:color w:val="auto"/>
              </w:rPr>
            </w:pPr>
          </w:p>
        </w:tc>
      </w:tr>
      <w:tr>
        <w:trPr>
          <w:trHeight w:val="203"/>
        </w:trPr>
        <w:tc>
          <w:tcPr>
            <w:tcW w:w="2220" w:type="dxa"/>
            <w:vAlign w:val="bottom"/>
          </w:tcPr>
          <w:p>
            <w:pPr>
              <w:jc w:val="right"/>
              <w:spacing w:after="0"/>
              <w:rPr>
                <w:sz w:val="20"/>
                <w:szCs w:val="20"/>
                <w:color w:val="auto"/>
              </w:rPr>
            </w:pPr>
            <w:r>
              <w:rPr>
                <w:rFonts w:ascii="Courier New" w:cs="Courier New" w:eastAsia="Courier New" w:hAnsi="Courier New"/>
                <w:sz w:val="14"/>
                <w:szCs w:val="14"/>
                <w:color w:val="auto"/>
                <w:w w:val="72"/>
              </w:rPr>
              <w:t>5)..................................</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365,386</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2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2"/>
              </w:rPr>
              <w:t>taxes.........................................</w:t>
            </w:r>
          </w:p>
        </w:tc>
        <w:tc>
          <w:tcPr>
            <w:tcW w:w="2780" w:type="dxa"/>
            <w:vAlign w:val="bottom"/>
          </w:tcPr>
          <w:p>
            <w:pPr>
              <w:jc w:val="center"/>
              <w:ind w:right="1012"/>
              <w:spacing w:after="0"/>
              <w:rPr>
                <w:sz w:val="20"/>
                <w:szCs w:val="20"/>
                <w:color w:val="auto"/>
              </w:rPr>
            </w:pPr>
            <w:r>
              <w:rPr>
                <w:rFonts w:ascii="Courier New" w:cs="Courier New" w:eastAsia="Courier New" w:hAnsi="Courier New"/>
                <w:sz w:val="18"/>
                <w:szCs w:val="18"/>
                <w:color w:val="auto"/>
                <w:w w:val="96"/>
              </w:rPr>
              <w:t>Future income</w:t>
            </w:r>
          </w:p>
        </w:tc>
        <w:tc>
          <w:tcPr>
            <w:tcW w:w="11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1,418 642</w:t>
            </w:r>
          </w:p>
        </w:tc>
        <w:tc>
          <w:tcPr>
            <w:tcW w:w="0" w:type="dxa"/>
            <w:vAlign w:val="bottom"/>
          </w:tcPr>
          <w:p>
            <w:pPr>
              <w:spacing w:after="0"/>
              <w:rPr>
                <w:sz w:val="1"/>
                <w:szCs w:val="1"/>
                <w:color w:val="auto"/>
              </w:rPr>
            </w:pPr>
          </w:p>
        </w:tc>
      </w:tr>
      <w:tr>
        <w:trPr>
          <w:trHeight w:val="109"/>
        </w:trPr>
        <w:tc>
          <w:tcPr>
            <w:tcW w:w="2220" w:type="dxa"/>
            <w:vAlign w:val="bottom"/>
            <w:vMerge w:val="continue"/>
          </w:tcPr>
          <w:p>
            <w:pPr>
              <w:spacing w:after="0"/>
              <w:rPr>
                <w:sz w:val="9"/>
                <w:szCs w:val="9"/>
                <w:color w:val="auto"/>
              </w:rPr>
            </w:pPr>
          </w:p>
        </w:tc>
        <w:tc>
          <w:tcPr>
            <w:tcW w:w="27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jc w:val="center"/>
              <w:ind w:left="1044"/>
              <w:spacing w:after="0" w:line="203" w:lineRule="exact"/>
              <w:rPr>
                <w:sz w:val="20"/>
                <w:szCs w:val="20"/>
                <w:color w:val="auto"/>
              </w:rPr>
            </w:pPr>
            <w:r>
              <w:rPr>
                <w:rFonts w:ascii="Courier New" w:cs="Courier New" w:eastAsia="Courier New" w:hAnsi="Courier New"/>
                <w:sz w:val="18"/>
                <w:szCs w:val="18"/>
                <w:color w:val="auto"/>
                <w:w w:val="97"/>
              </w:rPr>
              <w:t>Accrued benefit asset (Note</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w w:val="71"/>
              </w:rPr>
              <w:t>6)..............................</w:t>
            </w:r>
          </w:p>
        </w:tc>
        <w:tc>
          <w:tcPr>
            <w:tcW w:w="3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4,572 8,000 ------- ----</w:t>
            </w:r>
          </w:p>
        </w:tc>
        <w:tc>
          <w:tcPr>
            <w:tcW w:w="0" w:type="dxa"/>
            <w:vAlign w:val="bottom"/>
          </w:tcPr>
          <w:p>
            <w:pPr>
              <w:spacing w:after="0"/>
              <w:rPr>
                <w:sz w:val="1"/>
                <w:szCs w:val="1"/>
                <w:color w:val="auto"/>
              </w:rPr>
            </w:pPr>
          </w:p>
        </w:tc>
      </w:tr>
    </w:tbl>
    <w:p>
      <w:pPr>
        <w:ind w:left="2220" w:right="4259" w:hanging="2057"/>
        <w:spacing w:after="0" w:line="238" w:lineRule="auto"/>
        <w:tabs>
          <w:tab w:leader="none" w:pos="587"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464,260 370,862 ======= ======= LIABILITIES Current liabilities Bank</w:t>
      </w:r>
    </w:p>
    <w:p>
      <w:pPr>
        <w:spacing w:after="0" w:line="1" w:lineRule="exact"/>
        <w:rPr>
          <w:sz w:val="20"/>
          <w:szCs w:val="20"/>
          <w:color w:val="auto"/>
        </w:rPr>
      </w:pPr>
    </w:p>
    <w:p>
      <w:pPr>
        <w:jc w:val="center"/>
        <w:ind w:right="4099"/>
        <w:spacing w:after="0" w:line="268" w:lineRule="auto"/>
        <w:rPr>
          <w:sz w:val="20"/>
          <w:szCs w:val="20"/>
          <w:color w:val="auto"/>
        </w:rPr>
      </w:pPr>
      <w:r>
        <w:rPr>
          <w:rFonts w:ascii="Courier New" w:cs="Courier New" w:eastAsia="Courier New" w:hAnsi="Courier New"/>
          <w:sz w:val="16"/>
          <w:szCs w:val="16"/>
          <w:color w:val="auto"/>
        </w:rPr>
        <w:t>indebtedness......................................... -- 1,807 Promissory note due to related party (Note 7)............. -- 6,133 Accounts payable and accrued liabilities.................. 117,286 162,646 Income and other taxes payable............................ 12,106 11,217 Current portion of obligation under capital leases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96"/>
        </w:trPr>
        <w:tc>
          <w:tcPr>
            <w:tcW w:w="1580" w:type="dxa"/>
            <w:vAlign w:val="bottom"/>
            <w:vMerge w:val="restart"/>
          </w:tcPr>
          <w:p>
            <w:pPr>
              <w:jc w:val="right"/>
              <w:spacing w:after="0"/>
              <w:rPr>
                <w:sz w:val="20"/>
                <w:szCs w:val="20"/>
                <w:color w:val="auto"/>
              </w:rPr>
            </w:pPr>
            <w:r>
              <w:rPr>
                <w:rFonts w:ascii="Courier New" w:cs="Courier New" w:eastAsia="Courier New" w:hAnsi="Courier New"/>
                <w:sz w:val="5"/>
                <w:szCs w:val="5"/>
                <w:color w:val="auto"/>
                <w:w w:val="94"/>
              </w:rPr>
              <w:t>8).....................................................</w:t>
            </w:r>
          </w:p>
        </w:tc>
        <w:tc>
          <w:tcPr>
            <w:tcW w:w="4420" w:type="dxa"/>
            <w:vAlign w:val="bottom"/>
          </w:tcPr>
          <w:p>
            <w:pPr>
              <w:jc w:val="center"/>
              <w:ind w:right="1492"/>
              <w:spacing w:after="0"/>
              <w:rPr>
                <w:sz w:val="20"/>
                <w:szCs w:val="20"/>
                <w:color w:val="auto"/>
              </w:rPr>
            </w:pPr>
            <w:r>
              <w:rPr>
                <w:rFonts w:ascii="Courier New" w:cs="Courier New" w:eastAsia="Courier New" w:hAnsi="Courier New"/>
                <w:sz w:val="18"/>
                <w:szCs w:val="18"/>
                <w:color w:val="auto"/>
                <w:w w:val="96"/>
              </w:rPr>
              <w:t>(Note</w:t>
            </w:r>
          </w:p>
        </w:tc>
        <w:tc>
          <w:tcPr>
            <w:tcW w:w="0" w:type="dxa"/>
            <w:vAlign w:val="bottom"/>
          </w:tcPr>
          <w:p>
            <w:pPr>
              <w:spacing w:after="0"/>
              <w:rPr>
                <w:sz w:val="1"/>
                <w:szCs w:val="1"/>
                <w:color w:val="auto"/>
              </w:rPr>
            </w:pPr>
          </w:p>
        </w:tc>
      </w:tr>
      <w:tr>
        <w:trPr>
          <w:trHeight w:val="171"/>
        </w:trPr>
        <w:tc>
          <w:tcPr>
            <w:tcW w:w="1580" w:type="dxa"/>
            <w:vAlign w:val="bottom"/>
            <w:vMerge w:val="continue"/>
          </w:tcPr>
          <w:p>
            <w:pPr>
              <w:spacing w:after="0"/>
              <w:rPr>
                <w:sz w:val="14"/>
                <w:szCs w:val="14"/>
                <w:color w:val="auto"/>
              </w:rPr>
            </w:pPr>
          </w:p>
        </w:tc>
        <w:tc>
          <w:tcPr>
            <w:tcW w:w="4420" w:type="dxa"/>
            <w:vAlign w:val="bottom"/>
            <w:vMerge w:val="restart"/>
          </w:tcPr>
          <w:p>
            <w:pPr>
              <w:jc w:val="center"/>
              <w:ind w:right="1492"/>
              <w:spacing w:after="0"/>
              <w:rPr>
                <w:sz w:val="20"/>
                <w:szCs w:val="20"/>
                <w:color w:val="auto"/>
              </w:rPr>
            </w:pPr>
            <w:r>
              <w:rPr>
                <w:rFonts w:ascii="Courier New" w:cs="Courier New" w:eastAsia="Courier New" w:hAnsi="Courier New"/>
                <w:sz w:val="18"/>
                <w:szCs w:val="18"/>
                <w:color w:val="auto"/>
                <w:w w:val="97"/>
              </w:rPr>
              <w:t>34,491 10,249 Other current</w:t>
            </w:r>
          </w:p>
        </w:tc>
        <w:tc>
          <w:tcPr>
            <w:tcW w:w="0" w:type="dxa"/>
            <w:vAlign w:val="bottom"/>
          </w:tcPr>
          <w:p>
            <w:pPr>
              <w:spacing w:after="0"/>
              <w:rPr>
                <w:sz w:val="1"/>
                <w:szCs w:val="1"/>
                <w:color w:val="auto"/>
              </w:rPr>
            </w:pPr>
          </w:p>
        </w:tc>
      </w:tr>
      <w:tr>
        <w:trPr>
          <w:trHeight w:val="109"/>
        </w:trPr>
        <w:tc>
          <w:tcPr>
            <w:tcW w:w="15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w w:val="95"/>
              </w:rPr>
              <w:t>liabilities</w:t>
            </w:r>
          </w:p>
        </w:tc>
        <w:tc>
          <w:tcPr>
            <w:tcW w:w="4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58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4420" w:type="dxa"/>
            <w:vAlign w:val="bottom"/>
          </w:tcPr>
          <w:p>
            <w:pPr>
              <w:jc w:val="right"/>
              <w:spacing w:after="0"/>
              <w:rPr>
                <w:sz w:val="20"/>
                <w:szCs w:val="20"/>
                <w:color w:val="auto"/>
              </w:rPr>
            </w:pPr>
            <w:r>
              <w:rPr>
                <w:rFonts w:ascii="Courier New" w:cs="Courier New" w:eastAsia="Courier New" w:hAnsi="Courier New"/>
                <w:sz w:val="18"/>
                <w:szCs w:val="18"/>
                <w:color w:val="auto"/>
              </w:rPr>
              <w:t>1,345 26 ---</w:t>
            </w:r>
          </w:p>
        </w:tc>
        <w:tc>
          <w:tcPr>
            <w:tcW w:w="0" w:type="dxa"/>
            <w:vAlign w:val="bottom"/>
          </w:tcPr>
          <w:p>
            <w:pPr>
              <w:spacing w:after="0"/>
              <w:rPr>
                <w:sz w:val="1"/>
                <w:szCs w:val="1"/>
                <w:color w:val="auto"/>
              </w:rPr>
            </w:pPr>
          </w:p>
        </w:tc>
      </w:tr>
    </w:tbl>
    <w:p>
      <w:pPr>
        <w:ind w:left="160"/>
        <w:spacing w:after="0" w:line="238" w:lineRule="auto"/>
        <w:rPr>
          <w:sz w:val="20"/>
          <w:szCs w:val="20"/>
          <w:color w:val="auto"/>
        </w:rPr>
      </w:pPr>
      <w:r>
        <w:rPr>
          <w:rFonts w:ascii="Courier New" w:cs="Courier New" w:eastAsia="Courier New" w:hAnsi="Courier New"/>
          <w:sz w:val="18"/>
          <w:szCs w:val="18"/>
          <w:color w:val="auto"/>
        </w:rPr>
        <w:t>---- ------- 165,228 192,078 Convertible debentures due</w:t>
      </w:r>
    </w:p>
    <w:p>
      <w:pPr>
        <w:jc w:val="center"/>
        <w:ind w:right="4099"/>
        <w:spacing w:after="0" w:line="268" w:lineRule="auto"/>
        <w:rPr>
          <w:sz w:val="20"/>
          <w:szCs w:val="20"/>
          <w:color w:val="auto"/>
        </w:rPr>
      </w:pPr>
      <w:r>
        <w:rPr>
          <w:rFonts w:ascii="Courier New" w:cs="Courier New" w:eastAsia="Courier New" w:hAnsi="Courier New"/>
          <w:sz w:val="16"/>
          <w:szCs w:val="16"/>
          <w:color w:val="auto"/>
        </w:rPr>
        <w:t>to related party (Note 9)........ 33,227 13,212 Obligation under capital leases (Note 8).................... 31,910 36,231 Future income taxes......................................... 30,138 15,115 Accrued benefit liability (Note 6).......................... 9,705 10,900 Other long-term liabilities................................. 2,855 98 --- ---- ------- 273,063 267,634 ------- ------- Commitments</w:t>
      </w:r>
    </w:p>
    <w:tbl>
      <w:tblPr>
        <w:tblLayout w:type="fixed"/>
        <w:tblInd w:w="120" w:type="dxa"/>
        <w:tblCellMar>
          <w:top w:w="0" w:type="dxa"/>
          <w:left w:w="0" w:type="dxa"/>
          <w:bottom w:w="0" w:type="dxa"/>
          <w:right w:w="0" w:type="dxa"/>
        </w:tblCellMar>
      </w:tblPr>
      <w:tr>
        <w:trPr>
          <w:trHeight w:val="172"/>
        </w:trPr>
        <w:tc>
          <w:tcPr>
            <w:tcW w:w="2940" w:type="dxa"/>
            <w:vAlign w:val="bottom"/>
            <w:gridSpan w:val="2"/>
          </w:tcPr>
          <w:p>
            <w:pPr>
              <w:jc w:val="right"/>
              <w:spacing w:after="0" w:line="172" w:lineRule="exact"/>
              <w:rPr>
                <w:sz w:val="20"/>
                <w:szCs w:val="20"/>
                <w:color w:val="auto"/>
              </w:rPr>
            </w:pPr>
            <w:r>
              <w:rPr>
                <w:rFonts w:ascii="Courier New" w:cs="Courier New" w:eastAsia="Courier New" w:hAnsi="Courier New"/>
                <w:sz w:val="18"/>
                <w:szCs w:val="18"/>
                <w:color w:val="auto"/>
                <w:w w:val="98"/>
              </w:rPr>
              <w:t>and contingencies (Note 15)</w:t>
            </w:r>
          </w:p>
        </w:tc>
        <w:tc>
          <w:tcPr>
            <w:tcW w:w="2960" w:type="dxa"/>
            <w:vAlign w:val="bottom"/>
            <w:gridSpan w:val="2"/>
          </w:tcPr>
          <w:p>
            <w:pPr>
              <w:ind w:left="60"/>
              <w:spacing w:after="0" w:line="172" w:lineRule="exact"/>
              <w:rPr>
                <w:sz w:val="20"/>
                <w:szCs w:val="20"/>
                <w:color w:val="auto"/>
              </w:rPr>
            </w:pPr>
            <w:r>
              <w:rPr>
                <w:rFonts w:ascii="Courier New" w:cs="Courier New" w:eastAsia="Courier New" w:hAnsi="Courier New"/>
                <w:sz w:val="18"/>
                <w:szCs w:val="18"/>
                <w:color w:val="auto"/>
                <w:w w:val="98"/>
              </w:rPr>
              <w:t>SHAREHOLDERS' EQUITY Option</w:t>
            </w:r>
          </w:p>
        </w:tc>
        <w:tc>
          <w:tcPr>
            <w:tcW w:w="0" w:type="dxa"/>
            <w:vAlign w:val="bottom"/>
          </w:tcPr>
          <w:p>
            <w:pPr>
              <w:spacing w:after="0"/>
              <w:rPr>
                <w:sz w:val="1"/>
                <w:szCs w:val="1"/>
                <w:color w:val="auto"/>
              </w:rPr>
            </w:pPr>
          </w:p>
        </w:tc>
      </w:tr>
      <w:tr>
        <w:trPr>
          <w:trHeight w:val="203"/>
        </w:trPr>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on convertible debentures</w:t>
            </w:r>
          </w:p>
        </w:tc>
        <w:tc>
          <w:tcPr>
            <w:tcW w:w="2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due to related party.....</w:t>
            </w:r>
          </w:p>
        </w:tc>
        <w:tc>
          <w:tcPr>
            <w:tcW w:w="0" w:type="dxa"/>
            <w:vAlign w:val="bottom"/>
          </w:tcPr>
          <w:p>
            <w:pPr>
              <w:spacing w:after="0"/>
              <w:rPr>
                <w:sz w:val="1"/>
                <w:szCs w:val="1"/>
                <w:color w:val="auto"/>
              </w:rPr>
            </w:pPr>
          </w:p>
        </w:tc>
      </w:tr>
      <w:tr>
        <w:trPr>
          <w:trHeight w:val="203"/>
        </w:trPr>
        <w:tc>
          <w:tcPr>
            <w:tcW w:w="120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3"/>
              </w:rPr>
              <w:t>11)...................................</w:t>
            </w:r>
          </w:p>
        </w:tc>
        <w:tc>
          <w:tcPr>
            <w:tcW w:w="3820" w:type="dxa"/>
            <w:vAlign w:val="bottom"/>
            <w:gridSpan w:val="2"/>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37,960 18,659 Common shares (Note</w:t>
            </w:r>
          </w:p>
        </w:tc>
        <w:tc>
          <w:tcPr>
            <w:tcW w:w="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48,795</w:t>
            </w:r>
          </w:p>
        </w:tc>
        <w:tc>
          <w:tcPr>
            <w:tcW w:w="0" w:type="dxa"/>
            <w:vAlign w:val="bottom"/>
          </w:tcPr>
          <w:p>
            <w:pPr>
              <w:spacing w:after="0"/>
              <w:rPr>
                <w:sz w:val="1"/>
                <w:szCs w:val="1"/>
                <w:color w:val="auto"/>
              </w:rPr>
            </w:pPr>
          </w:p>
        </w:tc>
      </w:tr>
      <w:tr>
        <w:trPr>
          <w:trHeight w:val="203"/>
        </w:trPr>
        <w:tc>
          <w:tcPr>
            <w:tcW w:w="120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20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102,169</w:t>
            </w: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200" w:type="dxa"/>
            <w:vAlign w:val="bottom"/>
            <w:vMerge w:val="restart"/>
          </w:tcPr>
          <w:p>
            <w:pPr>
              <w:jc w:val="right"/>
              <w:spacing w:after="0"/>
              <w:rPr>
                <w:sz w:val="20"/>
                <w:szCs w:val="20"/>
                <w:color w:val="auto"/>
              </w:rPr>
            </w:pPr>
            <w:r>
              <w:rPr>
                <w:rFonts w:ascii="Courier New" w:cs="Courier New" w:eastAsia="Courier New" w:hAnsi="Courier New"/>
                <w:sz w:val="5"/>
                <w:szCs w:val="5"/>
                <w:color w:val="auto"/>
                <w:w w:val="80"/>
              </w:rPr>
              <w:t>earnings.........................................</w:t>
            </w:r>
          </w:p>
        </w:tc>
        <w:tc>
          <w:tcPr>
            <w:tcW w:w="3820" w:type="dxa"/>
            <w:vAlign w:val="bottom"/>
            <w:gridSpan w:val="2"/>
          </w:tcPr>
          <w:p>
            <w:pPr>
              <w:jc w:val="center"/>
              <w:ind w:right="252"/>
              <w:spacing w:after="0"/>
              <w:rPr>
                <w:sz w:val="20"/>
                <w:szCs w:val="20"/>
                <w:color w:val="auto"/>
              </w:rPr>
            </w:pPr>
            <w:r>
              <w:rPr>
                <w:rFonts w:ascii="Courier New" w:cs="Courier New" w:eastAsia="Courier New" w:hAnsi="Courier New"/>
                <w:sz w:val="18"/>
                <w:szCs w:val="18"/>
                <w:color w:val="auto"/>
                <w:w w:val="97"/>
              </w:rPr>
              <w:t>Retained</w:t>
            </w:r>
          </w:p>
        </w:tc>
        <w:tc>
          <w:tcPr>
            <w:tcW w:w="8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51,068</w:t>
            </w:r>
          </w:p>
        </w:tc>
        <w:tc>
          <w:tcPr>
            <w:tcW w:w="0" w:type="dxa"/>
            <w:vAlign w:val="bottom"/>
          </w:tcPr>
          <w:p>
            <w:pPr>
              <w:spacing w:after="0"/>
              <w:rPr>
                <w:sz w:val="1"/>
                <w:szCs w:val="1"/>
                <w:color w:val="auto"/>
              </w:rPr>
            </w:pPr>
          </w:p>
        </w:tc>
      </w:tr>
      <w:tr>
        <w:trPr>
          <w:trHeight w:val="109"/>
        </w:trPr>
        <w:tc>
          <w:tcPr>
            <w:tcW w:w="1200" w:type="dxa"/>
            <w:vAlign w:val="bottom"/>
            <w:vMerge w:val="continue"/>
          </w:tcPr>
          <w:p>
            <w:pPr>
              <w:jc w:val="right"/>
              <w:spacing w:after="0" w:line="109" w:lineRule="exact"/>
              <w:rPr>
                <w:sz w:val="20"/>
                <w:szCs w:val="20"/>
                <w:color w:val="auto"/>
              </w:rPr>
            </w:pPr>
            <w:r>
              <w:rPr>
                <w:rFonts w:ascii="Courier New" w:cs="Courier New" w:eastAsia="Courier New" w:hAnsi="Courier New"/>
                <w:sz w:val="12"/>
                <w:szCs w:val="12"/>
                <w:color w:val="auto"/>
              </w:rPr>
              <w:t>-------</w:t>
            </w:r>
          </w:p>
        </w:tc>
        <w:tc>
          <w:tcPr>
            <w:tcW w:w="3820" w:type="dxa"/>
            <w:vAlign w:val="bottom"/>
            <w:gridSpan w:val="2"/>
            <w:vMerge w:val="restart"/>
          </w:tcPr>
          <w:p>
            <w:pPr>
              <w:jc w:val="right"/>
              <w:ind w:right="832"/>
              <w:spacing w:after="0"/>
              <w:rPr>
                <w:sz w:val="20"/>
                <w:szCs w:val="20"/>
                <w:color w:val="auto"/>
              </w:rPr>
            </w:pPr>
            <w:r>
              <w:rPr>
                <w:rFonts w:ascii="Courier New" w:cs="Courier New" w:eastAsia="Courier New" w:hAnsi="Courier New"/>
                <w:sz w:val="18"/>
                <w:szCs w:val="18"/>
                <w:color w:val="auto"/>
              </w:rPr>
              <w:t>------- 191,197 103,228</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right"/>
              <w:ind w:right="416"/>
              <w:spacing w:after="0" w:line="203" w:lineRule="exact"/>
              <w:rPr>
                <w:sz w:val="20"/>
                <w:szCs w:val="20"/>
                <w:color w:val="auto"/>
              </w:rPr>
            </w:pPr>
            <w:r>
              <w:rPr>
                <w:rFonts w:ascii="Courier New" w:cs="Courier New" w:eastAsia="Courier New" w:hAnsi="Courier New"/>
                <w:sz w:val="18"/>
                <w:szCs w:val="18"/>
                <w:color w:val="auto"/>
              </w:rPr>
              <w:t>35,774</w:t>
            </w:r>
          </w:p>
        </w:tc>
        <w:tc>
          <w:tcPr>
            <w:tcW w:w="3820" w:type="dxa"/>
            <w:vAlign w:val="bottom"/>
            <w:gridSpan w:val="2"/>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2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464,260 370,862</w:t>
            </w:r>
          </w:p>
        </w:tc>
        <w:tc>
          <w:tcPr>
            <w:tcW w:w="2080" w:type="dxa"/>
            <w:vAlign w:val="bottom"/>
          </w:tcPr>
          <w:p>
            <w:pPr>
              <w:ind w:left="60"/>
              <w:spacing w:after="0"/>
              <w:rPr>
                <w:sz w:val="20"/>
                <w:szCs w:val="20"/>
                <w:color w:val="auto"/>
              </w:rPr>
            </w:pPr>
            <w:r>
              <w:rPr>
                <w:rFonts w:ascii="Courier New" w:cs="Courier New" w:eastAsia="Courier New" w:hAnsi="Courier New"/>
                <w:sz w:val="18"/>
                <w:szCs w:val="18"/>
                <w:color w:val="auto"/>
              </w:rPr>
              <w:t>======= =======</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BEHALF OF THE BOARD OF DIRECTORS:</w:t>
      </w:r>
    </w:p>
    <w:p>
      <w:pPr>
        <w:spacing w:after="0" w:line="201" w:lineRule="exact"/>
        <w:rPr>
          <w:sz w:val="20"/>
          <w:szCs w:val="20"/>
          <w:color w:val="auto"/>
        </w:rPr>
      </w:pPr>
    </w:p>
    <w:p>
      <w:pPr>
        <w:ind w:left="220" w:hanging="212"/>
        <w:spacing w:after="0"/>
        <w:tabs>
          <w:tab w:leader="none" w:pos="22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Director</w:t>
      </w:r>
    </w:p>
    <w:p>
      <w:pPr>
        <w:spacing w:after="0" w:line="201" w:lineRule="exact"/>
        <w:rPr>
          <w:rFonts w:ascii="Courier New" w:cs="Courier New" w:eastAsia="Courier New" w:hAnsi="Courier New"/>
          <w:sz w:val="18"/>
          <w:szCs w:val="18"/>
          <w:color w:val="auto"/>
        </w:rPr>
      </w:pPr>
    </w:p>
    <w:p>
      <w:pPr>
        <w:ind w:left="4120" w:right="3359" w:hanging="4112"/>
        <w:spacing w:after="0" w:line="585" w:lineRule="auto"/>
        <w:tabs>
          <w:tab w:leader="none" w:pos="222"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Director F-46</w:t>
      </w:r>
    </w:p>
    <w:p>
      <w:pPr>
        <w:sectPr>
          <w:pgSz w:w="11900" w:h="16838" w:orient="portrait"/>
          <w:cols w:equalWidth="0" w:num="1">
            <w:col w:w="10219"/>
          </w:cols>
          <w:pgMar w:left="240" w:top="690" w:right="1440" w:bottom="1440" w:gutter="0" w:footer="0" w:header="0"/>
        </w:sectPr>
      </w:pPr>
    </w:p>
    <w:bookmarkStart w:id="124" w:name="page125"/>
    <w:bookmarkEnd w:id="124"/>
    <w:tbl>
      <w:tblPr>
        <w:tblLayout w:type="fixed"/>
        <w:tblInd w:w="280" w:type="dxa"/>
        <w:tblCellMar>
          <w:top w:w="0" w:type="dxa"/>
          <w:left w:w="0" w:type="dxa"/>
          <w:bottom w:w="0" w:type="dxa"/>
          <w:right w:w="0" w:type="dxa"/>
        </w:tblCellMar>
      </w:tblPr>
      <w:tr>
        <w:trPr>
          <w:trHeight w:val="296"/>
        </w:trPr>
        <w:tc>
          <w:tcPr>
            <w:tcW w:w="100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8"/>
                <w:szCs w:val="18"/>
                <w:color w:val="auto"/>
              </w:rPr>
              <w:t>CERTEN</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INC.</w:t>
            </w:r>
          </w:p>
        </w:tc>
      </w:tr>
      <w:tr>
        <w:trPr>
          <w:trHeight w:val="311"/>
        </w:trPr>
        <w:tc>
          <w:tcPr>
            <w:tcW w:w="1000" w:type="dxa"/>
            <w:vAlign w:val="bottom"/>
          </w:tcPr>
          <w:p>
            <w:pPr>
              <w:spacing w:after="0"/>
              <w:rPr>
                <w:sz w:val="24"/>
                <w:szCs w:val="24"/>
                <w:color w:val="auto"/>
              </w:rPr>
            </w:pPr>
          </w:p>
        </w:tc>
        <w:tc>
          <w:tcPr>
            <w:tcW w:w="568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STATEMENT OF CASH FLOWS YEAR ENDED DECEMBER 31, 2002</w:t>
            </w:r>
          </w:p>
        </w:tc>
      </w:tr>
      <w:tr>
        <w:trPr>
          <w:trHeight w:val="296"/>
        </w:trPr>
        <w:tc>
          <w:tcPr>
            <w:tcW w:w="100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8"/>
                <w:szCs w:val="18"/>
                <w:color w:val="auto"/>
              </w:rPr>
              <w:t>(IN THOUSANDS</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OF DOLLARS)</w:t>
            </w:r>
          </w:p>
        </w:tc>
      </w:tr>
      <w:tr>
        <w:trPr>
          <w:trHeight w:val="343"/>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2002 2001</w:t>
            </w:r>
          </w:p>
        </w:tc>
        <w:tc>
          <w:tcPr>
            <w:tcW w:w="5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 ----------- (12 MONTHS) (11</w:t>
            </w:r>
          </w:p>
        </w:tc>
      </w:tr>
    </w:tbl>
    <w:p>
      <w:pPr>
        <w:jc w:val="center"/>
        <w:ind w:right="4519"/>
        <w:spacing w:after="0" w:line="238" w:lineRule="auto"/>
        <w:rPr>
          <w:sz w:val="20"/>
          <w:szCs w:val="20"/>
          <w:color w:val="auto"/>
        </w:rPr>
      </w:pPr>
      <w:r>
        <w:rPr>
          <w:rFonts w:ascii="Courier New" w:cs="Courier New" w:eastAsia="Courier New" w:hAnsi="Courier New"/>
          <w:sz w:val="18"/>
          <w:szCs w:val="18"/>
          <w:color w:val="auto"/>
        </w:rPr>
        <w:t>MONTHS) $ $ OPERATING ACTIVITIES Net</w:t>
      </w:r>
    </w:p>
    <w:p>
      <w:pPr>
        <w:spacing w:after="0"/>
        <w:rPr>
          <w:sz w:val="20"/>
          <w:szCs w:val="20"/>
          <w:color w:val="auto"/>
        </w:rPr>
      </w:pPr>
      <w:r>
        <w:rPr>
          <w:rFonts w:ascii="Courier New" w:cs="Courier New" w:eastAsia="Courier New" w:hAnsi="Courier New"/>
          <w:sz w:val="18"/>
          <w:szCs w:val="18"/>
          <w:color w:val="auto"/>
        </w:rPr>
        <w:t>earnings..............................................</w:t>
      </w:r>
    </w:p>
    <w:p>
      <w:pPr>
        <w:ind w:left="120"/>
        <w:spacing w:after="0" w:line="238" w:lineRule="auto"/>
        <w:rPr>
          <w:sz w:val="20"/>
          <w:szCs w:val="20"/>
          <w:color w:val="auto"/>
        </w:rPr>
      </w:pPr>
      <w:r>
        <w:rPr>
          <w:rFonts w:ascii="Courier New" w:cs="Courier New" w:eastAsia="Courier New" w:hAnsi="Courier New"/>
          <w:sz w:val="18"/>
          <w:szCs w:val="18"/>
          <w:color w:val="auto"/>
        </w:rPr>
        <w:t>15,294 36,774 Adjustments for: Amortization (Notes 4</w:t>
      </w:r>
    </w:p>
    <w:tbl>
      <w:tblPr>
        <w:tblLayout w:type="fixed"/>
        <w:tblInd w:w="60" w:type="dxa"/>
        <w:tblCellMar>
          <w:top w:w="0" w:type="dxa"/>
          <w:left w:w="0" w:type="dxa"/>
          <w:bottom w:w="0" w:type="dxa"/>
          <w:right w:w="0" w:type="dxa"/>
        </w:tblCellMar>
      </w:tblPr>
      <w:tr>
        <w:trPr>
          <w:trHeight w:val="171"/>
        </w:trPr>
        <w:tc>
          <w:tcPr>
            <w:tcW w:w="2360" w:type="dxa"/>
            <w:vAlign w:val="bottom"/>
            <w:gridSpan w:val="2"/>
          </w:tcPr>
          <w:p>
            <w:pPr>
              <w:ind w:left="320"/>
              <w:spacing w:after="0"/>
              <w:rPr>
                <w:sz w:val="20"/>
                <w:szCs w:val="20"/>
                <w:color w:val="auto"/>
              </w:rPr>
            </w:pPr>
            <w:r>
              <w:rPr>
                <w:rFonts w:ascii="Courier New" w:cs="Courier New" w:eastAsia="Courier New" w:hAnsi="Courier New"/>
                <w:sz w:val="14"/>
                <w:szCs w:val="14"/>
                <w:color w:val="auto"/>
                <w:w w:val="72"/>
              </w:rPr>
              <w:t>and 5)...........................</w:t>
            </w:r>
          </w:p>
        </w:tc>
        <w:tc>
          <w:tcPr>
            <w:tcW w:w="3220" w:type="dxa"/>
            <w:vAlign w:val="bottom"/>
            <w:gridSpan w:val="2"/>
          </w:tcPr>
          <w:p>
            <w:pPr>
              <w:jc w:val="right"/>
              <w:ind w:right="232"/>
              <w:spacing w:after="0" w:line="171" w:lineRule="exact"/>
              <w:rPr>
                <w:sz w:val="20"/>
                <w:szCs w:val="20"/>
                <w:color w:val="auto"/>
              </w:rPr>
            </w:pPr>
            <w:r>
              <w:rPr>
                <w:rFonts w:ascii="Courier New" w:cs="Courier New" w:eastAsia="Courier New" w:hAnsi="Courier New"/>
                <w:sz w:val="18"/>
                <w:szCs w:val="18"/>
                <w:color w:val="auto"/>
              </w:rPr>
              <w:t>60,518 18,234</w:t>
            </w:r>
          </w:p>
        </w:tc>
        <w:tc>
          <w:tcPr>
            <w:tcW w:w="0" w:type="dxa"/>
            <w:vAlign w:val="bottom"/>
          </w:tcPr>
          <w:p>
            <w:pPr>
              <w:spacing w:after="0"/>
              <w:rPr>
                <w:sz w:val="1"/>
                <w:szCs w:val="1"/>
                <w:color w:val="auto"/>
              </w:rPr>
            </w:pPr>
          </w:p>
        </w:tc>
      </w:tr>
      <w:tr>
        <w:trPr>
          <w:trHeight w:val="203"/>
        </w:trPr>
        <w:tc>
          <w:tcPr>
            <w:tcW w:w="55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Accretion on convertible debentures due to related</w:t>
            </w:r>
          </w:p>
        </w:tc>
        <w:tc>
          <w:tcPr>
            <w:tcW w:w="0" w:type="dxa"/>
            <w:vAlign w:val="bottom"/>
          </w:tcPr>
          <w:p>
            <w:pPr>
              <w:spacing w:after="0"/>
              <w:rPr>
                <w:sz w:val="1"/>
                <w:szCs w:val="1"/>
                <w:color w:val="auto"/>
              </w:rPr>
            </w:pPr>
          </w:p>
        </w:tc>
      </w:tr>
      <w:tr>
        <w:trPr>
          <w:trHeight w:val="296"/>
        </w:trPr>
        <w:tc>
          <w:tcPr>
            <w:tcW w:w="168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76"/>
              </w:rPr>
              <w:t>9)........................................</w:t>
            </w:r>
            <w:r>
              <w:rPr>
                <w:rFonts w:ascii="Courier New" w:cs="Courier New" w:eastAsia="Courier New" w:hAnsi="Courier New"/>
                <w:sz w:val="8"/>
                <w:szCs w:val="8"/>
                <w:color w:val="auto"/>
                <w:w w:val="76"/>
                <w:vertAlign w:val="subscript"/>
              </w:rPr>
              <w:t>....................................</w:t>
            </w:r>
          </w:p>
        </w:tc>
        <w:tc>
          <w:tcPr>
            <w:tcW w:w="2900" w:type="dxa"/>
            <w:vAlign w:val="bottom"/>
            <w:gridSpan w:val="2"/>
          </w:tcPr>
          <w:p>
            <w:pPr>
              <w:jc w:val="center"/>
              <w:ind w:right="572"/>
              <w:spacing w:after="0"/>
              <w:rPr>
                <w:sz w:val="20"/>
                <w:szCs w:val="20"/>
                <w:color w:val="auto"/>
              </w:rPr>
            </w:pPr>
            <w:r>
              <w:rPr>
                <w:rFonts w:ascii="Courier New" w:cs="Courier New" w:eastAsia="Courier New" w:hAnsi="Courier New"/>
                <w:sz w:val="18"/>
                <w:szCs w:val="18"/>
                <w:color w:val="auto"/>
                <w:w w:val="97"/>
              </w:rPr>
              <w:t>party (Note</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5,457 908</w:t>
            </w:r>
          </w:p>
        </w:tc>
        <w:tc>
          <w:tcPr>
            <w:tcW w:w="0" w:type="dxa"/>
            <w:vAlign w:val="bottom"/>
          </w:tcPr>
          <w:p>
            <w:pPr>
              <w:spacing w:after="0"/>
              <w:rPr>
                <w:sz w:val="1"/>
                <w:szCs w:val="1"/>
                <w:color w:val="auto"/>
              </w:rPr>
            </w:pPr>
          </w:p>
        </w:tc>
      </w:tr>
      <w:tr>
        <w:trPr>
          <w:trHeight w:val="287"/>
        </w:trPr>
        <w:tc>
          <w:tcPr>
            <w:tcW w:w="1680" w:type="dxa"/>
            <w:vAlign w:val="bottom"/>
            <w:vMerge w:val="continue"/>
          </w:tcPr>
          <w:p>
            <w:pPr>
              <w:spacing w:after="0"/>
              <w:rPr>
                <w:sz w:val="24"/>
                <w:szCs w:val="24"/>
                <w:color w:val="auto"/>
              </w:rPr>
            </w:pPr>
          </w:p>
        </w:tc>
        <w:tc>
          <w:tcPr>
            <w:tcW w:w="2900" w:type="dxa"/>
            <w:vAlign w:val="bottom"/>
            <w:gridSpan w:val="2"/>
            <w:vMerge w:val="restart"/>
          </w:tcPr>
          <w:p>
            <w:pPr>
              <w:jc w:val="center"/>
              <w:ind w:right="592"/>
              <w:spacing w:after="0"/>
              <w:rPr>
                <w:sz w:val="20"/>
                <w:szCs w:val="20"/>
                <w:color w:val="auto"/>
              </w:rPr>
            </w:pPr>
            <w:r>
              <w:rPr>
                <w:rFonts w:ascii="Courier New" w:cs="Courier New" w:eastAsia="Courier New" w:hAnsi="Courier New"/>
                <w:sz w:val="18"/>
                <w:szCs w:val="18"/>
                <w:color w:val="auto"/>
                <w:w w:val="98"/>
              </w:rPr>
              <w:t>Future income</w:t>
            </w: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6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taxes</w:t>
            </w:r>
          </w:p>
        </w:tc>
        <w:tc>
          <w:tcPr>
            <w:tcW w:w="2900" w:type="dxa"/>
            <w:vAlign w:val="bottom"/>
            <w:gridSpan w:val="2"/>
            <w:vMerge w:val="continue"/>
          </w:tcPr>
          <w:p>
            <w:pPr>
              <w:spacing w:after="0"/>
              <w:rPr>
                <w:sz w:val="10"/>
                <w:szCs w:val="10"/>
                <w:color w:val="auto"/>
              </w:rPr>
            </w:pP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14,247</w:t>
            </w:r>
          </w:p>
        </w:tc>
        <w:tc>
          <w:tcPr>
            <w:tcW w:w="0" w:type="dxa"/>
            <w:vAlign w:val="bottom"/>
          </w:tcPr>
          <w:p>
            <w:pPr>
              <w:spacing w:after="0"/>
              <w:rPr>
                <w:sz w:val="1"/>
                <w:szCs w:val="1"/>
                <w:color w:val="auto"/>
              </w:rPr>
            </w:pPr>
          </w:p>
        </w:tc>
      </w:tr>
      <w:tr>
        <w:trPr>
          <w:trHeight w:val="109"/>
        </w:trPr>
        <w:tc>
          <w:tcPr>
            <w:tcW w:w="16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5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14,473 Net benefit plans expense (Note</w:t>
            </w:r>
          </w:p>
        </w:tc>
        <w:tc>
          <w:tcPr>
            <w:tcW w:w="0" w:type="dxa"/>
            <w:vAlign w:val="bottom"/>
          </w:tcPr>
          <w:p>
            <w:pPr>
              <w:spacing w:after="0"/>
              <w:rPr>
                <w:sz w:val="1"/>
                <w:szCs w:val="1"/>
                <w:color w:val="auto"/>
              </w:rPr>
            </w:pPr>
          </w:p>
        </w:tc>
      </w:tr>
      <w:tr>
        <w:trPr>
          <w:trHeight w:val="203"/>
        </w:trPr>
        <w:tc>
          <w:tcPr>
            <w:tcW w:w="23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85"/>
              </w:rPr>
              <w:t>6).....................</w:t>
            </w:r>
          </w:p>
        </w:tc>
        <w:tc>
          <w:tcPr>
            <w:tcW w:w="32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2,233 1,900 Net change in</w:t>
            </w:r>
          </w:p>
        </w:tc>
        <w:tc>
          <w:tcPr>
            <w:tcW w:w="0" w:type="dxa"/>
            <w:vAlign w:val="bottom"/>
          </w:tcPr>
          <w:p>
            <w:pPr>
              <w:spacing w:after="0"/>
              <w:rPr>
                <w:sz w:val="1"/>
                <w:szCs w:val="1"/>
                <w:color w:val="auto"/>
              </w:rPr>
            </w:pPr>
          </w:p>
        </w:tc>
      </w:tr>
      <w:tr>
        <w:trPr>
          <w:trHeight w:val="203"/>
        </w:trPr>
        <w:tc>
          <w:tcPr>
            <w:tcW w:w="4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non-cash working capital items (Note 12)....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15,556</w:t>
            </w:r>
          </w:p>
        </w:tc>
        <w:tc>
          <w:tcPr>
            <w:tcW w:w="0" w:type="dxa"/>
            <w:vAlign w:val="bottom"/>
          </w:tcPr>
          <w:p>
            <w:pPr>
              <w:spacing w:after="0"/>
              <w:rPr>
                <w:sz w:val="1"/>
                <w:szCs w:val="1"/>
                <w:color w:val="auto"/>
              </w:rPr>
            </w:pPr>
          </w:p>
        </w:tc>
      </w:tr>
      <w:tr>
        <w:trPr>
          <w:trHeight w:val="203"/>
        </w:trPr>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104,433 --------</w:t>
            </w: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-------- 113,305 176,722 --------</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6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70"/>
              </w:rPr>
              <w:t>expenditures</w:t>
            </w:r>
            <w:r>
              <w:rPr>
                <w:rFonts w:ascii="Courier New" w:cs="Courier New" w:eastAsia="Courier New" w:hAnsi="Courier New"/>
                <w:sz w:val="35"/>
                <w:szCs w:val="35"/>
                <w:color w:val="auto"/>
                <w:w w:val="70"/>
                <w:vertAlign w:val="superscript"/>
              </w:rPr>
              <w:t>------</w:t>
            </w:r>
          </w:p>
        </w:tc>
        <w:tc>
          <w:tcPr>
            <w:tcW w:w="3900" w:type="dxa"/>
            <w:vAlign w:val="bottom"/>
            <w:gridSpan w:val="3"/>
          </w:tcPr>
          <w:p>
            <w:pPr>
              <w:jc w:val="right"/>
              <w:ind w:right="852"/>
              <w:spacing w:after="0"/>
              <w:rPr>
                <w:sz w:val="20"/>
                <w:szCs w:val="20"/>
                <w:color w:val="auto"/>
              </w:rPr>
            </w:pPr>
            <w:r>
              <w:rPr>
                <w:rFonts w:ascii="Courier New" w:cs="Courier New" w:eastAsia="Courier New" w:hAnsi="Courier New"/>
                <w:sz w:val="18"/>
                <w:szCs w:val="18"/>
                <w:color w:val="auto"/>
                <w:w w:val="97"/>
              </w:rPr>
              <w:t>INVESTING ACTIVITIES Capital</w:t>
            </w:r>
          </w:p>
        </w:tc>
        <w:tc>
          <w:tcPr>
            <w:tcW w:w="0" w:type="dxa"/>
            <w:vAlign w:val="bottom"/>
          </w:tcPr>
          <w:p>
            <w:pPr>
              <w:spacing w:after="0"/>
              <w:rPr>
                <w:sz w:val="1"/>
                <w:szCs w:val="1"/>
                <w:color w:val="auto"/>
              </w:rPr>
            </w:pPr>
          </w:p>
        </w:tc>
      </w:tr>
      <w:tr>
        <w:trPr>
          <w:trHeight w:val="109"/>
        </w:trPr>
        <w:tc>
          <w:tcPr>
            <w:tcW w:w="2360" w:type="dxa"/>
            <w:vAlign w:val="bottom"/>
            <w:gridSpan w:val="2"/>
            <w:vMerge w:val="continue"/>
          </w:tcPr>
          <w:p>
            <w:pPr>
              <w:ind w:left="1420"/>
              <w:spacing w:after="0"/>
              <w:rPr>
                <w:sz w:val="20"/>
                <w:szCs w:val="20"/>
                <w:color w:val="auto"/>
              </w:rPr>
            </w:pPr>
            <w:r>
              <w:rPr>
                <w:rFonts w:ascii="Courier New" w:cs="Courier New" w:eastAsia="Courier New" w:hAnsi="Courier New"/>
                <w:sz w:val="5"/>
                <w:szCs w:val="5"/>
                <w:color w:val="auto"/>
                <w:w w:val="80"/>
              </w:rPr>
              <w:t>......................................</w:t>
            </w:r>
          </w:p>
        </w:tc>
        <w:tc>
          <w:tcPr>
            <w:tcW w:w="3220" w:type="dxa"/>
            <w:vAlign w:val="bottom"/>
            <w:gridSpan w:val="2"/>
            <w:vMerge w:val="restart"/>
          </w:tcPr>
          <w:p>
            <w:pPr>
              <w:jc w:val="right"/>
              <w:ind w:right="232"/>
              <w:spacing w:after="0"/>
              <w:rPr>
                <w:sz w:val="20"/>
                <w:szCs w:val="20"/>
                <w:color w:val="auto"/>
              </w:rPr>
            </w:pPr>
            <w:r>
              <w:rPr>
                <w:rFonts w:ascii="Courier New" w:cs="Courier New" w:eastAsia="Courier New" w:hAnsi="Courier New"/>
                <w:sz w:val="18"/>
                <w:szCs w:val="18"/>
                <w:color w:val="auto"/>
                <w:w w:val="98"/>
              </w:rPr>
              <w:t>-------- -------- FINANCING</w:t>
            </w:r>
          </w:p>
        </w:tc>
        <w:tc>
          <w:tcPr>
            <w:tcW w:w="0" w:type="dxa"/>
            <w:vAlign w:val="bottom"/>
          </w:tcPr>
          <w:p>
            <w:pPr>
              <w:spacing w:after="0"/>
              <w:rPr>
                <w:sz w:val="1"/>
                <w:szCs w:val="1"/>
                <w:color w:val="auto"/>
              </w:rPr>
            </w:pPr>
          </w:p>
        </w:tc>
      </w:tr>
      <w:tr>
        <w:trPr>
          <w:trHeight w:val="296"/>
        </w:trPr>
        <w:tc>
          <w:tcPr>
            <w:tcW w:w="236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8"/>
              </w:rPr>
              <w:t>(208,259) (154,920)</w:t>
            </w:r>
          </w:p>
        </w:tc>
        <w:tc>
          <w:tcPr>
            <w:tcW w:w="32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related party...</w:t>
            </w:r>
          </w:p>
        </w:tc>
        <w:tc>
          <w:tcPr>
            <w:tcW w:w="37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33,859 30,963 Issuance of common</w:t>
            </w:r>
          </w:p>
        </w:tc>
        <w:tc>
          <w:tcPr>
            <w:tcW w:w="0" w:type="dxa"/>
            <w:vAlign w:val="bottom"/>
          </w:tcPr>
          <w:p>
            <w:pPr>
              <w:spacing w:after="0"/>
              <w:rPr>
                <w:sz w:val="1"/>
                <w:szCs w:val="1"/>
                <w:color w:val="auto"/>
              </w:rPr>
            </w:pPr>
          </w:p>
        </w:tc>
      </w:tr>
      <w:tr>
        <w:trPr>
          <w:trHeight w:val="203"/>
        </w:trPr>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shares (Note 11).......................</w:t>
            </w:r>
          </w:p>
        </w:tc>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47,241 4,928</w:t>
            </w:r>
          </w:p>
        </w:tc>
        <w:tc>
          <w:tcPr>
            <w:tcW w:w="0" w:type="dxa"/>
            <w:vAlign w:val="bottom"/>
          </w:tcPr>
          <w:p>
            <w:pPr>
              <w:spacing w:after="0"/>
              <w:rPr>
                <w:sz w:val="1"/>
                <w:szCs w:val="1"/>
                <w:color w:val="auto"/>
              </w:rPr>
            </w:pPr>
          </w:p>
        </w:tc>
      </w:tr>
      <w:tr>
        <w:trPr>
          <w:trHeight w:val="203"/>
        </w:trPr>
        <w:tc>
          <w:tcPr>
            <w:tcW w:w="184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0"/>
              </w:rPr>
              <w:t>leases.................................</w:t>
            </w:r>
          </w:p>
        </w:tc>
        <w:tc>
          <w:tcPr>
            <w:tcW w:w="3740" w:type="dxa"/>
            <w:vAlign w:val="bottom"/>
            <w:gridSpan w:val="2"/>
          </w:tcPr>
          <w:p>
            <w:pPr>
              <w:jc w:val="center"/>
              <w:ind w:right="1752"/>
              <w:spacing w:after="0" w:line="203" w:lineRule="exact"/>
              <w:rPr>
                <w:sz w:val="20"/>
                <w:szCs w:val="20"/>
                <w:color w:val="auto"/>
              </w:rPr>
            </w:pPr>
            <w:r>
              <w:rPr>
                <w:rFonts w:ascii="Courier New" w:cs="Courier New" w:eastAsia="Courier New" w:hAnsi="Courier New"/>
                <w:sz w:val="18"/>
                <w:szCs w:val="18"/>
                <w:color w:val="auto"/>
                <w:w w:val="97"/>
              </w:rPr>
              <w:t>Payment of capital</w:t>
            </w:r>
          </w:p>
        </w:tc>
        <w:tc>
          <w:tcPr>
            <w:tcW w:w="0" w:type="dxa"/>
            <w:vAlign w:val="bottom"/>
          </w:tcPr>
          <w:p>
            <w:pPr>
              <w:spacing w:after="0"/>
              <w:rPr>
                <w:sz w:val="1"/>
                <w:szCs w:val="1"/>
                <w:color w:val="auto"/>
              </w:rPr>
            </w:pPr>
          </w:p>
        </w:tc>
      </w:tr>
      <w:tr>
        <w:trPr>
          <w:trHeight w:val="203"/>
        </w:trPr>
        <w:tc>
          <w:tcPr>
            <w:tcW w:w="184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(10,249) -- -</w:t>
            </w:r>
          </w:p>
        </w:tc>
        <w:tc>
          <w:tcPr>
            <w:tcW w:w="0" w:type="dxa"/>
            <w:vAlign w:val="bottom"/>
          </w:tcPr>
          <w:p>
            <w:pPr>
              <w:spacing w:after="0"/>
              <w:rPr>
                <w:sz w:val="1"/>
                <w:szCs w:val="1"/>
                <w:color w:val="auto"/>
              </w:rPr>
            </w:pPr>
          </w:p>
        </w:tc>
      </w:tr>
      <w:tr>
        <w:trPr>
          <w:trHeight w:val="203"/>
        </w:trPr>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-------- 70,851 35,891</w:t>
            </w:r>
          </w:p>
        </w:tc>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Net</w:t>
            </w:r>
          </w:p>
        </w:tc>
        <w:tc>
          <w:tcPr>
            <w:tcW w:w="0" w:type="dxa"/>
            <w:vAlign w:val="bottom"/>
          </w:tcPr>
          <w:p>
            <w:pPr>
              <w:spacing w:after="0"/>
              <w:rPr>
                <w:sz w:val="1"/>
                <w:szCs w:val="1"/>
                <w:color w:val="auto"/>
              </w:rPr>
            </w:pPr>
          </w:p>
        </w:tc>
      </w:tr>
      <w:tr>
        <w:trPr>
          <w:trHeight w:val="203"/>
        </w:trPr>
        <w:tc>
          <w:tcPr>
            <w:tcW w:w="5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(decrease) increase in cash and cash</w:t>
            </w:r>
          </w:p>
        </w:tc>
        <w:tc>
          <w:tcPr>
            <w:tcW w:w="0" w:type="dxa"/>
            <w:vAlign w:val="bottom"/>
          </w:tcPr>
          <w:p>
            <w:pPr>
              <w:spacing w:after="0"/>
              <w:rPr>
                <w:sz w:val="1"/>
                <w:szCs w:val="1"/>
                <w:color w:val="auto"/>
              </w:rPr>
            </w:pP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8"/>
              </w:rPr>
              <w:t>equivalents........</w:t>
            </w:r>
          </w:p>
        </w:tc>
        <w:tc>
          <w:tcPr>
            <w:tcW w:w="3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(24,103) 57,693 Cash and cash</w:t>
            </w:r>
          </w:p>
        </w:tc>
        <w:tc>
          <w:tcPr>
            <w:tcW w:w="0" w:type="dxa"/>
            <w:vAlign w:val="bottom"/>
          </w:tcPr>
          <w:p>
            <w:pPr>
              <w:spacing w:after="0"/>
              <w:rPr>
                <w:sz w:val="1"/>
                <w:szCs w:val="1"/>
                <w:color w:val="auto"/>
              </w:rPr>
            </w:pPr>
          </w:p>
        </w:tc>
      </w:tr>
      <w:tr>
        <w:trPr>
          <w:trHeight w:val="203"/>
        </w:trPr>
        <w:tc>
          <w:tcPr>
            <w:tcW w:w="3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equivalents, beginning of year................</w:t>
            </w:r>
          </w:p>
        </w:tc>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57,693</w:t>
            </w:r>
          </w:p>
        </w:tc>
        <w:tc>
          <w:tcPr>
            <w:tcW w:w="0" w:type="dxa"/>
            <w:vAlign w:val="bottom"/>
          </w:tcPr>
          <w:p>
            <w:pPr>
              <w:spacing w:after="0"/>
              <w:rPr>
                <w:sz w:val="1"/>
                <w:szCs w:val="1"/>
                <w:color w:val="auto"/>
              </w:rPr>
            </w:pPr>
          </w:p>
        </w:tc>
      </w:tr>
      <w:tr>
        <w:trPr>
          <w:trHeight w:val="203"/>
        </w:trPr>
        <w:tc>
          <w:tcPr>
            <w:tcW w:w="5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 CASH AND CASH EQUIVALENTS, END</w:t>
            </w:r>
          </w:p>
        </w:tc>
        <w:tc>
          <w:tcPr>
            <w:tcW w:w="0" w:type="dxa"/>
            <w:vAlign w:val="bottom"/>
          </w:tcPr>
          <w:p>
            <w:pPr>
              <w:spacing w:after="0"/>
              <w:rPr>
                <w:sz w:val="1"/>
                <w:szCs w:val="1"/>
                <w:color w:val="auto"/>
              </w:rPr>
            </w:pPr>
          </w:p>
        </w:tc>
      </w:tr>
      <w:tr>
        <w:trPr>
          <w:trHeight w:val="296"/>
        </w:trPr>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w w:val="99"/>
              </w:rPr>
              <w:t>OF YEAR (Note 12)</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3"/>
              </w:rPr>
              <w:t>............</w:t>
            </w:r>
            <w:r>
              <w:rPr>
                <w:rFonts w:ascii="Courier New" w:cs="Courier New" w:eastAsia="Courier New" w:hAnsi="Courier New"/>
                <w:sz w:val="26"/>
                <w:szCs w:val="26"/>
                <w:color w:val="auto"/>
                <w:w w:val="73"/>
                <w:vertAlign w:val="subscript"/>
              </w:rPr>
              <w:t>========</w:t>
            </w:r>
          </w:p>
        </w:tc>
        <w:tc>
          <w:tcPr>
            <w:tcW w:w="2360" w:type="dxa"/>
            <w:vAlign w:val="bottom"/>
          </w:tcPr>
          <w:p>
            <w:pPr>
              <w:jc w:val="right"/>
              <w:spacing w:after="0"/>
              <w:rPr>
                <w:sz w:val="20"/>
                <w:szCs w:val="20"/>
                <w:color w:val="auto"/>
              </w:rPr>
            </w:pPr>
            <w:r>
              <w:rPr>
                <w:rFonts w:ascii="Courier New" w:cs="Courier New" w:eastAsia="Courier New" w:hAnsi="Courier New"/>
                <w:sz w:val="18"/>
                <w:szCs w:val="18"/>
                <w:color w:val="auto"/>
                <w:w w:val="95"/>
              </w:rPr>
              <w:t>33,590 57,693 ========</w:t>
            </w:r>
          </w:p>
        </w:tc>
        <w:tc>
          <w:tcPr>
            <w:tcW w:w="0" w:type="dxa"/>
            <w:vAlign w:val="bottom"/>
          </w:tcPr>
          <w:p>
            <w:pPr>
              <w:spacing w:after="0"/>
              <w:rPr>
                <w:sz w:val="1"/>
                <w:szCs w:val="1"/>
                <w:color w:val="auto"/>
              </w:rPr>
            </w:pPr>
          </w:p>
        </w:tc>
      </w:tr>
      <w:tr>
        <w:trPr>
          <w:trHeight w:val="219"/>
        </w:trPr>
        <w:tc>
          <w:tcPr>
            <w:tcW w:w="18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224"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F-47</w:t>
      </w:r>
    </w:p>
    <w:p>
      <w:pPr>
        <w:sectPr>
          <w:pgSz w:w="11900" w:h="16838" w:orient="portrait"/>
          <w:cols w:equalWidth="0" w:num="1">
            <w:col w:w="10219"/>
          </w:cols>
          <w:pgMar w:left="240" w:top="690" w:right="1440" w:bottom="1440" w:gutter="0" w:footer="0" w:header="0"/>
        </w:sectPr>
      </w:pPr>
    </w:p>
    <w:bookmarkStart w:id="125" w:name="page126"/>
    <w:bookmarkEnd w:id="125"/>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THE FINANCIAL STATEMENTS YEAR ENDED DECEMBER 31, 2002</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(ALL TABULAR AMOUNTS ARE IN THOUSANDS OF DOLLARS EXCEPT WHERE OTHERWISE NOTED)</w:t>
      </w:r>
    </w:p>
    <w:p>
      <w:pPr>
        <w:spacing w:after="0" w:line="169" w:lineRule="exact"/>
        <w:rPr>
          <w:sz w:val="20"/>
          <w:szCs w:val="20"/>
          <w:color w:val="auto"/>
        </w:rPr>
      </w:pPr>
    </w:p>
    <w:p>
      <w:pPr>
        <w:ind w:left="420" w:hanging="412"/>
        <w:spacing w:after="0"/>
        <w:tabs>
          <w:tab w:leader="none" w:pos="4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THE BUSINESS</w:t>
      </w:r>
    </w:p>
    <w:p>
      <w:pPr>
        <w:spacing w:after="0" w:line="201" w:lineRule="exact"/>
        <w:rPr>
          <w:sz w:val="20"/>
          <w:szCs w:val="20"/>
          <w:color w:val="auto"/>
        </w:rPr>
      </w:pPr>
    </w:p>
    <w:p>
      <w:pPr>
        <w:ind w:right="2199" w:firstLine="527"/>
        <w:spacing w:after="0" w:line="306" w:lineRule="auto"/>
        <w:rPr>
          <w:sz w:val="20"/>
          <w:szCs w:val="20"/>
          <w:color w:val="auto"/>
        </w:rPr>
      </w:pPr>
      <w:r>
        <w:rPr>
          <w:rFonts w:ascii="Courier New" w:cs="Courier New" w:eastAsia="Courier New" w:hAnsi="Courier New"/>
          <w:sz w:val="16"/>
          <w:szCs w:val="16"/>
          <w:color w:val="auto"/>
        </w:rPr>
        <w:t>On September 28, 2000, 3814840 Canada Inc. was incorporated under the Canada Business Corporations Act and was renamed on January 22, 2001, Certen Inc. ("Certen" or the "Company"). On January 26, 2001, Certen commenced its operations. The Company's shareholders consist of Bell Canada and Solect Technology Group Inc. (subsequently renamed Amdocs Canada Inc. ("Amdocs").</w:t>
      </w:r>
    </w:p>
    <w:p>
      <w:pPr>
        <w:spacing w:after="0" w:line="60"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Effective January 26, 2001, Bell Canada transferred to Certen, at book value, which approximates fair value of $50 million of capital assets in return for a $45 million promissory note due to related party and 50,000 common shares of the Company for a total value of $5 million. Additionally, on the same date, Certen issued to Amdocs a $3.5 million, 6% convertible debenture, maturing on January 26, 2008 and 5,617 common shares for a total value of $561,735. At December 31, 2002, Bell Canada and Amdocs hold an 89.9% and 10.1% interest, respectively in Certen.</w:t>
      </w:r>
    </w:p>
    <w:p>
      <w:pPr>
        <w:spacing w:after="0" w:line="104"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Certen provides billing solutions to its primary customer and controlling shareholder, Bell Canada.</w:t>
      </w:r>
    </w:p>
    <w:p>
      <w:pPr>
        <w:spacing w:after="0" w:line="18" w:lineRule="exact"/>
        <w:rPr>
          <w:sz w:val="20"/>
          <w:szCs w:val="20"/>
          <w:color w:val="auto"/>
        </w:rPr>
      </w:pPr>
    </w:p>
    <w:p>
      <w:pPr>
        <w:ind w:left="420" w:hanging="412"/>
        <w:spacing w:after="0"/>
        <w:tabs>
          <w:tab w:leader="none" w:pos="42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ACCOUNTING POLICIES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BASIS OF PRESENTATION</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financial statements have been prepared in accordance with Canadian generally accepted accounting principles (GAAP). Certain comparative figures have been reclassified to conform to the current year presentation. The significant differences relevant to the Company between Canadian and United States GAAP are described and reconciled in Note 16. All amounts are in Canadian dollars unless otherwise indicated.</w:t>
      </w:r>
    </w:p>
    <w:p>
      <w:pPr>
        <w:spacing w:after="0" w:line="93"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For the period ended December 31, 2001, the statements of operations and retained earnings and cash flows cover the period of January 26, 2001 to December 31, 2001.</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 OF ESTIMATES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As a result of the use of estimates inherent in the financial reporting process, actual results could differ from those estimates.</w:t>
      </w:r>
    </w:p>
    <w:p>
      <w:pPr>
        <w:spacing w:after="0" w:line="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Company recognizes revenues as services are rendered to its customers.</w:t>
      </w:r>
    </w:p>
    <w:p>
      <w:pPr>
        <w:spacing w:after="0" w:line="22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AND CASH EQUIVALENTS</w:t>
      </w:r>
    </w:p>
    <w:p>
      <w:pPr>
        <w:spacing w:after="0" w:line="201" w:lineRule="exact"/>
        <w:rPr>
          <w:sz w:val="20"/>
          <w:szCs w:val="20"/>
          <w:color w:val="auto"/>
        </w:rPr>
      </w:pPr>
    </w:p>
    <w:p>
      <w:pPr>
        <w:ind w:right="2739" w:firstLine="527"/>
        <w:spacing w:after="0" w:line="402" w:lineRule="auto"/>
        <w:rPr>
          <w:sz w:val="20"/>
          <w:szCs w:val="20"/>
          <w:color w:val="auto"/>
        </w:rPr>
      </w:pPr>
      <w:r>
        <w:rPr>
          <w:rFonts w:ascii="Courier New" w:cs="Courier New" w:eastAsia="Courier New" w:hAnsi="Courier New"/>
          <w:sz w:val="16"/>
          <w:szCs w:val="16"/>
          <w:color w:val="auto"/>
        </w:rPr>
        <w:t>Cash and cash equivalents consists primarily of cash and temporary investments having an initial maturity of three months or less.</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PROPERTY, PLANT AND EQUIPMENT</w:t>
      </w:r>
    </w:p>
    <w:p>
      <w:pPr>
        <w:spacing w:after="0" w:line="20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Property, plant and equipment are carried at cost less accumulated amortization where applicable. Assets under development are not amortized until put into service. Amortization of property, plant and</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F-48</w:t>
      </w:r>
    </w:p>
    <w:p>
      <w:pPr>
        <w:sectPr>
          <w:pgSz w:w="11900" w:h="16838" w:orient="portrait"/>
          <w:cols w:equalWidth="0" w:num="1">
            <w:col w:w="10219"/>
          </w:cols>
          <w:pgMar w:left="240" w:top="690" w:right="1440" w:bottom="1440" w:gutter="0" w:footer="0" w:header="0"/>
        </w:sectPr>
      </w:pPr>
    </w:p>
    <w:bookmarkStart w:id="126" w:name="page127"/>
    <w:bookmarkEnd w:id="126"/>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THE FINANCIAL STATEMENTS -- (CONTINUED)</w:t>
      </w:r>
    </w:p>
    <w:p>
      <w:pPr>
        <w:spacing w:after="0" w:line="201"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equipment is computed using the straight-line method, with rates based on the estimated useful lives of the assets as follows: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tcPr>
          <w:p>
            <w:pPr>
              <w:spacing w:after="0"/>
              <w:rPr>
                <w:sz w:val="20"/>
                <w:szCs w:val="20"/>
                <w:color w:val="auto"/>
              </w:rPr>
            </w:pPr>
            <w:r>
              <w:rPr>
                <w:rFonts w:ascii="Courier New" w:cs="Courier New" w:eastAsia="Courier New" w:hAnsi="Courier New"/>
                <w:sz w:val="18"/>
                <w:szCs w:val="18"/>
                <w:color w:val="auto"/>
                <w:w w:val="99"/>
              </w:rPr>
              <w:t>Computer hardware...........................................</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years</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Furniture and fixtures......................................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years</w:t>
            </w:r>
          </w:p>
        </w:tc>
      </w:tr>
      <w:tr>
        <w:trPr>
          <w:trHeight w:val="296"/>
        </w:trPr>
        <w:tc>
          <w:tcPr>
            <w:tcW w:w="6480" w:type="dxa"/>
            <w:vAlign w:val="bottom"/>
          </w:tcPr>
          <w:p>
            <w:pPr>
              <w:spacing w:after="0"/>
              <w:rPr>
                <w:sz w:val="20"/>
                <w:szCs w:val="20"/>
                <w:color w:val="auto"/>
              </w:rPr>
            </w:pPr>
            <w:r>
              <w:rPr>
                <w:rFonts w:ascii="Courier New" w:cs="Courier New" w:eastAsia="Courier New" w:hAnsi="Courier New"/>
                <w:sz w:val="18"/>
                <w:szCs w:val="18"/>
                <w:color w:val="auto"/>
                <w:w w:val="99"/>
              </w:rPr>
              <w:t>Leasehold improvements......................................</w:t>
            </w:r>
          </w:p>
        </w:tc>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Term of lease</w:t>
            </w:r>
          </w:p>
        </w:tc>
      </w:tr>
    </w:tbl>
    <w:p>
      <w:pPr>
        <w:spacing w:after="0" w:line="31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INTANGIBLE ASSETS</w:t>
      </w:r>
    </w:p>
    <w:p>
      <w:pPr>
        <w:spacing w:after="0" w:line="201"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Finite life intangible assets consisting of software and licenses are carried at cost less accumulated amortization where applicable. Internal use software and related licenses under development are not amortized until placed into production. Amortization of software and licenses is computed using the straight line method over the estimated useful life of the assets of three to five years.</w:t>
      </w:r>
    </w:p>
    <w:p>
      <w:pPr>
        <w:spacing w:after="0" w:line="9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LEASES</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Assets recorded under capital leases are amortized on a straight-line basis over the economic life of the asset or based on the lease term, as appropriate. Obligations recorded under capital leases are reduced by rental payments net of imputed interest.</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TRANSLATION OF FOREIGN CURRENCIES</w:t>
      </w:r>
    </w:p>
    <w:p>
      <w:pPr>
        <w:spacing w:after="0" w:line="201" w:lineRule="exact"/>
        <w:rPr>
          <w:sz w:val="20"/>
          <w:szCs w:val="20"/>
          <w:color w:val="auto"/>
        </w:rPr>
      </w:pPr>
    </w:p>
    <w:p>
      <w:pPr>
        <w:jc w:val="both"/>
        <w:ind w:right="2099" w:firstLine="527"/>
        <w:spacing w:after="0" w:line="274" w:lineRule="auto"/>
        <w:rPr>
          <w:sz w:val="20"/>
          <w:szCs w:val="20"/>
          <w:color w:val="auto"/>
        </w:rPr>
      </w:pPr>
      <w:r>
        <w:rPr>
          <w:rFonts w:ascii="Courier New" w:cs="Courier New" w:eastAsia="Courier New" w:hAnsi="Courier New"/>
          <w:sz w:val="18"/>
          <w:szCs w:val="18"/>
          <w:color w:val="auto"/>
        </w:rPr>
        <w:t>Monetary assets and liabilities are translated at the rates in effect at the balance sheet date. Revenues and expenses are translated at average rates prevailing during the year. Translation exchange gains and losses on monetary assets and liabilities are reflected in net earnings for the year.</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EMPLOYEE BENEFIT PLANS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Certen maintains non-contributory defined benefit plans that provide for pensions for substantially all its employees based on length of service and rate of pay. Additionally, the Company provides other retirement benefits such as certain health care and life insurance benefits on retirement and various disability plans, workers' compensation and medical benefits to former or inactive employees, their beneficiaries and covered dependants, after employment but before retirement, under specified circumstances.</w:t>
      </w:r>
    </w:p>
    <w:p>
      <w:pPr>
        <w:spacing w:after="0" w:line="98"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Certen accrues its obligations under employee benefit plans and the related costs net of plan assets. Pension expense and other retirement benefits earned by employees are actuarially determined using the projected benefit method pro-rated on service and based on management's best estimate of expected plan investments performance, salary escalation, retirement ages of employees and expected health care costs.</w:t>
      </w:r>
    </w:p>
    <w:p>
      <w:pPr>
        <w:spacing w:after="0" w:line="93"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The fair value of employee benefit plans assets is based on market values. The plan assets are valued at market-related value for the purpose of calculating the expected return on plan assets. Past service costs, which may arise from plan amendments, are amortized on a straight-line basis over the average remaining service period of the employees active at the date of amendment. The excess of the net actuarial gain (loss) over 10% of the greater of the benefit obligation and the market value of plan assets is amortized over the average remaining service period of active employees. When the restructuring of a benefit plan gives rise to both a curtailment and a settlement of obligations, the curtailment is accounted for prior to the settlement. A valuation will be performed every three years to determine the actuarial present value of the accrued pension and other retirement benefits.</w:t>
      </w:r>
    </w:p>
    <w:p>
      <w:pPr>
        <w:spacing w:after="0" w:line="1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F-49</w:t>
      </w:r>
    </w:p>
    <w:p>
      <w:pPr>
        <w:sectPr>
          <w:pgSz w:w="11900" w:h="16838" w:orient="portrait"/>
          <w:cols w:equalWidth="0" w:num="1">
            <w:col w:w="10219"/>
          </w:cols>
          <w:pgMar w:left="240" w:top="488" w:right="1440" w:bottom="1440" w:gutter="0" w:footer="0" w:header="0"/>
        </w:sectPr>
      </w:pPr>
    </w:p>
    <w:bookmarkStart w:id="127" w:name="page128"/>
    <w:bookmarkEnd w:id="127"/>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THE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Certen uses the liability method of accounting for income taxes. Future income taxes relate to the expected future tax consequences of differences between the carrying amounts of assets and liabilities for financial reporting purposes and the amounts used for tax purposes. Future tax assets are recognized only to the extent that, it is more likely than not that the future tax asset will be realized. Future income tax assets and liabilities are adjusted for the effects of changes in tax laws and rates on the date of enactment or substantive enactment.</w:t>
      </w:r>
    </w:p>
    <w:p>
      <w:pPr>
        <w:spacing w:after="0" w:line="104" w:lineRule="exact"/>
        <w:rPr>
          <w:sz w:val="20"/>
          <w:szCs w:val="20"/>
          <w:color w:val="auto"/>
        </w:rPr>
      </w:pPr>
    </w:p>
    <w:p>
      <w:pPr>
        <w:ind w:left="420" w:hanging="412"/>
        <w:spacing w:after="0"/>
        <w:tabs>
          <w:tab w:leader="none" w:pos="42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 CHARGE</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During 2002, Certen recorded a pre-tax restructuring charge of $721,000, as a result of a decision to streamline management, clerical and other support functions. The restructuring charge related mainly to employee severance and other directly related employee costs for approximately 20 employees. This restructuring program was substantially completed by December 31, 2002. The remaining unpaid balance of this restructuring provision as at December 31, 2002 amounted to approximately $459,000.</w:t>
      </w:r>
    </w:p>
    <w:p>
      <w:pPr>
        <w:spacing w:after="0" w:line="98"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As a result of this restructuring, Certen recognized a gain on the settlement of the Company's retirement benefit plans obligation of $2,769,000 as well as previously unrecognized net actuarial losses of $1,670,000 on the transfer of approximately 110 employees to Bell Canada. These amounts have been reflected in the net benefit plans expense (Note 6).</w:t>
      </w:r>
    </w:p>
    <w:p>
      <w:pPr>
        <w:spacing w:after="0" w:line="90" w:lineRule="exact"/>
        <w:rPr>
          <w:sz w:val="20"/>
          <w:szCs w:val="20"/>
          <w:color w:val="auto"/>
        </w:rPr>
      </w:pPr>
    </w:p>
    <w:p>
      <w:pPr>
        <w:ind w:left="420" w:hanging="412"/>
        <w:spacing w:after="0"/>
        <w:tabs>
          <w:tab w:leader="none" w:pos="42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PROPERTY, PLANT AND EQUIPMENT</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2002 2001 ----------------------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NET NET ACCUMULATED BOOK</w:t>
      </w:r>
    </w:p>
    <w:p>
      <w:pPr>
        <w:jc w:val="center"/>
        <w:ind w:right="6739"/>
        <w:spacing w:after="0"/>
        <w:rPr>
          <w:sz w:val="20"/>
          <w:szCs w:val="20"/>
          <w:color w:val="auto"/>
        </w:rPr>
      </w:pPr>
      <w:r>
        <w:rPr>
          <w:rFonts w:ascii="Courier New" w:cs="Courier New" w:eastAsia="Courier New" w:hAnsi="Courier New"/>
          <w:sz w:val="18"/>
          <w:szCs w:val="18"/>
          <w:color w:val="auto"/>
        </w:rPr>
        <w:t>ACCUMULATED BOOK COST</w:t>
      </w:r>
    </w:p>
    <w:p>
      <w:pPr>
        <w:jc w:val="center"/>
        <w:ind w:right="6739"/>
        <w:spacing w:after="0" w:line="238" w:lineRule="auto"/>
        <w:rPr>
          <w:sz w:val="20"/>
          <w:szCs w:val="20"/>
          <w:color w:val="auto"/>
        </w:rPr>
      </w:pPr>
      <w:r>
        <w:rPr>
          <w:rFonts w:ascii="Courier New" w:cs="Courier New" w:eastAsia="Courier New" w:hAnsi="Courier New"/>
          <w:sz w:val="18"/>
          <w:szCs w:val="18"/>
          <w:color w:val="auto"/>
        </w:rPr>
        <w:t>AMORTIZATION VALUE COST</w:t>
      </w:r>
    </w:p>
    <w:p>
      <w:pPr>
        <w:ind w:left="60"/>
        <w:spacing w:after="0"/>
        <w:rPr>
          <w:sz w:val="20"/>
          <w:szCs w:val="20"/>
          <w:color w:val="auto"/>
        </w:rPr>
      </w:pPr>
      <w:r>
        <w:rPr>
          <w:rFonts w:ascii="Courier New" w:cs="Courier New" w:eastAsia="Courier New" w:hAnsi="Courier New"/>
          <w:sz w:val="18"/>
          <w:szCs w:val="18"/>
          <w:color w:val="auto"/>
        </w:rPr>
        <w:t>AMORTIZATION VALUE ------ ------</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ind w:left="380" w:right="6939" w:hanging="164"/>
        <w:spacing w:after="0" w:line="268" w:lineRule="auto"/>
        <w:tabs>
          <w:tab w:leader="none" w:pos="433"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 $ Computer hardware..................</w:t>
      </w:r>
    </w:p>
    <w:tbl>
      <w:tblPr>
        <w:tblLayout w:type="fixed"/>
        <w:tblInd w:w="0" w:type="dxa"/>
        <w:tblCellMar>
          <w:top w:w="0" w:type="dxa"/>
          <w:left w:w="0" w:type="dxa"/>
          <w:bottom w:w="0" w:type="dxa"/>
          <w:right w:w="0" w:type="dxa"/>
        </w:tblCellMar>
      </w:tblPr>
      <w:tr>
        <w:trPr>
          <w:trHeight w:val="171"/>
        </w:trPr>
        <w:tc>
          <w:tcPr>
            <w:tcW w:w="740" w:type="dxa"/>
            <w:vAlign w:val="bottom"/>
          </w:tcPr>
          <w:p>
            <w:pPr>
              <w:ind w:left="120"/>
              <w:spacing w:after="0" w:line="171" w:lineRule="exact"/>
              <w:rPr>
                <w:sz w:val="20"/>
                <w:szCs w:val="20"/>
                <w:color w:val="auto"/>
              </w:rPr>
            </w:pPr>
            <w:r>
              <w:rPr>
                <w:rFonts w:ascii="Courier New" w:cs="Courier New" w:eastAsia="Courier New" w:hAnsi="Courier New"/>
                <w:sz w:val="18"/>
                <w:szCs w:val="18"/>
                <w:color w:val="auto"/>
                <w:w w:val="92"/>
              </w:rPr>
              <w:t>11,810</w:t>
            </w:r>
          </w:p>
        </w:tc>
        <w:tc>
          <w:tcPr>
            <w:tcW w:w="64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7,348</w:t>
            </w:r>
          </w:p>
        </w:tc>
        <w:tc>
          <w:tcPr>
            <w:tcW w:w="100" w:type="dxa"/>
            <w:vAlign w:val="bottom"/>
          </w:tcPr>
          <w:p>
            <w:pPr>
              <w:spacing w:after="0"/>
              <w:rPr>
                <w:sz w:val="14"/>
                <w:szCs w:val="14"/>
                <w:color w:val="auto"/>
              </w:rPr>
            </w:pPr>
          </w:p>
        </w:tc>
        <w:tc>
          <w:tcPr>
            <w:tcW w:w="58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92"/>
              </w:rPr>
              <w:t>4,462</w:t>
            </w:r>
          </w:p>
        </w:tc>
        <w:tc>
          <w:tcPr>
            <w:tcW w:w="740" w:type="dxa"/>
            <w:vAlign w:val="bottom"/>
            <w:gridSpan w:val="2"/>
          </w:tcPr>
          <w:p>
            <w:pPr>
              <w:jc w:val="right"/>
              <w:spacing w:after="0" w:line="171" w:lineRule="exact"/>
              <w:rPr>
                <w:sz w:val="20"/>
                <w:szCs w:val="20"/>
                <w:color w:val="auto"/>
              </w:rPr>
            </w:pPr>
            <w:r>
              <w:rPr>
                <w:rFonts w:ascii="Courier New" w:cs="Courier New" w:eastAsia="Courier New" w:hAnsi="Courier New"/>
                <w:sz w:val="18"/>
                <w:szCs w:val="18"/>
                <w:color w:val="auto"/>
              </w:rPr>
              <w:t>11,389</w:t>
            </w:r>
          </w:p>
        </w:tc>
        <w:tc>
          <w:tcPr>
            <w:tcW w:w="58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3,480</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7,909</w:t>
            </w:r>
          </w:p>
        </w:tc>
        <w:tc>
          <w:tcPr>
            <w:tcW w:w="1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5"/>
              </w:rPr>
              <w:t>Furniture and</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gridSpan w:val="3"/>
          </w:tcPr>
          <w:p>
            <w:pPr>
              <w:ind w:left="120"/>
              <w:spacing w:after="0"/>
              <w:rPr>
                <w:sz w:val="20"/>
                <w:szCs w:val="20"/>
                <w:color w:val="auto"/>
              </w:rPr>
            </w:pPr>
            <w:r>
              <w:rPr>
                <w:rFonts w:ascii="Courier New" w:cs="Courier New" w:eastAsia="Courier New" w:hAnsi="Courier New"/>
                <w:sz w:val="15"/>
                <w:szCs w:val="15"/>
                <w:color w:val="auto"/>
                <w:w w:val="70"/>
              </w:rPr>
              <w:t>fixtures.............</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2,301 337</w:t>
            </w:r>
          </w:p>
        </w:tc>
        <w:tc>
          <w:tcPr>
            <w:tcW w:w="0" w:type="dxa"/>
            <w:vAlign w:val="bottom"/>
          </w:tcPr>
          <w:p>
            <w:pPr>
              <w:spacing w:after="0"/>
              <w:rPr>
                <w:sz w:val="1"/>
                <w:szCs w:val="1"/>
                <w:color w:val="auto"/>
              </w:rPr>
            </w:pPr>
          </w:p>
        </w:tc>
      </w:tr>
      <w:tr>
        <w:trPr>
          <w:trHeight w:val="203"/>
        </w:trPr>
        <w:tc>
          <w:tcPr>
            <w:tcW w:w="74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1,964</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2,031</w:t>
            </w:r>
          </w:p>
        </w:tc>
        <w:tc>
          <w:tcPr>
            <w:tcW w:w="20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147 1,884 Leasehold</w:t>
            </w:r>
          </w:p>
        </w:tc>
        <w:tc>
          <w:tcPr>
            <w:tcW w:w="0" w:type="dxa"/>
            <w:vAlign w:val="bottom"/>
          </w:tcPr>
          <w:p>
            <w:pPr>
              <w:spacing w:after="0"/>
              <w:rPr>
                <w:sz w:val="1"/>
                <w:szCs w:val="1"/>
                <w:color w:val="auto"/>
              </w:rPr>
            </w:pPr>
          </w:p>
        </w:tc>
      </w:tr>
      <w:tr>
        <w:trPr>
          <w:trHeight w:val="203"/>
        </w:trPr>
        <w:tc>
          <w:tcPr>
            <w:tcW w:w="2060" w:type="dxa"/>
            <w:vAlign w:val="bottom"/>
            <w:gridSpan w:val="4"/>
          </w:tcPr>
          <w:p>
            <w:pPr>
              <w:ind w:left="220"/>
              <w:spacing w:after="0"/>
              <w:rPr>
                <w:sz w:val="20"/>
                <w:szCs w:val="20"/>
                <w:color w:val="auto"/>
              </w:rPr>
            </w:pPr>
            <w:r>
              <w:rPr>
                <w:rFonts w:ascii="Courier New" w:cs="Courier New" w:eastAsia="Courier New" w:hAnsi="Courier New"/>
                <w:sz w:val="16"/>
                <w:szCs w:val="16"/>
                <w:color w:val="auto"/>
                <w:w w:val="75"/>
              </w:rPr>
              <w:t>improvements.............</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990</w:t>
            </w:r>
          </w:p>
        </w:tc>
        <w:tc>
          <w:tcPr>
            <w:tcW w:w="0" w:type="dxa"/>
            <w:vAlign w:val="bottom"/>
          </w:tcPr>
          <w:p>
            <w:pPr>
              <w:spacing w:after="0"/>
              <w:rPr>
                <w:sz w:val="1"/>
                <w:szCs w:val="1"/>
                <w:color w:val="auto"/>
              </w:rPr>
            </w:pPr>
          </w:p>
        </w:tc>
      </w:tr>
      <w:tr>
        <w:trPr>
          <w:trHeight w:val="203"/>
        </w:trPr>
        <w:tc>
          <w:tcPr>
            <w:tcW w:w="74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523</w:t>
            </w:r>
          </w:p>
        </w:tc>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467 535</w:t>
            </w:r>
          </w:p>
        </w:tc>
        <w:tc>
          <w:tcPr>
            <w:tcW w:w="190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38 497 Computer</w:t>
            </w:r>
          </w:p>
        </w:tc>
        <w:tc>
          <w:tcPr>
            <w:tcW w:w="0" w:type="dxa"/>
            <w:vAlign w:val="bottom"/>
          </w:tcPr>
          <w:p>
            <w:pPr>
              <w:spacing w:after="0"/>
              <w:rPr>
                <w:sz w:val="1"/>
                <w:szCs w:val="1"/>
                <w:color w:val="auto"/>
              </w:rPr>
            </w:pPr>
          </w:p>
        </w:tc>
      </w:tr>
      <w:tr>
        <w:trPr>
          <w:trHeight w:val="203"/>
        </w:trPr>
        <w:tc>
          <w:tcPr>
            <w:tcW w:w="3380" w:type="dxa"/>
            <w:vAlign w:val="bottom"/>
            <w:gridSpan w:val="7"/>
          </w:tcPr>
          <w:p>
            <w:pPr>
              <w:jc w:val="center"/>
              <w:ind w:left="21"/>
              <w:spacing w:after="0" w:line="203" w:lineRule="exact"/>
              <w:rPr>
                <w:sz w:val="20"/>
                <w:szCs w:val="20"/>
                <w:color w:val="auto"/>
              </w:rPr>
            </w:pPr>
            <w:r>
              <w:rPr>
                <w:rFonts w:ascii="Courier New" w:cs="Courier New" w:eastAsia="Courier New" w:hAnsi="Courier New"/>
                <w:sz w:val="18"/>
                <w:szCs w:val="18"/>
                <w:color w:val="auto"/>
                <w:w w:val="97"/>
              </w:rPr>
              <w:t>hardware under capital</w:t>
            </w:r>
          </w:p>
        </w:tc>
        <w:tc>
          <w:tcPr>
            <w:tcW w:w="0" w:type="dxa"/>
            <w:vAlign w:val="bottom"/>
          </w:tcPr>
          <w:p>
            <w:pPr>
              <w:spacing w:after="0"/>
              <w:rPr>
                <w:sz w:val="1"/>
                <w:szCs w:val="1"/>
                <w:color w:val="auto"/>
              </w:rPr>
            </w:pPr>
          </w:p>
        </w:tc>
      </w:tr>
      <w:tr>
        <w:trPr>
          <w:trHeight w:val="203"/>
        </w:trPr>
        <w:tc>
          <w:tcPr>
            <w:tcW w:w="13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leases...........................</w:t>
            </w:r>
          </w:p>
        </w:tc>
        <w:tc>
          <w:tcPr>
            <w:tcW w:w="100" w:type="dxa"/>
            <w:vAlign w:val="bottom"/>
          </w:tcPr>
          <w:p>
            <w:pPr>
              <w:spacing w:after="0"/>
              <w:rPr>
                <w:sz w:val="17"/>
                <w:szCs w:val="17"/>
                <w:color w:val="auto"/>
              </w:rPr>
            </w:pPr>
          </w:p>
        </w:tc>
        <w:tc>
          <w:tcPr>
            <w:tcW w:w="800" w:type="dxa"/>
            <w:vAlign w:val="bottom"/>
            <w:gridSpan w:val="2"/>
            <w:vMerge w:val="restart"/>
          </w:tcPr>
          <w:p>
            <w:pPr>
              <w:ind w:left="100"/>
              <w:spacing w:after="0"/>
              <w:rPr>
                <w:sz w:val="20"/>
                <w:szCs w:val="20"/>
                <w:color w:val="auto"/>
              </w:rPr>
            </w:pPr>
            <w:r>
              <w:rPr>
                <w:rFonts w:ascii="Courier New" w:cs="Courier New" w:eastAsia="Courier New" w:hAnsi="Courier New"/>
                <w:sz w:val="18"/>
                <w:szCs w:val="18"/>
                <w:color w:val="auto"/>
              </w:rPr>
              <w:t>41,575</w:t>
            </w:r>
          </w:p>
        </w:tc>
        <w:tc>
          <w:tcPr>
            <w:tcW w:w="110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26,579 47</w:t>
            </w:r>
          </w:p>
        </w:tc>
        <w:tc>
          <w:tcPr>
            <w:tcW w:w="0" w:type="dxa"/>
            <w:vAlign w:val="bottom"/>
          </w:tcPr>
          <w:p>
            <w:pPr>
              <w:spacing w:after="0"/>
              <w:rPr>
                <w:sz w:val="1"/>
                <w:szCs w:val="1"/>
                <w:color w:val="auto"/>
              </w:rPr>
            </w:pPr>
          </w:p>
        </w:tc>
      </w:tr>
      <w:tr>
        <w:trPr>
          <w:trHeight w:val="203"/>
        </w:trPr>
        <w:tc>
          <w:tcPr>
            <w:tcW w:w="14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5"/>
              </w:rPr>
              <w:t>47,399 5,824</w:t>
            </w:r>
          </w:p>
        </w:tc>
        <w:tc>
          <w:tcPr>
            <w:tcW w:w="800" w:type="dxa"/>
            <w:vAlign w:val="bottom"/>
            <w:gridSpan w:val="2"/>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0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26,532 Assets under</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480" w:type="dxa"/>
            <w:vAlign w:val="bottom"/>
            <w:gridSpan w:val="3"/>
          </w:tcPr>
          <w:p>
            <w:pPr>
              <w:ind w:left="120"/>
              <w:spacing w:after="0"/>
              <w:rPr>
                <w:sz w:val="20"/>
                <w:szCs w:val="20"/>
                <w:color w:val="auto"/>
              </w:rPr>
            </w:pPr>
            <w:r>
              <w:rPr>
                <w:rFonts w:ascii="Courier New" w:cs="Courier New" w:eastAsia="Courier New" w:hAnsi="Courier New"/>
                <w:sz w:val="14"/>
                <w:szCs w:val="14"/>
                <w:color w:val="auto"/>
                <w:w w:val="72"/>
              </w:rPr>
              <w:t>development...........</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1,026 --</w:t>
            </w:r>
          </w:p>
        </w:tc>
        <w:tc>
          <w:tcPr>
            <w:tcW w:w="0" w:type="dxa"/>
            <w:vAlign w:val="bottom"/>
          </w:tcPr>
          <w:p>
            <w:pPr>
              <w:spacing w:after="0"/>
              <w:rPr>
                <w:sz w:val="1"/>
                <w:szCs w:val="1"/>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1,026 -- -- -- ------ ------ ---</w:t>
      </w:r>
    </w:p>
    <w:p>
      <w:pPr>
        <w:ind w:left="380" w:right="6899" w:hanging="217"/>
        <w:spacing w:after="0" w:line="268" w:lineRule="auto"/>
        <w:tabs>
          <w:tab w:leader="none" w:pos="591"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------ 63,526 14,032 49,494 40,534 3,712</w:t>
      </w:r>
    </w:p>
    <w:p>
      <w:pPr>
        <w:jc w:val="center"/>
        <w:ind w:right="6739"/>
        <w:spacing w:after="0"/>
        <w:rPr>
          <w:sz w:val="20"/>
          <w:szCs w:val="20"/>
          <w:color w:val="auto"/>
        </w:rPr>
      </w:pPr>
      <w:r>
        <w:rPr>
          <w:rFonts w:ascii="Courier New" w:cs="Courier New" w:eastAsia="Courier New" w:hAnsi="Courier New"/>
          <w:sz w:val="18"/>
          <w:szCs w:val="18"/>
          <w:color w:val="auto"/>
        </w:rPr>
        <w:t>36,822 ====== ====== ======</w:t>
      </w:r>
    </w:p>
    <w:p>
      <w:pPr>
        <w:jc w:val="center"/>
        <w:ind w:right="6739"/>
        <w:spacing w:after="0"/>
        <w:rPr>
          <w:sz w:val="20"/>
          <w:szCs w:val="20"/>
          <w:color w:val="auto"/>
        </w:rPr>
      </w:pPr>
      <w:r>
        <w:rPr>
          <w:rFonts w:ascii="Courier New" w:cs="Courier New" w:eastAsia="Courier New" w:hAnsi="Courier New"/>
          <w:sz w:val="18"/>
          <w:szCs w:val="18"/>
          <w:color w:val="auto"/>
        </w:rPr>
        <w:t>====== ===== ======</w:t>
      </w:r>
    </w:p>
    <w:p>
      <w:pPr>
        <w:spacing w:after="0" w:line="372"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amortization expense for property, plant and equipment for 2002 amounts to $12,394,000 ($3,712,000 in 2001) of which $5,777,000 ($47,000 in 2001) relates to computer hardware under capital leases.</w:t>
      </w:r>
    </w:p>
    <w:p>
      <w:pPr>
        <w:spacing w:after="0" w:line="66" w:lineRule="exact"/>
        <w:rPr>
          <w:sz w:val="20"/>
          <w:szCs w:val="20"/>
          <w:color w:val="auto"/>
        </w:rPr>
      </w:pPr>
    </w:p>
    <w:p>
      <w:pPr>
        <w:ind w:left="420" w:hanging="412"/>
        <w:spacing w:after="0"/>
        <w:tabs>
          <w:tab w:leader="none" w:pos="42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INTANGIBLE ASSETS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2002 2001 ----------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ind w:left="480" w:hanging="425"/>
        <w:spacing w:after="0" w:line="238" w:lineRule="auto"/>
        <w:tabs>
          <w:tab w:leader="none" w:pos="48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7999"/>
        <w:spacing w:after="0"/>
        <w:rPr>
          <w:sz w:val="20"/>
          <w:szCs w:val="20"/>
          <w:color w:val="auto"/>
        </w:rPr>
      </w:pPr>
      <w:r>
        <w:rPr>
          <w:rFonts w:ascii="Courier New" w:cs="Courier New" w:eastAsia="Courier New" w:hAnsi="Courier New"/>
          <w:sz w:val="18"/>
          <w:szCs w:val="18"/>
          <w:color w:val="auto"/>
        </w:rPr>
        <w:t>ACCUMULATED NET BOOK</w:t>
      </w:r>
    </w:p>
    <w:p>
      <w:pPr>
        <w:jc w:val="center"/>
        <w:ind w:right="7999"/>
        <w:spacing w:after="0" w:line="238" w:lineRule="auto"/>
        <w:rPr>
          <w:sz w:val="20"/>
          <w:szCs w:val="20"/>
          <w:color w:val="auto"/>
        </w:rPr>
      </w:pPr>
      <w:r>
        <w:rPr>
          <w:rFonts w:ascii="Courier New" w:cs="Courier New" w:eastAsia="Courier New" w:hAnsi="Courier New"/>
          <w:sz w:val="18"/>
          <w:szCs w:val="18"/>
          <w:color w:val="auto"/>
        </w:rPr>
        <w:t>ACCUMULATED NET BOOK</w:t>
      </w:r>
    </w:p>
    <w:p>
      <w:pPr>
        <w:jc w:val="center"/>
        <w:ind w:right="7999"/>
        <w:spacing w:after="0"/>
        <w:rPr>
          <w:sz w:val="20"/>
          <w:szCs w:val="20"/>
          <w:color w:val="auto"/>
        </w:rPr>
      </w:pPr>
      <w:r>
        <w:rPr>
          <w:rFonts w:ascii="Courier New" w:cs="Courier New" w:eastAsia="Courier New" w:hAnsi="Courier New"/>
          <w:sz w:val="18"/>
          <w:szCs w:val="18"/>
          <w:color w:val="auto"/>
        </w:rPr>
        <w:t>COST AMORTIZATION</w:t>
      </w:r>
    </w:p>
    <w:p>
      <w:pPr>
        <w:jc w:val="center"/>
        <w:ind w:right="7999"/>
        <w:spacing w:after="0" w:line="238" w:lineRule="auto"/>
        <w:rPr>
          <w:sz w:val="20"/>
          <w:szCs w:val="20"/>
          <w:color w:val="auto"/>
        </w:rPr>
      </w:pPr>
      <w:r>
        <w:rPr>
          <w:rFonts w:ascii="Courier New" w:cs="Courier New" w:eastAsia="Courier New" w:hAnsi="Courier New"/>
          <w:sz w:val="18"/>
          <w:szCs w:val="18"/>
          <w:color w:val="auto"/>
        </w:rPr>
        <w:t>VALUE COST</w:t>
      </w:r>
    </w:p>
    <w:p>
      <w:pPr>
        <w:jc w:val="center"/>
        <w:ind w:right="7999"/>
        <w:spacing w:after="0"/>
        <w:rPr>
          <w:sz w:val="20"/>
          <w:szCs w:val="20"/>
          <w:color w:val="auto"/>
        </w:rPr>
      </w:pPr>
      <w:r>
        <w:rPr>
          <w:rFonts w:ascii="Courier New" w:cs="Courier New" w:eastAsia="Courier New" w:hAnsi="Courier New"/>
          <w:sz w:val="18"/>
          <w:szCs w:val="18"/>
          <w:color w:val="auto"/>
        </w:rPr>
        <w:t>AMORTIZATION VALUE -</w:t>
      </w:r>
    </w:p>
    <w:p>
      <w:pPr>
        <w:ind w:left="10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 ---</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160"/>
        <w:spacing w:after="0"/>
        <w:rPr>
          <w:sz w:val="20"/>
          <w:szCs w:val="20"/>
          <w:color w:val="auto"/>
        </w:rPr>
      </w:pPr>
      <w:r>
        <w:rPr>
          <w:rFonts w:ascii="Courier New" w:cs="Courier New" w:eastAsia="Courier New" w:hAnsi="Courier New"/>
          <w:sz w:val="18"/>
          <w:szCs w:val="18"/>
          <w:color w:val="auto"/>
        </w:rPr>
        <w:t>$ $ $ $ $ Software</w:t>
      </w:r>
    </w:p>
    <w:p>
      <w:pPr>
        <w:sectPr>
          <w:pgSz w:w="11900" w:h="16838" w:orient="portrait"/>
          <w:cols w:equalWidth="0" w:num="1">
            <w:col w:w="10219"/>
          </w:cols>
          <w:pgMar w:left="240" w:top="488" w:right="1440" w:bottom="0" w:gutter="0" w:footer="0" w:header="0"/>
        </w:sectPr>
      </w:pPr>
    </w:p>
    <w:bookmarkStart w:id="128" w:name="page129"/>
    <w:bookmarkEnd w:id="128"/>
    <w:p>
      <w:pPr>
        <w:jc w:val="center"/>
        <w:ind w:right="8019"/>
        <w:spacing w:after="0"/>
        <w:rPr>
          <w:sz w:val="20"/>
          <w:szCs w:val="20"/>
          <w:color w:val="auto"/>
        </w:rPr>
      </w:pPr>
      <w:r>
        <w:rPr>
          <w:rFonts w:ascii="Courier New" w:cs="Courier New" w:eastAsia="Courier New" w:hAnsi="Courier New"/>
          <w:sz w:val="18"/>
          <w:szCs w:val="18"/>
          <w:color w:val="auto"/>
        </w:rPr>
        <w:t>and</w:t>
      </w:r>
    </w:p>
    <w:p>
      <w:pPr>
        <w:spacing w:after="0" w:line="29"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licenses..........</w:t>
      </w:r>
    </w:p>
    <w:tbl>
      <w:tblPr>
        <w:tblLayout w:type="fixed"/>
        <w:tblInd w:w="320" w:type="dxa"/>
        <w:tblCellMar>
          <w:top w:w="0" w:type="dxa"/>
          <w:left w:w="0" w:type="dxa"/>
          <w:bottom w:w="0" w:type="dxa"/>
          <w:right w:w="0" w:type="dxa"/>
        </w:tblCellMar>
      </w:tblPr>
      <w:tr>
        <w:trPr>
          <w:trHeight w:val="171"/>
        </w:trPr>
        <w:tc>
          <w:tcPr>
            <w:tcW w:w="82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159,696</w:t>
            </w:r>
          </w:p>
        </w:tc>
        <w:tc>
          <w:tcPr>
            <w:tcW w:w="76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53,854</w:t>
            </w:r>
          </w:p>
        </w:tc>
      </w:tr>
      <w:tr>
        <w:trPr>
          <w:trHeight w:val="203"/>
        </w:trPr>
        <w:tc>
          <w:tcPr>
            <w:tcW w:w="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105,842</w:t>
            </w:r>
          </w:p>
        </w:tc>
        <w:tc>
          <w:tcPr>
            <w:tcW w:w="760" w:type="dxa"/>
            <w:vAlign w:val="bottom"/>
          </w:tcPr>
          <w:p>
            <w:pPr>
              <w:ind w:left="20"/>
              <w:spacing w:after="0" w:line="203" w:lineRule="exact"/>
              <w:rPr>
                <w:sz w:val="20"/>
                <w:szCs w:val="20"/>
                <w:color w:val="auto"/>
              </w:rPr>
            </w:pPr>
            <w:r>
              <w:rPr>
                <w:rFonts w:ascii="Courier New" w:cs="Courier New" w:eastAsia="Courier New" w:hAnsi="Courier New"/>
                <w:sz w:val="18"/>
                <w:szCs w:val="18"/>
                <w:color w:val="auto"/>
                <w:w w:val="95"/>
              </w:rPr>
              <w:t>101,930</w:t>
            </w:r>
          </w:p>
        </w:tc>
      </w:tr>
      <w:tr>
        <w:trPr>
          <w:trHeight w:val="235"/>
        </w:trPr>
        <w:tc>
          <w:tcPr>
            <w:tcW w:w="820" w:type="dxa"/>
            <w:vAlign w:val="bottom"/>
          </w:tcPr>
          <w:p>
            <w:pPr>
              <w:jc w:val="right"/>
              <w:spacing w:after="0"/>
              <w:rPr>
                <w:sz w:val="20"/>
                <w:szCs w:val="20"/>
                <w:color w:val="auto"/>
              </w:rPr>
            </w:pPr>
            <w:r>
              <w:rPr>
                <w:rFonts w:ascii="Courier New" w:cs="Courier New" w:eastAsia="Courier New" w:hAnsi="Courier New"/>
                <w:sz w:val="18"/>
                <w:szCs w:val="18"/>
                <w:color w:val="auto"/>
              </w:rPr>
              <w:t>14,522</w:t>
            </w:r>
          </w:p>
        </w:tc>
        <w:tc>
          <w:tcPr>
            <w:tcW w:w="760" w:type="dxa"/>
            <w:vAlign w:val="bottom"/>
          </w:tcPr>
          <w:p>
            <w:pPr>
              <w:ind w:left="20"/>
              <w:spacing w:after="0"/>
              <w:rPr>
                <w:sz w:val="20"/>
                <w:szCs w:val="20"/>
                <w:color w:val="auto"/>
              </w:rPr>
            </w:pPr>
            <w:r>
              <w:rPr>
                <w:rFonts w:ascii="Courier New" w:cs="Courier New" w:eastAsia="Courier New" w:hAnsi="Courier New"/>
                <w:sz w:val="18"/>
                <w:szCs w:val="18"/>
                <w:color w:val="auto"/>
              </w:rPr>
              <w:t>87,408</w:t>
            </w:r>
          </w:p>
        </w:tc>
      </w:tr>
    </w:tbl>
    <w:p>
      <w:pPr>
        <w:jc w:val="center"/>
        <w:ind w:right="8019"/>
        <w:spacing w:after="0" w:line="238" w:lineRule="auto"/>
        <w:rPr>
          <w:sz w:val="20"/>
          <w:szCs w:val="20"/>
          <w:color w:val="auto"/>
        </w:rPr>
      </w:pPr>
      <w:r>
        <w:rPr>
          <w:rFonts w:ascii="Courier New" w:cs="Courier New" w:eastAsia="Courier New" w:hAnsi="Courier New"/>
          <w:sz w:val="18"/>
          <w:szCs w:val="18"/>
          <w:color w:val="auto"/>
        </w:rPr>
        <w:t>Software and</w:t>
      </w:r>
    </w:p>
    <w:p>
      <w:pPr>
        <w:jc w:val="center"/>
        <w:ind w:right="8019"/>
        <w:spacing w:after="0"/>
        <w:rPr>
          <w:sz w:val="20"/>
          <w:szCs w:val="20"/>
          <w:color w:val="auto"/>
        </w:rPr>
      </w:pPr>
      <w:r>
        <w:rPr>
          <w:rFonts w:ascii="Courier New" w:cs="Courier New" w:eastAsia="Courier New" w:hAnsi="Courier New"/>
          <w:sz w:val="18"/>
          <w:szCs w:val="18"/>
          <w:color w:val="auto"/>
        </w:rPr>
        <w:t>licenses under</w:t>
      </w:r>
    </w:p>
    <w:p>
      <w:pPr>
        <w:jc w:val="center"/>
        <w:ind w:right="8019"/>
        <w:spacing w:after="0" w:line="238" w:lineRule="auto"/>
        <w:rPr>
          <w:sz w:val="20"/>
          <w:szCs w:val="20"/>
          <w:color w:val="auto"/>
        </w:rPr>
      </w:pPr>
      <w:r>
        <w:rPr>
          <w:rFonts w:ascii="Courier New" w:cs="Courier New" w:eastAsia="Courier New" w:hAnsi="Courier New"/>
          <w:sz w:val="18"/>
          <w:szCs w:val="18"/>
          <w:color w:val="auto"/>
        </w:rPr>
        <w:t>capital</w:t>
      </w:r>
    </w:p>
    <w:p>
      <w:pPr>
        <w:spacing w:after="0"/>
        <w:rPr>
          <w:sz w:val="20"/>
          <w:szCs w:val="20"/>
          <w:color w:val="auto"/>
        </w:rPr>
      </w:pPr>
      <w:r>
        <w:rPr>
          <w:rFonts w:ascii="Courier New" w:cs="Courier New" w:eastAsia="Courier New" w:hAnsi="Courier New"/>
          <w:sz w:val="18"/>
          <w:szCs w:val="18"/>
          <w:color w:val="auto"/>
        </w:rPr>
        <w:t>leases...............</w:t>
      </w:r>
    </w:p>
    <w:p>
      <w:pPr>
        <w:jc w:val="center"/>
        <w:ind w:right="8019"/>
        <w:spacing w:after="0" w:line="238" w:lineRule="auto"/>
        <w:rPr>
          <w:sz w:val="20"/>
          <w:szCs w:val="20"/>
          <w:color w:val="auto"/>
        </w:rPr>
      </w:pPr>
      <w:r>
        <w:rPr>
          <w:rFonts w:ascii="Courier New" w:cs="Courier New" w:eastAsia="Courier New" w:hAnsi="Courier New"/>
          <w:sz w:val="18"/>
          <w:szCs w:val="18"/>
          <w:color w:val="auto"/>
        </w:rPr>
        <w:t>29,127 7,064 22,063</w:t>
      </w:r>
    </w:p>
    <w:p>
      <w:pPr>
        <w:jc w:val="center"/>
        <w:ind w:right="8019"/>
        <w:spacing w:after="0"/>
        <w:rPr>
          <w:sz w:val="20"/>
          <w:szCs w:val="20"/>
          <w:color w:val="auto"/>
        </w:rPr>
      </w:pPr>
      <w:r>
        <w:rPr>
          <w:rFonts w:ascii="Courier New" w:cs="Courier New" w:eastAsia="Courier New" w:hAnsi="Courier New"/>
          <w:sz w:val="18"/>
          <w:szCs w:val="18"/>
          <w:color w:val="auto"/>
        </w:rPr>
        <w:t>19,902 -- 19,902</w:t>
      </w:r>
    </w:p>
    <w:p>
      <w:pPr>
        <w:jc w:val="center"/>
        <w:ind w:right="8019"/>
        <w:spacing w:after="0" w:line="238" w:lineRule="auto"/>
        <w:rPr>
          <w:sz w:val="20"/>
          <w:szCs w:val="20"/>
          <w:color w:val="auto"/>
        </w:rPr>
      </w:pPr>
      <w:r>
        <w:rPr>
          <w:rFonts w:ascii="Courier New" w:cs="Courier New" w:eastAsia="Courier New" w:hAnsi="Courier New"/>
          <w:sz w:val="18"/>
          <w:szCs w:val="18"/>
          <w:color w:val="auto"/>
        </w:rPr>
        <w:t>Assets under</w:t>
      </w:r>
    </w:p>
    <w:p>
      <w:pPr>
        <w:ind w:left="160"/>
        <w:spacing w:after="0"/>
        <w:rPr>
          <w:sz w:val="20"/>
          <w:szCs w:val="20"/>
          <w:color w:val="auto"/>
        </w:rPr>
      </w:pPr>
      <w:r>
        <w:rPr>
          <w:rFonts w:ascii="Courier New" w:cs="Courier New" w:eastAsia="Courier New" w:hAnsi="Courier New"/>
          <w:sz w:val="18"/>
          <w:szCs w:val="18"/>
          <w:color w:val="auto"/>
        </w:rPr>
        <w:t>development.......</w:t>
      </w:r>
    </w:p>
    <w:p>
      <w:pPr>
        <w:jc w:val="center"/>
        <w:ind w:right="8019"/>
        <w:spacing w:after="0" w:line="238" w:lineRule="auto"/>
        <w:rPr>
          <w:sz w:val="20"/>
          <w:szCs w:val="20"/>
          <w:color w:val="auto"/>
        </w:rPr>
      </w:pPr>
      <w:r>
        <w:rPr>
          <w:rFonts w:ascii="Courier New" w:cs="Courier New" w:eastAsia="Courier New" w:hAnsi="Courier New"/>
          <w:sz w:val="18"/>
          <w:szCs w:val="18"/>
          <w:color w:val="auto"/>
        </w:rPr>
        <w:t>237,481 -- 237,481</w:t>
      </w:r>
    </w:p>
    <w:p>
      <w:pPr>
        <w:jc w:val="center"/>
        <w:ind w:right="8019"/>
        <w:spacing w:after="0"/>
        <w:rPr>
          <w:sz w:val="20"/>
          <w:szCs w:val="20"/>
          <w:color w:val="auto"/>
        </w:rPr>
      </w:pPr>
      <w:r>
        <w:rPr>
          <w:rFonts w:ascii="Courier New" w:cs="Courier New" w:eastAsia="Courier New" w:hAnsi="Courier New"/>
          <w:sz w:val="18"/>
          <w:szCs w:val="18"/>
          <w:color w:val="auto"/>
        </w:rPr>
        <w:t>89,035 -- 89,035 ---</w:t>
      </w:r>
    </w:p>
    <w:p>
      <w:pPr>
        <w:ind w:left="640" w:hanging="532"/>
        <w:spacing w:after="0" w:line="238" w:lineRule="auto"/>
        <w:tabs>
          <w:tab w:leader="none" w:pos="64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-- 426,304 60,918</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365,386 210,867</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14,522 196,345</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72"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F-50</w:t>
      </w:r>
    </w:p>
    <w:p>
      <w:pPr>
        <w:sectPr>
          <w:pgSz w:w="11900" w:h="16838" w:orient="portrait"/>
          <w:cols w:equalWidth="0" w:num="1">
            <w:col w:w="10219"/>
          </w:cols>
          <w:pgMar w:left="240" w:top="110" w:right="1440" w:bottom="1440" w:gutter="0" w:footer="0" w:header="0"/>
        </w:sectPr>
      </w:pPr>
    </w:p>
    <w:bookmarkStart w:id="129" w:name="page130"/>
    <w:bookmarkEnd w:id="129"/>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THE FINANCIAL STATEMENTS -- (CONTINUED)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amortization expense for intangible assets for 2002 amounts to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$48,124,000 ($14,522,000 in 2001) of which $7,064,000 (nil in 2001) relates to</w:t>
      </w:r>
    </w:p>
    <w:p>
      <w:pPr>
        <w:spacing w:after="0" w:line="238" w:lineRule="auto"/>
        <w:rPr>
          <w:sz w:val="20"/>
          <w:szCs w:val="20"/>
          <w:color w:val="auto"/>
        </w:rPr>
      </w:pPr>
      <w:r>
        <w:rPr>
          <w:rFonts w:ascii="Courier New" w:cs="Courier New" w:eastAsia="Courier New" w:hAnsi="Courier New"/>
          <w:sz w:val="18"/>
          <w:szCs w:val="18"/>
          <w:color w:val="auto"/>
        </w:rPr>
        <w:t>software and licenses under capital leases. During 2002, $215,437,000</w:t>
      </w:r>
    </w:p>
    <w:p>
      <w:pPr>
        <w:spacing w:after="0"/>
        <w:rPr>
          <w:sz w:val="20"/>
          <w:szCs w:val="20"/>
          <w:color w:val="auto"/>
        </w:rPr>
      </w:pPr>
      <w:r>
        <w:rPr>
          <w:rFonts w:ascii="Courier New" w:cs="Courier New" w:eastAsia="Courier New" w:hAnsi="Courier New"/>
          <w:sz w:val="18"/>
          <w:szCs w:val="18"/>
          <w:color w:val="auto"/>
        </w:rPr>
        <w:t>($210,867,000 in 2001) intangible assets were acquired.</w:t>
      </w:r>
    </w:p>
    <w:p>
      <w:pPr>
        <w:spacing w:after="0" w:line="169" w:lineRule="exact"/>
        <w:rPr>
          <w:sz w:val="20"/>
          <w:szCs w:val="20"/>
          <w:color w:val="auto"/>
        </w:rPr>
      </w:pPr>
    </w:p>
    <w:p>
      <w:pPr>
        <w:ind w:left="420" w:hanging="412"/>
        <w:spacing w:after="0"/>
        <w:tabs>
          <w:tab w:leader="none" w:pos="42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BENEFIT PLANS</w:t>
      </w:r>
    </w:p>
    <w:p>
      <w:pPr>
        <w:spacing w:after="0" w:line="201"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Certen maintains non-contributory defined benefit plans that provide for pension, other retirement and post employment benefits for substantially all its employees based on length of service and rate of pay. The Company's funding policy is to make contributions to its pension fund based on actuarial methods permitted by pension regulatory bodies. Contributions reflect actuarial assumptions concerning future investment returns, salary projections and future service benefits. Plan assets are represented primarily by Canadian and foreign equities, government and corporate bonds, debentures and secured mortgages.</w:t>
      </w:r>
    </w:p>
    <w:p>
      <w:pPr>
        <w:spacing w:after="0" w:line="77" w:lineRule="exact"/>
        <w:rPr>
          <w:sz w:val="20"/>
          <w:szCs w:val="20"/>
          <w:color w:val="auto"/>
        </w:rPr>
      </w:pPr>
    </w:p>
    <w:p>
      <w:pPr>
        <w:ind w:right="2319" w:firstLine="527"/>
        <w:spacing w:after="0" w:line="260" w:lineRule="auto"/>
        <w:rPr>
          <w:sz w:val="20"/>
          <w:szCs w:val="20"/>
          <w:color w:val="auto"/>
        </w:rPr>
      </w:pPr>
      <w:r>
        <w:rPr>
          <w:rFonts w:ascii="Courier New" w:cs="Courier New" w:eastAsia="Courier New" w:hAnsi="Courier New"/>
          <w:sz w:val="18"/>
          <w:szCs w:val="18"/>
          <w:color w:val="auto"/>
        </w:rPr>
        <w:t>Effective April 1, 2001, Bell Canada transferred approximately 700 employees to Certen. Accordingly, on April 1, 2001 Certen recorded, at fair value, an accrued benefit asset of $9 million with respect to its pension benefits and an accrued benefit liability of $10 million relating to other employee benefits. The $1 million related party adjustment difference was recorded as reduction of retained earnings.</w:t>
      </w:r>
    </w:p>
    <w:p>
      <w:pPr>
        <w:spacing w:after="0" w:line="93"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The benefit obligations, the fair value of assets and the funded status of the defined benefit plans at December 31 were as follows:</w:t>
      </w:r>
    </w:p>
    <w:p>
      <w:pPr>
        <w:spacing w:after="0" w:line="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PENSION BENEFITS OTHER BENEFITS -------</w:t>
      </w:r>
    </w:p>
    <w:tbl>
      <w:tblPr>
        <w:tblLayout w:type="fixed"/>
        <w:tblInd w:w="0" w:type="dxa"/>
        <w:tblCellMar>
          <w:top w:w="0" w:type="dxa"/>
          <w:left w:w="0" w:type="dxa"/>
          <w:bottom w:w="0" w:type="dxa"/>
          <w:right w:w="0" w:type="dxa"/>
        </w:tblCellMar>
      </w:tblPr>
      <w:tr>
        <w:trPr>
          <w:trHeight w:val="201"/>
        </w:trPr>
        <w:tc>
          <w:tcPr>
            <w:tcW w:w="1060" w:type="dxa"/>
            <w:vAlign w:val="bottom"/>
            <w:vMerge w:val="restart"/>
          </w:tcPr>
          <w:p>
            <w:pPr>
              <w:ind w:left="60"/>
              <w:spacing w:after="0"/>
              <w:rPr>
                <w:sz w:val="20"/>
                <w:szCs w:val="20"/>
                <w:color w:val="auto"/>
              </w:rPr>
            </w:pPr>
            <w:r>
              <w:rPr>
                <w:rFonts w:ascii="Courier New" w:cs="Courier New" w:eastAsia="Courier New" w:hAnsi="Courier New"/>
                <w:sz w:val="21"/>
                <w:szCs w:val="21"/>
                <w:color w:val="auto"/>
                <w:w w:val="71"/>
                <w:vertAlign w:val="subscript"/>
              </w:rPr>
              <w:t>2002</w:t>
            </w:r>
            <w:r>
              <w:rPr>
                <w:rFonts w:ascii="Courier New" w:cs="Courier New" w:eastAsia="Courier New" w:hAnsi="Courier New"/>
                <w:sz w:val="13"/>
                <w:szCs w:val="13"/>
                <w:color w:val="auto"/>
                <w:w w:val="71"/>
              </w:rPr>
              <w:t>---------</w:t>
            </w:r>
            <w:r>
              <w:rPr>
                <w:rFonts w:ascii="Courier New" w:cs="Courier New" w:eastAsia="Courier New" w:hAnsi="Courier New"/>
                <w:sz w:val="21"/>
                <w:szCs w:val="21"/>
                <w:color w:val="auto"/>
                <w:w w:val="71"/>
                <w:vertAlign w:val="subscript"/>
              </w:rPr>
              <w:t>2001</w:t>
            </w:r>
          </w:p>
        </w:tc>
        <w:tc>
          <w:tcPr>
            <w:tcW w:w="3100" w:type="dxa"/>
            <w:vAlign w:val="bottom"/>
            <w:gridSpan w:val="2"/>
          </w:tcPr>
          <w:p>
            <w:pPr>
              <w:jc w:val="right"/>
              <w:ind w:right="12"/>
              <w:spacing w:after="0" w:line="201" w:lineRule="exact"/>
              <w:rPr>
                <w:sz w:val="20"/>
                <w:szCs w:val="20"/>
                <w:color w:val="auto"/>
              </w:rPr>
            </w:pPr>
            <w:r>
              <w:rPr>
                <w:rFonts w:ascii="Courier New" w:cs="Courier New" w:eastAsia="Courier New" w:hAnsi="Courier New"/>
                <w:sz w:val="18"/>
                <w:szCs w:val="18"/>
                <w:color w:val="auto"/>
              </w:rPr>
              <w:t>----------------- 2002 2001</w:t>
            </w: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3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 ------- ------</w:t>
            </w:r>
          </w:p>
        </w:tc>
        <w:tc>
          <w:tcPr>
            <w:tcW w:w="0" w:type="dxa"/>
            <w:vAlign w:val="bottom"/>
          </w:tcPr>
          <w:p>
            <w:pPr>
              <w:spacing w:after="0"/>
              <w:rPr>
                <w:sz w:val="1"/>
                <w:szCs w:val="1"/>
                <w:color w:val="auto"/>
              </w:rPr>
            </w:pPr>
          </w:p>
        </w:tc>
      </w:tr>
      <w:tr>
        <w:trPr>
          <w:trHeight w:val="203"/>
        </w:trPr>
        <w:tc>
          <w:tcPr>
            <w:tcW w:w="416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rPr>
              <w:t>- $ $ $ $ Fair value of plan</w:t>
            </w:r>
          </w:p>
        </w:tc>
        <w:tc>
          <w:tcPr>
            <w:tcW w:w="0" w:type="dxa"/>
            <w:vAlign w:val="bottom"/>
          </w:tcPr>
          <w:p>
            <w:pPr>
              <w:spacing w:after="0"/>
              <w:rPr>
                <w:sz w:val="1"/>
                <w:szCs w:val="1"/>
                <w:color w:val="auto"/>
              </w:rPr>
            </w:pPr>
          </w:p>
        </w:tc>
      </w:tr>
      <w:tr>
        <w:trPr>
          <w:trHeight w:val="296"/>
        </w:trPr>
        <w:tc>
          <w:tcPr>
            <w:tcW w:w="1060" w:type="dxa"/>
            <w:vAlign w:val="bottom"/>
          </w:tcPr>
          <w:p>
            <w:pPr>
              <w:jc w:val="right"/>
              <w:spacing w:after="0"/>
              <w:rPr>
                <w:sz w:val="20"/>
                <w:szCs w:val="20"/>
                <w:color w:val="auto"/>
              </w:rPr>
            </w:pPr>
            <w:r>
              <w:rPr>
                <w:rFonts w:ascii="Courier New" w:cs="Courier New" w:eastAsia="Courier New" w:hAnsi="Courier New"/>
                <w:sz w:val="8"/>
                <w:szCs w:val="8"/>
                <w:color w:val="auto"/>
                <w:w w:val="74"/>
              </w:rPr>
              <w:t>assets.......................</w:t>
            </w:r>
          </w:p>
        </w:tc>
        <w:tc>
          <w:tcPr>
            <w:tcW w:w="2320" w:type="dxa"/>
            <w:vAlign w:val="bottom"/>
            <w:vMerge w:val="restart"/>
          </w:tcPr>
          <w:p>
            <w:pPr>
              <w:spacing w:after="0"/>
              <w:rPr>
                <w:sz w:val="20"/>
                <w:szCs w:val="20"/>
                <w:color w:val="auto"/>
              </w:rPr>
            </w:pPr>
            <w:r>
              <w:rPr>
                <w:rFonts w:ascii="Courier New" w:cs="Courier New" w:eastAsia="Courier New" w:hAnsi="Courier New"/>
                <w:sz w:val="18"/>
                <w:szCs w:val="18"/>
                <w:color w:val="auto"/>
              </w:rPr>
              <w:t>69,921 -- -- Benefit</w:t>
            </w:r>
          </w:p>
        </w:tc>
        <w:tc>
          <w:tcPr>
            <w:tcW w:w="78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5"/>
              </w:rPr>
              <w:t>48,700</w:t>
            </w:r>
          </w:p>
        </w:tc>
        <w:tc>
          <w:tcPr>
            <w:tcW w:w="0" w:type="dxa"/>
            <w:vAlign w:val="bottom"/>
          </w:tcPr>
          <w:p>
            <w:pPr>
              <w:spacing w:after="0"/>
              <w:rPr>
                <w:sz w:val="1"/>
                <w:szCs w:val="1"/>
                <w:color w:val="auto"/>
              </w:rPr>
            </w:pPr>
          </w:p>
        </w:tc>
      </w:tr>
      <w:tr>
        <w:trPr>
          <w:trHeight w:val="109"/>
        </w:trPr>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obligation</w:t>
            </w:r>
          </w:p>
        </w:tc>
        <w:tc>
          <w:tcPr>
            <w:tcW w:w="23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2320" w:type="dxa"/>
            <w:vAlign w:val="bottom"/>
          </w:tcPr>
          <w:p>
            <w:pPr>
              <w:spacing w:after="0" w:line="202" w:lineRule="exact"/>
              <w:rPr>
                <w:sz w:val="20"/>
                <w:szCs w:val="20"/>
                <w:color w:val="auto"/>
              </w:rPr>
            </w:pPr>
            <w:r>
              <w:rPr>
                <w:rFonts w:ascii="Courier New" w:cs="Courier New" w:eastAsia="Courier New" w:hAnsi="Courier New"/>
                <w:sz w:val="13"/>
                <w:szCs w:val="13"/>
                <w:color w:val="auto"/>
                <w:w w:val="77"/>
              </w:rPr>
              <w:t>..............................</w:t>
            </w:r>
            <w:r>
              <w:rPr>
                <w:rFonts w:ascii="Courier New" w:cs="Courier New" w:eastAsia="Courier New" w:hAnsi="Courier New"/>
                <w:sz w:val="23"/>
                <w:szCs w:val="23"/>
                <w:color w:val="auto"/>
                <w:w w:val="77"/>
                <w:vertAlign w:val="subscript"/>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3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60,061 67,464 10,413 11,813</w:t>
            </w: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20"/>
        <w:spacing w:after="0" w:line="238" w:lineRule="auto"/>
        <w:rPr>
          <w:sz w:val="20"/>
          <w:szCs w:val="20"/>
          <w:color w:val="auto"/>
        </w:rPr>
      </w:pPr>
      <w:r>
        <w:rPr>
          <w:rFonts w:ascii="Courier New" w:cs="Courier New" w:eastAsia="Courier New" w:hAnsi="Courier New"/>
          <w:sz w:val="18"/>
          <w:szCs w:val="18"/>
          <w:color w:val="auto"/>
        </w:rPr>
        <w:t>--- ------- ------- Funded status-plan</w:t>
      </w:r>
    </w:p>
    <w:tbl>
      <w:tblPr>
        <w:tblLayout w:type="fixed"/>
        <w:tblInd w:w="60" w:type="dxa"/>
        <w:tblCellMar>
          <w:top w:w="0" w:type="dxa"/>
          <w:left w:w="0" w:type="dxa"/>
          <w:bottom w:w="0" w:type="dxa"/>
          <w:right w:w="0" w:type="dxa"/>
        </w:tblCellMar>
      </w:tblPr>
      <w:tr>
        <w:trPr>
          <w:trHeight w:val="171"/>
        </w:trPr>
        <w:tc>
          <w:tcPr>
            <w:tcW w:w="1840" w:type="dxa"/>
            <w:vAlign w:val="bottom"/>
            <w:gridSpan w:val="3"/>
          </w:tcPr>
          <w:p>
            <w:pPr>
              <w:jc w:val="right"/>
              <w:spacing w:after="0" w:line="171" w:lineRule="exact"/>
              <w:rPr>
                <w:sz w:val="20"/>
                <w:szCs w:val="20"/>
                <w:color w:val="auto"/>
              </w:rPr>
            </w:pPr>
            <w:r>
              <w:rPr>
                <w:rFonts w:ascii="Courier New" w:cs="Courier New" w:eastAsia="Courier New" w:hAnsi="Courier New"/>
                <w:sz w:val="18"/>
                <w:szCs w:val="18"/>
                <w:color w:val="auto"/>
                <w:w w:val="99"/>
              </w:rPr>
              <w:t>(deficit) surplus</w:t>
            </w:r>
          </w:p>
        </w:tc>
        <w:tc>
          <w:tcPr>
            <w:tcW w:w="22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96"/>
              </w:rPr>
              <w:t>............ (11,361)</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2,457</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(10,413)</w:t>
            </w:r>
          </w:p>
        </w:tc>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(11,813) Unamortized net</w:t>
            </w:r>
          </w:p>
        </w:tc>
      </w:tr>
      <w:tr>
        <w:trPr>
          <w:trHeight w:val="203"/>
        </w:trPr>
        <w:tc>
          <w:tcPr>
            <w:tcW w:w="18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2"/>
              </w:rPr>
              <w:t>actuarial loss..................</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15,933</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5,543</w:t>
            </w: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72"/>
              </w:rPr>
              <w:t>708 913 -------</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580" w:type="dxa"/>
            <w:vAlign w:val="bottom"/>
          </w:tcPr>
          <w:p>
            <w:pPr>
              <w:spacing w:after="0"/>
              <w:rPr>
                <w:sz w:val="17"/>
                <w:szCs w:val="17"/>
                <w:color w:val="auto"/>
              </w:rPr>
            </w:pPr>
          </w:p>
        </w:tc>
        <w:tc>
          <w:tcPr>
            <w:tcW w:w="352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w w:val="98"/>
              </w:rPr>
              <w:t>----- ACCRUED BENEFIT ASSET</w:t>
            </w:r>
          </w:p>
        </w:tc>
      </w:tr>
      <w:tr>
        <w:trPr>
          <w:trHeight w:val="235"/>
        </w:trPr>
        <w:tc>
          <w:tcPr>
            <w:tcW w:w="18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2"/>
              </w:rPr>
              <w:t>(LIABILITY)...............</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4,572 8,000</w:t>
            </w:r>
          </w:p>
        </w:tc>
      </w:tr>
    </w:tbl>
    <w:p>
      <w:pPr>
        <w:jc w:val="center"/>
        <w:ind w:right="5999"/>
        <w:spacing w:after="0" w:line="238" w:lineRule="auto"/>
        <w:rPr>
          <w:sz w:val="20"/>
          <w:szCs w:val="20"/>
          <w:color w:val="auto"/>
        </w:rPr>
      </w:pPr>
      <w:r>
        <w:rPr>
          <w:rFonts w:ascii="Courier New" w:cs="Courier New" w:eastAsia="Courier New" w:hAnsi="Courier New"/>
          <w:sz w:val="18"/>
          <w:szCs w:val="18"/>
          <w:color w:val="auto"/>
        </w:rPr>
        <w:t>(9,705) (10,900) ======= ====== =======</w:t>
      </w:r>
    </w:p>
    <w:p>
      <w:pPr>
        <w:jc w:val="center"/>
        <w:ind w:right="5999"/>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net benefit plans expense for 2002, related to pension benefits, amounted to $3,428,000 ($1,000,000 in 2001); whereas, other benefits reflected a credit of $1,195,000 ($900,000 expense in 2001).</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plans assets are held in units of the BCE Master Trust Fund.</w:t>
      </w:r>
    </w:p>
    <w:p>
      <w:pPr>
        <w:spacing w:after="0" w:line="20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The significant assumptions adopted in measuring Certen's pension and other benefit obligations were as follows:</w:t>
      </w:r>
    </w:p>
    <w:p>
      <w:pPr>
        <w:spacing w:after="0" w:line="18"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2002 2001 ---- ---- % % Discount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rate...............................................</w:t>
      </w:r>
    </w:p>
    <w:p>
      <w:pPr>
        <w:ind w:left="260"/>
        <w:spacing w:after="0" w:line="238" w:lineRule="auto"/>
        <w:rPr>
          <w:sz w:val="20"/>
          <w:szCs w:val="20"/>
          <w:color w:val="auto"/>
        </w:rPr>
      </w:pPr>
      <w:r>
        <w:rPr>
          <w:rFonts w:ascii="Courier New" w:cs="Courier New" w:eastAsia="Courier New" w:hAnsi="Courier New"/>
          <w:sz w:val="18"/>
          <w:szCs w:val="18"/>
          <w:color w:val="auto"/>
        </w:rPr>
        <w:t>6.50 6.50 Expected long-term rate of return on</w:t>
      </w:r>
    </w:p>
    <w:tbl>
      <w:tblPr>
        <w:tblLayout w:type="fixed"/>
        <w:tblInd w:w="100" w:type="dxa"/>
        <w:tblCellMar>
          <w:top w:w="0" w:type="dxa"/>
          <w:left w:w="0" w:type="dxa"/>
          <w:bottom w:w="0" w:type="dxa"/>
          <w:right w:w="0" w:type="dxa"/>
        </w:tblCellMar>
      </w:tblPr>
      <w:tr>
        <w:trPr>
          <w:trHeight w:val="171"/>
        </w:trPr>
        <w:tc>
          <w:tcPr>
            <w:tcW w:w="8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plan</w:t>
            </w:r>
          </w:p>
        </w:tc>
        <w:tc>
          <w:tcPr>
            <w:tcW w:w="72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assets</w:t>
            </w:r>
          </w:p>
        </w:tc>
        <w:tc>
          <w:tcPr>
            <w:tcW w:w="3600" w:type="dxa"/>
            <w:vAlign w:val="bottom"/>
          </w:tcPr>
          <w:p>
            <w:pPr>
              <w:jc w:val="right"/>
              <w:ind w:right="352"/>
              <w:spacing w:after="0" w:line="171" w:lineRule="exact"/>
              <w:rPr>
                <w:sz w:val="20"/>
                <w:szCs w:val="20"/>
                <w:color w:val="auto"/>
              </w:rPr>
            </w:pPr>
            <w:r>
              <w:rPr>
                <w:rFonts w:ascii="Courier New" w:cs="Courier New" w:eastAsia="Courier New" w:hAnsi="Courier New"/>
                <w:sz w:val="18"/>
                <w:szCs w:val="18"/>
                <w:color w:val="auto"/>
                <w:w w:val="96"/>
              </w:rPr>
              <w:t>............ 8.30 8.75 Rate of</w:t>
            </w:r>
          </w:p>
        </w:tc>
        <w:tc>
          <w:tcPr>
            <w:tcW w:w="0" w:type="dxa"/>
            <w:vAlign w:val="bottom"/>
          </w:tcPr>
          <w:p>
            <w:pPr>
              <w:spacing w:after="0"/>
              <w:rPr>
                <w:sz w:val="1"/>
                <w:szCs w:val="1"/>
                <w:color w:val="auto"/>
              </w:rPr>
            </w:pPr>
          </w:p>
        </w:tc>
      </w:tr>
      <w:tr>
        <w:trPr>
          <w:trHeight w:val="203"/>
        </w:trPr>
        <w:tc>
          <w:tcPr>
            <w:tcW w:w="8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7"/>
              </w:rPr>
              <w:t>increase</w:t>
            </w:r>
          </w:p>
        </w:tc>
        <w:tc>
          <w:tcPr>
            <w:tcW w:w="720" w:type="dxa"/>
            <w:vAlign w:val="bottom"/>
          </w:tcPr>
          <w:p>
            <w:pPr>
              <w:spacing w:after="0"/>
              <w:rPr>
                <w:sz w:val="17"/>
                <w:szCs w:val="17"/>
                <w:color w:val="auto"/>
              </w:rPr>
            </w:pPr>
          </w:p>
        </w:tc>
        <w:tc>
          <w:tcPr>
            <w:tcW w:w="3600" w:type="dxa"/>
            <w:vAlign w:val="bottom"/>
          </w:tcPr>
          <w:p>
            <w:pPr>
              <w:jc w:val="right"/>
              <w:ind w:right="1872"/>
              <w:spacing w:after="0" w:line="203" w:lineRule="exact"/>
              <w:rPr>
                <w:sz w:val="20"/>
                <w:szCs w:val="20"/>
                <w:color w:val="auto"/>
              </w:rPr>
            </w:pPr>
            <w:r>
              <w:rPr>
                <w:rFonts w:ascii="Courier New" w:cs="Courier New" w:eastAsia="Courier New" w:hAnsi="Courier New"/>
                <w:sz w:val="18"/>
                <w:szCs w:val="18"/>
                <w:color w:val="auto"/>
              </w:rPr>
              <w:t>compensation</w:t>
            </w:r>
          </w:p>
        </w:tc>
        <w:tc>
          <w:tcPr>
            <w:tcW w:w="0" w:type="dxa"/>
            <w:vAlign w:val="bottom"/>
          </w:tcPr>
          <w:p>
            <w:pPr>
              <w:spacing w:after="0"/>
              <w:rPr>
                <w:sz w:val="1"/>
                <w:szCs w:val="1"/>
                <w:color w:val="auto"/>
              </w:rPr>
            </w:pPr>
          </w:p>
        </w:tc>
      </w:tr>
      <w:tr>
        <w:trPr>
          <w:trHeight w:val="296"/>
        </w:trPr>
        <w:tc>
          <w:tcPr>
            <w:tcW w:w="860" w:type="dxa"/>
            <w:vAlign w:val="bottom"/>
            <w:vMerge w:val="continue"/>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5"/>
                <w:szCs w:val="5"/>
                <w:color w:val="auto"/>
                <w:w w:val="75"/>
              </w:rPr>
              <w:t>...............................</w:t>
            </w:r>
          </w:p>
        </w:tc>
        <w:tc>
          <w:tcPr>
            <w:tcW w:w="3600" w:type="dxa"/>
            <w:vAlign w:val="bottom"/>
          </w:tcPr>
          <w:p>
            <w:pPr>
              <w:jc w:val="right"/>
              <w:spacing w:after="0"/>
              <w:rPr>
                <w:sz w:val="20"/>
                <w:szCs w:val="20"/>
                <w:color w:val="auto"/>
              </w:rPr>
            </w:pPr>
            <w:r>
              <w:rPr>
                <w:rFonts w:ascii="Courier New" w:cs="Courier New" w:eastAsia="Courier New" w:hAnsi="Courier New"/>
                <w:sz w:val="18"/>
                <w:szCs w:val="18"/>
                <w:color w:val="auto"/>
              </w:rPr>
              <w:t>3.50 3.50</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For measurement purposes, a 4.5% annual rate of increase in the per capita cost of covered health care benefits (the health care cost trend rate) was assumed for 2002, except for the cost of medication, which was assumed to increase at a 10.5% annual rate for 2002. This rate was assumed to gradually decline to 4.5% by 2008 and remain stable thereafter.</w:t>
      </w:r>
    </w:p>
    <w:p>
      <w:pPr>
        <w:spacing w:after="0" w:line="90" w:lineRule="exact"/>
        <w:rPr>
          <w:sz w:val="20"/>
          <w:szCs w:val="20"/>
          <w:color w:val="auto"/>
        </w:rPr>
      </w:pPr>
    </w:p>
    <w:p>
      <w:pPr>
        <w:ind w:left="420" w:hanging="412"/>
        <w:spacing w:after="0"/>
        <w:tabs>
          <w:tab w:leader="none" w:pos="42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PROMISSORY NOTE DUE TO RELATED PARTY</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 promissory note due to related party was non-interest bearing and payable on demand to Bell Canada. On January 29, 2002, Certen opted to repay the promissory note through the issuance of 61,334 common shares of the Company at an issuance price of $100 per share.</w:t>
      </w:r>
    </w:p>
    <w:p>
      <w:pPr>
        <w:sectPr>
          <w:pgSz w:w="11900" w:h="16838" w:orient="portrait"/>
          <w:cols w:equalWidth="0" w:num="1">
            <w:col w:w="10219"/>
          </w:cols>
          <w:pgMar w:left="240" w:top="488" w:right="1440" w:bottom="0" w:gutter="0" w:footer="0" w:header="0"/>
        </w:sectPr>
      </w:pPr>
    </w:p>
    <w:bookmarkStart w:id="130" w:name="page131"/>
    <w:bookmarkEnd w:id="130"/>
    <w:p>
      <w:pPr>
        <w:ind w:left="2920"/>
        <w:spacing w:after="0"/>
        <w:rPr>
          <w:sz w:val="20"/>
          <w:szCs w:val="20"/>
          <w:color w:val="auto"/>
        </w:rPr>
      </w:pPr>
      <w:r>
        <w:rPr>
          <w:rFonts w:ascii="Courier New" w:cs="Courier New" w:eastAsia="Courier New" w:hAnsi="Courier New"/>
          <w:sz w:val="16"/>
          <w:szCs w:val="16"/>
          <w:color w:val="auto"/>
        </w:rPr>
        <w:t>F-51</w:t>
      </w:r>
    </w:p>
    <w:p>
      <w:pPr>
        <w:sectPr>
          <w:pgSz w:w="11900" w:h="16838" w:orient="portrait"/>
          <w:cols w:equalWidth="0" w:num="1">
            <w:col w:w="9019"/>
          </w:cols>
          <w:pgMar w:left="1440" w:top="312" w:right="1440" w:bottom="1440" w:gutter="0" w:footer="0" w:header="0"/>
        </w:sectPr>
      </w:pPr>
    </w:p>
    <w:bookmarkStart w:id="131" w:name="page132"/>
    <w:bookmarkEnd w:id="131"/>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THE FINANCIAL STATEMENTS -- (CONTINUED)</w:t>
      </w:r>
    </w:p>
    <w:p>
      <w:pPr>
        <w:spacing w:after="0" w:line="201" w:lineRule="exact"/>
        <w:rPr>
          <w:sz w:val="20"/>
          <w:szCs w:val="20"/>
          <w:color w:val="auto"/>
        </w:rPr>
      </w:pPr>
    </w:p>
    <w:p>
      <w:pPr>
        <w:ind w:left="420" w:hanging="412"/>
        <w:spacing w:after="0"/>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 UNDER CAPITAL LEASES</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In 2002 and 2001, Certen entered into sale-leaseback transactions for the acquisition of hardware and software. The capital leases bear interest rates of 11.7% and 5.5%, respectively, per annum and are payable in monthly installments, maturing in 2005.</w:t>
      </w:r>
    </w:p>
    <w:p>
      <w:pPr>
        <w:spacing w:after="0" w:line="82"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In 2002, included in other long-term liabilities is a deferred gain of $3,802,000 recorded on the sale and subsequent leaseback of the assets which will be amortized over the three-year term of the lease.</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Repayment of the capital leases over the next five years is as follows: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2003........................................................</w:t>
      </w:r>
    </w:p>
    <w:p>
      <w:pPr>
        <w:jc w:val="center"/>
        <w:ind w:right="3879"/>
        <w:spacing w:after="0" w:line="238" w:lineRule="auto"/>
        <w:rPr>
          <w:sz w:val="20"/>
          <w:szCs w:val="20"/>
          <w:color w:val="auto"/>
        </w:rPr>
      </w:pPr>
      <w:r>
        <w:rPr>
          <w:rFonts w:ascii="Courier New" w:cs="Courier New" w:eastAsia="Courier New" w:hAnsi="Courier New"/>
          <w:sz w:val="18"/>
          <w:szCs w:val="18"/>
          <w:color w:val="auto"/>
        </w:rPr>
        <w:t>37,541</w:t>
      </w:r>
    </w:p>
    <w:p>
      <w:pPr>
        <w:spacing w:after="0"/>
        <w:rPr>
          <w:sz w:val="20"/>
          <w:szCs w:val="20"/>
          <w:color w:val="auto"/>
        </w:rPr>
      </w:pPr>
      <w:r>
        <w:rPr>
          <w:rFonts w:ascii="Courier New" w:cs="Courier New" w:eastAsia="Courier New" w:hAnsi="Courier New"/>
          <w:sz w:val="18"/>
          <w:szCs w:val="18"/>
          <w:color w:val="auto"/>
        </w:rPr>
        <w:t>2004........................................................</w:t>
      </w:r>
    </w:p>
    <w:p>
      <w:pPr>
        <w:jc w:val="center"/>
        <w:ind w:right="3879"/>
        <w:spacing w:after="0" w:line="238" w:lineRule="auto"/>
        <w:rPr>
          <w:sz w:val="20"/>
          <w:szCs w:val="20"/>
          <w:color w:val="auto"/>
        </w:rPr>
      </w:pPr>
      <w:r>
        <w:rPr>
          <w:rFonts w:ascii="Courier New" w:cs="Courier New" w:eastAsia="Courier New" w:hAnsi="Courier New"/>
          <w:sz w:val="18"/>
          <w:szCs w:val="18"/>
          <w:color w:val="auto"/>
        </w:rPr>
        <w:t>24,270</w:t>
      </w:r>
    </w:p>
    <w:p>
      <w:pPr>
        <w:spacing w:after="0"/>
        <w:rPr>
          <w:sz w:val="20"/>
          <w:szCs w:val="20"/>
          <w:color w:val="auto"/>
        </w:rPr>
      </w:pPr>
      <w:r>
        <w:rPr>
          <w:rFonts w:ascii="Courier New" w:cs="Courier New" w:eastAsia="Courier New" w:hAnsi="Courier New"/>
          <w:sz w:val="18"/>
          <w:szCs w:val="18"/>
          <w:color w:val="auto"/>
        </w:rPr>
        <w:t>2005........................................................</w:t>
      </w:r>
    </w:p>
    <w:tbl>
      <w:tblPr>
        <w:tblLayout w:type="fixed"/>
        <w:tblInd w:w="0" w:type="dxa"/>
        <w:tblCellMar>
          <w:top w:w="0" w:type="dxa"/>
          <w:left w:w="0" w:type="dxa"/>
          <w:bottom w:w="0" w:type="dxa"/>
          <w:right w:w="0" w:type="dxa"/>
        </w:tblCellMar>
      </w:tblPr>
      <w:tr>
        <w:trPr>
          <w:trHeight w:val="296"/>
        </w:trPr>
        <w:tc>
          <w:tcPr>
            <w:tcW w:w="2440" w:type="dxa"/>
            <w:vAlign w:val="bottom"/>
            <w:vMerge w:val="restart"/>
          </w:tcPr>
          <w:p>
            <w:pPr>
              <w:spacing w:after="0"/>
              <w:rPr>
                <w:sz w:val="20"/>
                <w:szCs w:val="20"/>
                <w:color w:val="auto"/>
              </w:rPr>
            </w:pPr>
            <w:r>
              <w:rPr>
                <w:rFonts w:ascii="Courier New" w:cs="Courier New" w:eastAsia="Courier New" w:hAnsi="Courier New"/>
                <w:sz w:val="4"/>
                <w:szCs w:val="4"/>
                <w:color w:val="auto"/>
                <w:w w:val="74"/>
              </w:rPr>
              <w:t>2006........................................................</w:t>
            </w:r>
            <w:r>
              <w:rPr>
                <w:rFonts w:ascii="Courier New" w:cs="Courier New" w:eastAsia="Courier New" w:hAnsi="Courier New"/>
                <w:sz w:val="8"/>
                <w:szCs w:val="8"/>
                <w:color w:val="auto"/>
                <w:w w:val="74"/>
                <w:vertAlign w:val="subscript"/>
              </w:rPr>
              <w:t>........................................................</w:t>
            </w: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9,712</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440" w:type="dxa"/>
            <w:vAlign w:val="bottom"/>
            <w:vMerge w:val="continue"/>
          </w:tcPr>
          <w:p>
            <w:pPr>
              <w:spacing w:after="0"/>
              <w:rPr>
                <w:sz w:val="22"/>
                <w:szCs w:val="22"/>
                <w:color w:val="auto"/>
              </w:rPr>
            </w:pPr>
          </w:p>
        </w:tc>
        <w:tc>
          <w:tcPr>
            <w:tcW w:w="130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2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2440" w:type="dxa"/>
            <w:vAlign w:val="bottom"/>
            <w:vMerge w:val="restart"/>
          </w:tcPr>
          <w:p>
            <w:pPr>
              <w:spacing w:after="0"/>
              <w:rPr>
                <w:sz w:val="20"/>
                <w:szCs w:val="20"/>
                <w:color w:val="auto"/>
              </w:rPr>
            </w:pPr>
            <w:r>
              <w:rPr>
                <w:rFonts w:ascii="Courier New" w:cs="Courier New" w:eastAsia="Courier New" w:hAnsi="Courier New"/>
                <w:sz w:val="18"/>
                <w:szCs w:val="18"/>
                <w:color w:val="auto"/>
              </w:rPr>
              <w:t>2007</w:t>
            </w:r>
          </w:p>
        </w:tc>
        <w:tc>
          <w:tcPr>
            <w:tcW w:w="1300" w:type="dxa"/>
            <w:vAlign w:val="bottom"/>
            <w:vMerge w:val="continue"/>
          </w:tcPr>
          <w:p>
            <w:pPr>
              <w:spacing w:after="0"/>
              <w:rPr>
                <w:sz w:val="10"/>
                <w:szCs w:val="10"/>
                <w:color w:val="auto"/>
              </w:rPr>
            </w:pP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44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Total minimum payments under capital</w:t>
            </w:r>
          </w:p>
        </w:tc>
        <w:tc>
          <w:tcPr>
            <w:tcW w:w="0" w:type="dxa"/>
            <w:vAlign w:val="bottom"/>
          </w:tcPr>
          <w:p>
            <w:pPr>
              <w:spacing w:after="0"/>
              <w:rPr>
                <w:sz w:val="1"/>
                <w:szCs w:val="1"/>
                <w:color w:val="auto"/>
              </w:rPr>
            </w:pPr>
          </w:p>
        </w:tc>
      </w:tr>
      <w:tr>
        <w:trPr>
          <w:trHeight w:val="203"/>
        </w:trPr>
        <w:tc>
          <w:tcPr>
            <w:tcW w:w="2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8"/>
              </w:rPr>
              <w:t>leases.................</w:t>
            </w:r>
          </w:p>
        </w:tc>
        <w:tc>
          <w:tcPr>
            <w:tcW w:w="3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71,523 Less: amount representing</w:t>
            </w:r>
          </w:p>
        </w:tc>
        <w:tc>
          <w:tcPr>
            <w:tcW w:w="0" w:type="dxa"/>
            <w:vAlign w:val="bottom"/>
          </w:tcPr>
          <w:p>
            <w:pPr>
              <w:spacing w:after="0"/>
              <w:rPr>
                <w:sz w:val="1"/>
                <w:szCs w:val="1"/>
                <w:color w:val="auto"/>
              </w:rPr>
            </w:pPr>
          </w:p>
        </w:tc>
      </w:tr>
      <w:tr>
        <w:trPr>
          <w:trHeight w:val="203"/>
        </w:trPr>
        <w:tc>
          <w:tcPr>
            <w:tcW w:w="3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interest..........................</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5,122 ------ Net minimum</w:t>
            </w:r>
          </w:p>
        </w:tc>
        <w:tc>
          <w:tcPr>
            <w:tcW w:w="0" w:type="dxa"/>
            <w:vAlign w:val="bottom"/>
          </w:tcPr>
          <w:p>
            <w:pPr>
              <w:spacing w:after="0"/>
              <w:rPr>
                <w:sz w:val="1"/>
                <w:szCs w:val="1"/>
                <w:color w:val="auto"/>
              </w:rPr>
            </w:pPr>
          </w:p>
        </w:tc>
      </w:tr>
      <w:tr>
        <w:trPr>
          <w:trHeight w:val="203"/>
        </w:trPr>
        <w:tc>
          <w:tcPr>
            <w:tcW w:w="374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74"/>
              </w:rPr>
              <w:t>payments under capital leases...................</w:t>
            </w:r>
          </w:p>
        </w:tc>
        <w:tc>
          <w:tcPr>
            <w:tcW w:w="2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66,401</w:t>
            </w:r>
          </w:p>
        </w:tc>
        <w:tc>
          <w:tcPr>
            <w:tcW w:w="0" w:type="dxa"/>
            <w:vAlign w:val="bottom"/>
          </w:tcPr>
          <w:p>
            <w:pPr>
              <w:spacing w:after="0"/>
              <w:rPr>
                <w:sz w:val="1"/>
                <w:szCs w:val="1"/>
                <w:color w:val="auto"/>
              </w:rPr>
            </w:pPr>
          </w:p>
        </w:tc>
      </w:tr>
      <w:tr>
        <w:trPr>
          <w:trHeight w:val="203"/>
        </w:trPr>
        <w:tc>
          <w:tcPr>
            <w:tcW w:w="2440" w:type="dxa"/>
            <w:vAlign w:val="bottom"/>
            <w:vMerge w:val="restart"/>
          </w:tcPr>
          <w:p>
            <w:pPr>
              <w:ind w:left="60"/>
              <w:spacing w:after="0"/>
              <w:rPr>
                <w:sz w:val="20"/>
                <w:szCs w:val="20"/>
                <w:color w:val="auto"/>
              </w:rPr>
            </w:pPr>
            <w:r>
              <w:rPr>
                <w:rFonts w:ascii="Courier New" w:cs="Courier New" w:eastAsia="Courier New" w:hAnsi="Courier New"/>
                <w:sz w:val="4"/>
                <w:szCs w:val="4"/>
                <w:color w:val="auto"/>
                <w:w w:val="89"/>
              </w:rPr>
              <w:t>portion.............................................</w:t>
            </w:r>
            <w:r>
              <w:rPr>
                <w:rFonts w:ascii="Courier New" w:cs="Courier New" w:eastAsia="Courier New" w:hAnsi="Courier New"/>
                <w:sz w:val="8"/>
                <w:szCs w:val="8"/>
                <w:color w:val="auto"/>
                <w:w w:val="89"/>
                <w:vertAlign w:val="subscript"/>
              </w:rPr>
              <w:t>...........................................</w:t>
            </w:r>
          </w:p>
        </w:tc>
        <w:tc>
          <w:tcPr>
            <w:tcW w:w="3840" w:type="dxa"/>
            <w:vAlign w:val="bottom"/>
            <w:gridSpan w:val="2"/>
          </w:tcPr>
          <w:p>
            <w:pPr>
              <w:jc w:val="center"/>
              <w:ind w:right="2292"/>
              <w:spacing w:after="0" w:line="203" w:lineRule="exact"/>
              <w:rPr>
                <w:sz w:val="20"/>
                <w:szCs w:val="20"/>
                <w:color w:val="auto"/>
              </w:rPr>
            </w:pPr>
            <w:r>
              <w:rPr>
                <w:rFonts w:ascii="Courier New" w:cs="Courier New" w:eastAsia="Courier New" w:hAnsi="Courier New"/>
                <w:sz w:val="18"/>
                <w:szCs w:val="18"/>
                <w:color w:val="auto"/>
                <w:w w:val="96"/>
              </w:rPr>
              <w:t>====== Current</w:t>
            </w:r>
          </w:p>
        </w:tc>
        <w:tc>
          <w:tcPr>
            <w:tcW w:w="0" w:type="dxa"/>
            <w:vAlign w:val="bottom"/>
          </w:tcPr>
          <w:p>
            <w:pPr>
              <w:spacing w:after="0"/>
              <w:rPr>
                <w:sz w:val="1"/>
                <w:szCs w:val="1"/>
                <w:color w:val="auto"/>
              </w:rPr>
            </w:pPr>
          </w:p>
        </w:tc>
      </w:tr>
      <w:tr>
        <w:trPr>
          <w:trHeight w:val="381"/>
        </w:trPr>
        <w:tc>
          <w:tcPr>
            <w:tcW w:w="2440" w:type="dxa"/>
            <w:vAlign w:val="bottom"/>
            <w:vMerge w:val="continue"/>
          </w:tcPr>
          <w:p>
            <w:pPr>
              <w:spacing w:after="0"/>
              <w:rPr>
                <w:sz w:val="24"/>
                <w:szCs w:val="24"/>
                <w:color w:val="auto"/>
              </w:rPr>
            </w:pPr>
          </w:p>
        </w:tc>
        <w:tc>
          <w:tcPr>
            <w:tcW w:w="1300" w:type="dxa"/>
            <w:vAlign w:val="bottom"/>
            <w:vMerge w:val="restart"/>
          </w:tcPr>
          <w:p>
            <w:pPr>
              <w:jc w:val="center"/>
              <w:ind w:left="72"/>
              <w:spacing w:after="0"/>
              <w:rPr>
                <w:sz w:val="20"/>
                <w:szCs w:val="20"/>
                <w:color w:val="auto"/>
              </w:rPr>
            </w:pPr>
            <w:r>
              <w:rPr>
                <w:rFonts w:ascii="Courier New" w:cs="Courier New" w:eastAsia="Courier New" w:hAnsi="Courier New"/>
                <w:sz w:val="18"/>
                <w:szCs w:val="18"/>
                <w:color w:val="auto"/>
                <w:w w:val="96"/>
              </w:rPr>
              <w:t>Long-term</w:t>
            </w:r>
          </w:p>
        </w:tc>
        <w:tc>
          <w:tcPr>
            <w:tcW w:w="2540" w:type="dxa"/>
            <w:vAlign w:val="bottom"/>
          </w:tcPr>
          <w:p>
            <w:pPr>
              <w:jc w:val="right"/>
              <w:spacing w:after="0"/>
              <w:rPr>
                <w:sz w:val="20"/>
                <w:szCs w:val="20"/>
                <w:color w:val="auto"/>
              </w:rPr>
            </w:pPr>
            <w:r>
              <w:rPr>
                <w:rFonts w:ascii="Courier New" w:cs="Courier New" w:eastAsia="Courier New" w:hAnsi="Courier New"/>
                <w:sz w:val="18"/>
                <w:szCs w:val="18"/>
                <w:color w:val="auto"/>
              </w:rPr>
              <w:t>34,491</w:t>
            </w:r>
          </w:p>
        </w:tc>
        <w:tc>
          <w:tcPr>
            <w:tcW w:w="0" w:type="dxa"/>
            <w:vAlign w:val="bottom"/>
          </w:tcPr>
          <w:p>
            <w:pPr>
              <w:spacing w:after="0"/>
              <w:rPr>
                <w:sz w:val="1"/>
                <w:szCs w:val="1"/>
                <w:color w:val="auto"/>
              </w:rPr>
            </w:pPr>
          </w:p>
        </w:tc>
      </w:tr>
      <w:tr>
        <w:trPr>
          <w:trHeight w:val="118"/>
        </w:trPr>
        <w:tc>
          <w:tcPr>
            <w:tcW w:w="24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portion</w:t>
            </w:r>
          </w:p>
        </w:tc>
        <w:tc>
          <w:tcPr>
            <w:tcW w:w="1300" w:type="dxa"/>
            <w:vAlign w:val="bottom"/>
            <w:vMerge w:val="continue"/>
          </w:tcPr>
          <w:p>
            <w:pPr>
              <w:spacing w:after="0"/>
              <w:rPr>
                <w:sz w:val="10"/>
                <w:szCs w:val="10"/>
                <w:color w:val="auto"/>
              </w:rPr>
            </w:pPr>
          </w:p>
        </w:tc>
        <w:tc>
          <w:tcPr>
            <w:tcW w:w="2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31,910 -</w:t>
            </w:r>
          </w:p>
        </w:tc>
        <w:tc>
          <w:tcPr>
            <w:tcW w:w="0" w:type="dxa"/>
            <w:vAlign w:val="bottom"/>
          </w:tcPr>
          <w:p>
            <w:pPr>
              <w:spacing w:after="0"/>
              <w:rPr>
                <w:sz w:val="1"/>
                <w:szCs w:val="1"/>
                <w:color w:val="auto"/>
              </w:rPr>
            </w:pPr>
          </w:p>
        </w:tc>
      </w:tr>
      <w:tr>
        <w:trPr>
          <w:trHeight w:val="141"/>
        </w:trPr>
        <w:tc>
          <w:tcPr>
            <w:tcW w:w="244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2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2800" w:hanging="632"/>
        <w:spacing w:after="0"/>
        <w:tabs>
          <w:tab w:leader="none" w:pos="2800"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66,401 ======</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 DEBENTURES DUE TO RELATED PARTY</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convertible debentures bear a compounded annual interest rate of 6% and mature on January 26, 2008. However, if Bell Canada extends the terms of the Master Outsourcing Agreement beyond seven years, then the maturity date will be extended accordingly. Amdocs has the option to convert the debentures into common shares of the Company at any time following 30 months from the issuance date. Each $100 of principal is convertible into one common share of the Company.</w:t>
      </w:r>
    </w:p>
    <w:p>
      <w:pPr>
        <w:spacing w:after="0" w:line="98"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During 2002 and 2001, Certen issued to Amdocs convertible debentures in the amounts of $33,859,000 and $30,963,000, respectively, for a total balance outstanding at December 31, 2002 of $64,822,000. The conversion option associated with the convertible debentures was separated and presented as a separate component of shareholders' equity. The accretion of the convertible debentures is equal to the value of the conversion option, and is charged to earnings over the term of the convertible debentures.</w:t>
      </w:r>
    </w:p>
    <w:p>
      <w:pPr>
        <w:spacing w:after="0" w:line="98" w:lineRule="exact"/>
        <w:rPr>
          <w:sz w:val="20"/>
          <w:szCs w:val="20"/>
          <w:color w:val="auto"/>
        </w:rPr>
      </w:pPr>
    </w:p>
    <w:p>
      <w:pPr>
        <w:ind w:left="220" w:right="7479" w:hanging="212"/>
        <w:spacing w:after="0" w:line="476" w:lineRule="auto"/>
        <w:tabs>
          <w:tab w:leader="none" w:pos="536"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INSTRUMENTS CREDIT RISK</w:t>
      </w:r>
    </w:p>
    <w:p>
      <w:pPr>
        <w:spacing w:after="0" w:line="1" w:lineRule="exact"/>
        <w:rPr>
          <w:sz w:val="20"/>
          <w:szCs w:val="20"/>
          <w:color w:val="auto"/>
        </w:rPr>
      </w:pPr>
    </w:p>
    <w:p>
      <w:pPr>
        <w:ind w:right="2739" w:firstLine="527"/>
        <w:spacing w:after="0" w:line="347" w:lineRule="auto"/>
        <w:rPr>
          <w:sz w:val="20"/>
          <w:szCs w:val="20"/>
          <w:color w:val="auto"/>
        </w:rPr>
      </w:pPr>
      <w:r>
        <w:rPr>
          <w:rFonts w:ascii="Courier New" w:cs="Courier New" w:eastAsia="Courier New" w:hAnsi="Courier New"/>
          <w:sz w:val="18"/>
          <w:szCs w:val="18"/>
          <w:color w:val="auto"/>
        </w:rPr>
        <w:t>Certen is exposed to a concentration of credit risk given that the Company's primary customer is Bell Canada and affiliates.</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CURRENCY EXPOSURES</w:t>
      </w:r>
    </w:p>
    <w:p>
      <w:pPr>
        <w:spacing w:after="0" w:line="201"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Certen is exposed to currency risk on its trade accounts payable. At December 31, 2002, an amount of US$49,254,000 (CDN$77,110,000) (US$19,281,000 (CDN$30,608,000) in 2001) is included in accounts payable and accrued liabilities.</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F-52</w:t>
      </w:r>
    </w:p>
    <w:p>
      <w:pPr>
        <w:sectPr>
          <w:pgSz w:w="11900" w:h="16838" w:orient="portrait"/>
          <w:cols w:equalWidth="0" w:num="1">
            <w:col w:w="10219"/>
          </w:cols>
          <w:pgMar w:left="240" w:top="488" w:right="1440" w:bottom="1440" w:gutter="0" w:footer="0" w:header="0"/>
        </w:sectPr>
      </w:pPr>
    </w:p>
    <w:bookmarkStart w:id="132" w:name="page133"/>
    <w:bookmarkEnd w:id="132"/>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THE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 RATE EXPOSURES</w:t>
      </w:r>
    </w:p>
    <w:p>
      <w:pPr>
        <w:spacing w:after="0" w:line="201" w:lineRule="exact"/>
        <w:rPr>
          <w:sz w:val="20"/>
          <w:szCs w:val="20"/>
          <w:color w:val="auto"/>
        </w:rPr>
      </w:pPr>
    </w:p>
    <w:p>
      <w:pPr>
        <w:ind w:right="1999" w:firstLine="527"/>
        <w:spacing w:after="0" w:line="402" w:lineRule="auto"/>
        <w:rPr>
          <w:sz w:val="20"/>
          <w:szCs w:val="20"/>
          <w:color w:val="auto"/>
        </w:rPr>
      </w:pPr>
      <w:r>
        <w:rPr>
          <w:rFonts w:ascii="Courier New" w:cs="Courier New" w:eastAsia="Courier New" w:hAnsi="Courier New"/>
          <w:sz w:val="16"/>
          <w:szCs w:val="16"/>
          <w:color w:val="auto"/>
        </w:rPr>
        <w:t>The Company is exposed to interest rate risk arising from fluctuations in interest rates, specifically on its long-term debt at fixed interest rates.</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FAIR VALUE</w:t>
      </w:r>
    </w:p>
    <w:p>
      <w:pPr>
        <w:spacing w:after="0" w:line="201" w:lineRule="exact"/>
        <w:rPr>
          <w:sz w:val="20"/>
          <w:szCs w:val="20"/>
          <w:color w:val="auto"/>
        </w:rPr>
      </w:pPr>
    </w:p>
    <w:p>
      <w:pPr>
        <w:ind w:right="1879" w:firstLine="527"/>
        <w:spacing w:after="0" w:line="246" w:lineRule="auto"/>
        <w:rPr>
          <w:sz w:val="20"/>
          <w:szCs w:val="20"/>
          <w:color w:val="auto"/>
        </w:rPr>
      </w:pPr>
      <w:r>
        <w:rPr>
          <w:rFonts w:ascii="Courier New" w:cs="Courier New" w:eastAsia="Courier New" w:hAnsi="Courier New"/>
          <w:sz w:val="18"/>
          <w:szCs w:val="18"/>
          <w:color w:val="auto"/>
        </w:rPr>
        <w:t>At December 31, 2002 and 2001, the carrying value of the cash and cash equivalents, accounts receivable, other current receivables, prepaid expenses, bank indebtedness, promissory note due to related party, accounts payable and accrued liabilities, income and other taxes payable, and other current liabilities approximate fair value due to the short-term maturity of these financial instruments. The fair value of the obligation under capital leases also approximates its carrying value. The fair value of the Company's convertible debentures due to related party is based on estimates using present value techniques, which is significantly affected by the assumptions used concerning the amount and timing of estimated future cash flows and discount rates which reflect varying degree of risk. At December 31, 2002 the estimated fair value of the convertible debentures due to related party was approximately $27 million ($12 million at December 31, 2001). Due to the use of subjective judgment and uncertainties, the fair value amount should not be interpreted as being payable in an immediate settlement of the instrument.</w:t>
      </w:r>
    </w:p>
    <w:p>
      <w:pPr>
        <w:spacing w:after="0" w:line="106" w:lineRule="exact"/>
        <w:rPr>
          <w:sz w:val="20"/>
          <w:szCs w:val="20"/>
          <w:color w:val="auto"/>
        </w:rPr>
      </w:pPr>
    </w:p>
    <w:p>
      <w:pPr>
        <w:ind w:left="540" w:hanging="532"/>
        <w:spacing w:after="0"/>
        <w:tabs>
          <w:tab w:leader="none" w:pos="5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SHARES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 unlimited number of common shares are authorized with no par value.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2002 2001</w:t>
            </w:r>
          </w:p>
        </w:tc>
        <w:tc>
          <w:tcPr>
            <w:tcW w:w="1100" w:type="dxa"/>
            <w:vAlign w:val="bottom"/>
          </w:tcPr>
          <w:p>
            <w:pPr>
              <w:spacing w:after="0"/>
              <w:rPr>
                <w:sz w:val="20"/>
                <w:szCs w:val="20"/>
                <w:color w:val="auto"/>
              </w:rPr>
            </w:pPr>
            <w:r>
              <w:rPr>
                <w:rFonts w:ascii="Courier New" w:cs="Courier New" w:eastAsia="Courier New" w:hAnsi="Courier New"/>
                <w:sz w:val="13"/>
                <w:szCs w:val="13"/>
                <w:color w:val="auto"/>
                <w:w w:val="72"/>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220" w:type="dxa"/>
            <w:vAlign w:val="bottom"/>
            <w:gridSpan w:val="2"/>
          </w:tcPr>
          <w:p>
            <w:pPr>
              <w:jc w:val="right"/>
              <w:ind w:right="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NUMBER OF</w:t>
            </w:r>
          </w:p>
        </w:tc>
        <w:tc>
          <w:tcPr>
            <w:tcW w:w="0" w:type="dxa"/>
            <w:vAlign w:val="bottom"/>
          </w:tcPr>
          <w:p>
            <w:pPr>
              <w:spacing w:after="0"/>
              <w:rPr>
                <w:sz w:val="1"/>
                <w:szCs w:val="1"/>
                <w:color w:val="auto"/>
              </w:rPr>
            </w:pPr>
          </w:p>
        </w:tc>
      </w:tr>
      <w:tr>
        <w:trPr>
          <w:trHeight w:val="203"/>
        </w:trPr>
        <w:tc>
          <w:tcPr>
            <w:tcW w:w="3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STATED NUMBER OF STATED AT</w:t>
            </w:r>
          </w:p>
        </w:tc>
        <w:tc>
          <w:tcPr>
            <w:tcW w:w="0" w:type="dxa"/>
            <w:vAlign w:val="bottom"/>
          </w:tcPr>
          <w:p>
            <w:pPr>
              <w:spacing w:after="0"/>
              <w:rPr>
                <w:sz w:val="1"/>
                <w:szCs w:val="1"/>
                <w:color w:val="auto"/>
              </w:rPr>
            </w:pPr>
          </w:p>
        </w:tc>
      </w:tr>
      <w:tr>
        <w:trPr>
          <w:trHeight w:val="203"/>
        </w:trPr>
        <w:tc>
          <w:tcPr>
            <w:tcW w:w="3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DECEMBER 31 SHARES CAPITAL</w:t>
            </w:r>
          </w:p>
        </w:tc>
        <w:tc>
          <w:tcPr>
            <w:tcW w:w="0" w:type="dxa"/>
            <w:vAlign w:val="bottom"/>
          </w:tcPr>
          <w:p>
            <w:pPr>
              <w:spacing w:after="0"/>
              <w:rPr>
                <w:sz w:val="1"/>
                <w:szCs w:val="1"/>
                <w:color w:val="auto"/>
              </w:rPr>
            </w:pPr>
          </w:p>
        </w:tc>
      </w:tr>
      <w:tr>
        <w:trPr>
          <w:trHeight w:val="203"/>
        </w:trPr>
        <w:tc>
          <w:tcPr>
            <w:tcW w:w="3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SHARES CAPITAL - --------------</w:t>
            </w:r>
          </w:p>
        </w:tc>
        <w:tc>
          <w:tcPr>
            <w:tcW w:w="0" w:type="dxa"/>
            <w:vAlign w:val="bottom"/>
          </w:tcPr>
          <w:p>
            <w:pPr>
              <w:spacing w:after="0"/>
              <w:rPr>
                <w:sz w:val="1"/>
                <w:szCs w:val="1"/>
                <w:color w:val="auto"/>
              </w:rPr>
            </w:pPr>
          </w:p>
        </w:tc>
      </w:tr>
      <w:tr>
        <w:trPr>
          <w:trHeight w:val="203"/>
        </w:trPr>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 --------- ---</w:t>
            </w:r>
          </w:p>
        </w:tc>
        <w:tc>
          <w:tcPr>
            <w:tcW w:w="0" w:type="dxa"/>
            <w:vAlign w:val="bottom"/>
          </w:tcPr>
          <w:p>
            <w:pPr>
              <w:spacing w:after="0"/>
              <w:rPr>
                <w:sz w:val="1"/>
                <w:szCs w:val="1"/>
                <w:color w:val="auto"/>
              </w:rPr>
            </w:pPr>
          </w:p>
        </w:tc>
      </w:tr>
      <w:tr>
        <w:trPr>
          <w:trHeight w:val="203"/>
        </w:trPr>
        <w:tc>
          <w:tcPr>
            <w:tcW w:w="3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 Outstanding, beginning</w:t>
            </w:r>
          </w:p>
        </w:tc>
        <w:tc>
          <w:tcPr>
            <w:tcW w:w="0" w:type="dxa"/>
            <w:vAlign w:val="bottom"/>
          </w:tcPr>
          <w:p>
            <w:pPr>
              <w:spacing w:after="0"/>
              <w:rPr>
                <w:sz w:val="1"/>
                <w:szCs w:val="1"/>
                <w:color w:val="auto"/>
              </w:rPr>
            </w:pPr>
          </w:p>
        </w:tc>
      </w:tr>
      <w:tr>
        <w:trPr>
          <w:trHeight w:val="203"/>
        </w:trPr>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of year...............</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487,949</w:t>
            </w:r>
          </w:p>
        </w:tc>
        <w:tc>
          <w:tcPr>
            <w:tcW w:w="0" w:type="dxa"/>
            <w:vAlign w:val="bottom"/>
          </w:tcPr>
          <w:p>
            <w:pPr>
              <w:spacing w:after="0"/>
              <w:rPr>
                <w:sz w:val="1"/>
                <w:szCs w:val="1"/>
                <w:color w:val="auto"/>
              </w:rPr>
            </w:pPr>
          </w:p>
        </w:tc>
      </w:tr>
      <w:tr>
        <w:trPr>
          <w:trHeight w:val="203"/>
        </w:trPr>
        <w:tc>
          <w:tcPr>
            <w:tcW w:w="3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48,795 -- -- Shares issued for</w:t>
            </w:r>
          </w:p>
        </w:tc>
        <w:tc>
          <w:tcPr>
            <w:tcW w:w="0" w:type="dxa"/>
            <w:vAlign w:val="bottom"/>
          </w:tcPr>
          <w:p>
            <w:pPr>
              <w:spacing w:after="0"/>
              <w:rPr>
                <w:sz w:val="1"/>
                <w:szCs w:val="1"/>
                <w:color w:val="auto"/>
              </w:rPr>
            </w:pPr>
          </w:p>
        </w:tc>
      </w:tr>
      <w:tr>
        <w:trPr>
          <w:trHeight w:val="203"/>
        </w:trPr>
        <w:tc>
          <w:tcPr>
            <w:tcW w:w="3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cash consideration.......</w:t>
            </w:r>
          </w:p>
        </w:tc>
        <w:tc>
          <w:tcPr>
            <w:tcW w:w="0" w:type="dxa"/>
            <w:vAlign w:val="bottom"/>
          </w:tcPr>
          <w:p>
            <w:pPr>
              <w:spacing w:after="0"/>
              <w:rPr>
                <w:sz w:val="1"/>
                <w:szCs w:val="1"/>
                <w:color w:val="auto"/>
              </w:rPr>
            </w:pPr>
          </w:p>
        </w:tc>
      </w:tr>
      <w:tr>
        <w:trPr>
          <w:trHeight w:val="203"/>
        </w:trPr>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472,408</w:t>
            </w:r>
          </w:p>
        </w:tc>
        <w:tc>
          <w:tcPr>
            <w:tcW w:w="2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47,241 49,283 4,928</w:t>
            </w:r>
          </w:p>
        </w:tc>
        <w:tc>
          <w:tcPr>
            <w:tcW w:w="0" w:type="dxa"/>
            <w:vAlign w:val="bottom"/>
          </w:tcPr>
          <w:p>
            <w:pPr>
              <w:spacing w:after="0"/>
              <w:rPr>
                <w:sz w:val="1"/>
                <w:szCs w:val="1"/>
                <w:color w:val="auto"/>
              </w:rPr>
            </w:pPr>
          </w:p>
        </w:tc>
      </w:tr>
      <w:tr>
        <w:trPr>
          <w:trHeight w:val="203"/>
        </w:trPr>
        <w:tc>
          <w:tcPr>
            <w:tcW w:w="3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Shares to repay promissory note</w:t>
            </w:r>
          </w:p>
        </w:tc>
        <w:tc>
          <w:tcPr>
            <w:tcW w:w="0" w:type="dxa"/>
            <w:vAlign w:val="bottom"/>
          </w:tcPr>
          <w:p>
            <w:pPr>
              <w:spacing w:after="0"/>
              <w:rPr>
                <w:sz w:val="1"/>
                <w:szCs w:val="1"/>
                <w:color w:val="auto"/>
              </w:rPr>
            </w:pPr>
          </w:p>
        </w:tc>
      </w:tr>
      <w:tr>
        <w:trPr>
          <w:trHeight w:val="203"/>
        </w:trPr>
        <w:tc>
          <w:tcPr>
            <w:tcW w:w="3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due to related</w:t>
            </w:r>
          </w:p>
        </w:tc>
        <w:tc>
          <w:tcPr>
            <w:tcW w:w="0" w:type="dxa"/>
            <w:vAlign w:val="bottom"/>
          </w:tcPr>
          <w:p>
            <w:pPr>
              <w:spacing w:after="0"/>
              <w:rPr>
                <w:sz w:val="1"/>
                <w:szCs w:val="1"/>
                <w:color w:val="auto"/>
              </w:rPr>
            </w:pPr>
          </w:p>
        </w:tc>
      </w:tr>
      <w:tr>
        <w:trPr>
          <w:trHeight w:val="203"/>
        </w:trPr>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party...........................</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61,334 6,133 438,666 43,867 ---</w:t>
            </w:r>
          </w:p>
        </w:tc>
        <w:tc>
          <w:tcPr>
            <w:tcW w:w="0" w:type="dxa"/>
            <w:vAlign w:val="bottom"/>
          </w:tcPr>
          <w:p>
            <w:pPr>
              <w:spacing w:after="0"/>
              <w:rPr>
                <w:sz w:val="1"/>
                <w:szCs w:val="1"/>
                <w:color w:val="auto"/>
              </w:rPr>
            </w:pPr>
          </w:p>
        </w:tc>
      </w:tr>
      <w:tr>
        <w:trPr>
          <w:trHeight w:val="203"/>
        </w:trPr>
        <w:tc>
          <w:tcPr>
            <w:tcW w:w="3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 ------</w:t>
            </w:r>
          </w:p>
        </w:tc>
        <w:tc>
          <w:tcPr>
            <w:tcW w:w="0" w:type="dxa"/>
            <w:vAlign w:val="bottom"/>
          </w:tcPr>
          <w:p>
            <w:pPr>
              <w:spacing w:after="0"/>
              <w:rPr>
                <w:sz w:val="1"/>
                <w:szCs w:val="1"/>
                <w:color w:val="auto"/>
              </w:rPr>
            </w:pPr>
          </w:p>
        </w:tc>
      </w:tr>
      <w:tr>
        <w:trPr>
          <w:trHeight w:val="203"/>
        </w:trPr>
        <w:tc>
          <w:tcPr>
            <w:tcW w:w="3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Outstanding, end of</w:t>
            </w:r>
          </w:p>
        </w:tc>
        <w:tc>
          <w:tcPr>
            <w:tcW w:w="0" w:type="dxa"/>
            <w:vAlign w:val="bottom"/>
          </w:tcPr>
          <w:p>
            <w:pPr>
              <w:spacing w:after="0"/>
              <w:rPr>
                <w:sz w:val="1"/>
                <w:szCs w:val="1"/>
                <w:color w:val="auto"/>
              </w:rPr>
            </w:pPr>
          </w:p>
        </w:tc>
      </w:tr>
      <w:tr>
        <w:trPr>
          <w:trHeight w:val="203"/>
        </w:trPr>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year.....................</w:t>
            </w:r>
          </w:p>
        </w:tc>
        <w:tc>
          <w:tcPr>
            <w:tcW w:w="11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487,949</w:t>
            </w:r>
          </w:p>
        </w:tc>
        <w:tc>
          <w:tcPr>
            <w:tcW w:w="0" w:type="dxa"/>
            <w:vAlign w:val="bottom"/>
          </w:tcPr>
          <w:p>
            <w:pPr>
              <w:spacing w:after="0"/>
              <w:rPr>
                <w:sz w:val="1"/>
                <w:szCs w:val="1"/>
                <w:color w:val="auto"/>
              </w:rPr>
            </w:pPr>
          </w:p>
        </w:tc>
      </w:tr>
      <w:tr>
        <w:trPr>
          <w:trHeight w:val="203"/>
        </w:trPr>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1,021,691 102,169</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48,795 ========= =======</w:t>
            </w:r>
          </w:p>
        </w:tc>
        <w:tc>
          <w:tcPr>
            <w:tcW w:w="0" w:type="dxa"/>
            <w:vAlign w:val="bottom"/>
          </w:tcPr>
          <w:p>
            <w:pPr>
              <w:spacing w:after="0"/>
              <w:rPr>
                <w:sz w:val="1"/>
                <w:szCs w:val="1"/>
                <w:color w:val="auto"/>
              </w:rPr>
            </w:pPr>
          </w:p>
        </w:tc>
      </w:tr>
      <w:tr>
        <w:trPr>
          <w:trHeight w:val="296"/>
        </w:trPr>
        <w:tc>
          <w:tcPr>
            <w:tcW w:w="332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tab/>
        <w:t>SUPPLEMENTAL CASH FLOW INFORMATION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following are the components of cash and cash equivalents at December</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w:t>
      </w:r>
    </w:p>
    <w:p>
      <w:pPr>
        <w:spacing w:after="0" w:line="169"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2002 2001 ------ ------ $ $</w:t>
      </w:r>
    </w:p>
    <w:p>
      <w:pPr>
        <w:spacing w:after="0" w:line="31"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Cash........................................................</w:t>
      </w:r>
    </w:p>
    <w:p>
      <w:pPr>
        <w:spacing w:after="0" w:line="20"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33,590 59,500 Bank</w:t>
      </w:r>
    </w:p>
    <w:p>
      <w:pPr>
        <w:jc w:val="center"/>
        <w:ind w:right="3879"/>
        <w:spacing w:after="0" w:line="238" w:lineRule="auto"/>
        <w:rPr>
          <w:sz w:val="20"/>
          <w:szCs w:val="20"/>
          <w:color w:val="auto"/>
        </w:rPr>
      </w:pPr>
      <w:r>
        <w:rPr>
          <w:rFonts w:ascii="Courier New" w:cs="Courier New" w:eastAsia="Courier New" w:hAnsi="Courier New"/>
          <w:sz w:val="18"/>
          <w:szCs w:val="18"/>
          <w:color w:val="auto"/>
        </w:rPr>
        <w:t>indebtedness........................................... --</w:t>
      </w:r>
    </w:p>
    <w:p>
      <w:pPr>
        <w:jc w:val="center"/>
        <w:ind w:right="3879"/>
        <w:spacing w:after="0"/>
        <w:rPr>
          <w:sz w:val="20"/>
          <w:szCs w:val="20"/>
          <w:color w:val="auto"/>
        </w:rPr>
      </w:pPr>
      <w:r>
        <w:rPr>
          <w:rFonts w:ascii="Courier New" w:cs="Courier New" w:eastAsia="Courier New" w:hAnsi="Courier New"/>
          <w:sz w:val="18"/>
          <w:szCs w:val="18"/>
          <w:color w:val="auto"/>
        </w:rPr>
        <w:t>(1,807) ------ ------ Cash and cash</w:t>
      </w:r>
    </w:p>
    <w:p>
      <w:pPr>
        <w:jc w:val="center"/>
        <w:ind w:right="3879"/>
        <w:spacing w:after="0" w:line="238" w:lineRule="auto"/>
        <w:rPr>
          <w:sz w:val="20"/>
          <w:szCs w:val="20"/>
          <w:color w:val="auto"/>
        </w:rPr>
      </w:pPr>
      <w:r>
        <w:rPr>
          <w:rFonts w:ascii="Courier New" w:cs="Courier New" w:eastAsia="Courier New" w:hAnsi="Courier New"/>
          <w:sz w:val="18"/>
          <w:szCs w:val="18"/>
          <w:color w:val="auto"/>
        </w:rPr>
        <w:t>equivalents................................... 33,590</w:t>
      </w:r>
    </w:p>
    <w:p>
      <w:pPr>
        <w:ind w:left="2120"/>
        <w:spacing w:after="0"/>
        <w:rPr>
          <w:sz w:val="20"/>
          <w:szCs w:val="20"/>
          <w:color w:val="auto"/>
        </w:rPr>
      </w:pPr>
      <w:r>
        <w:rPr>
          <w:rFonts w:ascii="Courier New" w:cs="Courier New" w:eastAsia="Courier New" w:hAnsi="Courier New"/>
          <w:sz w:val="18"/>
          <w:szCs w:val="18"/>
          <w:color w:val="auto"/>
        </w:rPr>
        <w:t>57,693 ====== ======</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F-53</w:t>
      </w:r>
    </w:p>
    <w:p>
      <w:pPr>
        <w:sectPr>
          <w:pgSz w:w="11900" w:h="16838" w:orient="portrait"/>
          <w:cols w:equalWidth="0" w:num="1">
            <w:col w:w="10219"/>
          </w:cols>
          <w:pgMar w:left="240" w:top="488" w:right="1440" w:bottom="1440" w:gutter="0" w:footer="0" w:header="0"/>
        </w:sectPr>
      </w:pPr>
    </w:p>
    <w:bookmarkStart w:id="133" w:name="page134"/>
    <w:bookmarkEnd w:id="133"/>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THE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WORKING CAPITAL COMPONENTS:</w:t>
      </w:r>
    </w:p>
    <w:p>
      <w:pPr>
        <w:spacing w:after="0" w:line="20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Net change in non-cash working capital items for the periods ended December 31 are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75"/>
              </w:rPr>
              <w:t>2002 2001 -----------</w:t>
            </w:r>
          </w:p>
        </w:tc>
        <w:tc>
          <w:tcPr>
            <w:tcW w:w="4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(12 MONTHS) (11 MONTHS) $</w:t>
            </w:r>
          </w:p>
        </w:tc>
        <w:tc>
          <w:tcPr>
            <w:tcW w:w="0" w:type="dxa"/>
            <w:vAlign w:val="bottom"/>
          </w:tcPr>
          <w:p>
            <w:pPr>
              <w:spacing w:after="0"/>
              <w:rPr>
                <w:sz w:val="1"/>
                <w:szCs w:val="1"/>
                <w:color w:val="auto"/>
              </w:rPr>
            </w:pPr>
          </w:p>
        </w:tc>
      </w:tr>
      <w:tr>
        <w:trPr>
          <w:trHeight w:val="296"/>
        </w:trPr>
        <w:tc>
          <w:tcPr>
            <w:tcW w:w="154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91"/>
                <w:vertAlign w:val="superscript"/>
              </w:rPr>
              <w:t>receivable</w:t>
            </w:r>
            <w:r>
              <w:rPr>
                <w:rFonts w:ascii="Courier New" w:cs="Courier New" w:eastAsia="Courier New" w:hAnsi="Courier New"/>
                <w:sz w:val="2"/>
                <w:szCs w:val="2"/>
                <w:color w:val="auto"/>
                <w:w w:val="91"/>
              </w:rPr>
              <w:t>............................................</w:t>
            </w:r>
            <w:r>
              <w:rPr>
                <w:rFonts w:ascii="Courier New" w:cs="Courier New" w:eastAsia="Courier New" w:hAnsi="Courier New"/>
                <w:sz w:val="4"/>
                <w:szCs w:val="4"/>
                <w:color w:val="auto"/>
                <w:w w:val="91"/>
                <w:vertAlign w:val="superscript"/>
              </w:rPr>
              <w:t>.........................................</w:t>
            </w:r>
            <w:r>
              <w:rPr>
                <w:rFonts w:ascii="Courier New" w:cs="Courier New" w:eastAsia="Courier New" w:hAnsi="Courier New"/>
                <w:sz w:val="4"/>
                <w:szCs w:val="4"/>
                <w:color w:val="auto"/>
                <w:w w:val="91"/>
                <w:vertAlign w:val="subscript"/>
              </w:rPr>
              <w:t>....................</w:t>
            </w:r>
          </w:p>
        </w:tc>
        <w:tc>
          <w:tcPr>
            <w:tcW w:w="378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8"/>
              </w:rPr>
              <w:t>$ Accounts</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15,837</w:t>
            </w:r>
          </w:p>
        </w:tc>
        <w:tc>
          <w:tcPr>
            <w:tcW w:w="0" w:type="dxa"/>
            <w:vAlign w:val="bottom"/>
          </w:tcPr>
          <w:p>
            <w:pPr>
              <w:spacing w:after="0"/>
              <w:rPr>
                <w:sz w:val="1"/>
                <w:szCs w:val="1"/>
                <w:color w:val="auto"/>
              </w:rPr>
            </w:pPr>
          </w:p>
        </w:tc>
      </w:tr>
      <w:tr>
        <w:trPr>
          <w:trHeight w:val="287"/>
        </w:trPr>
        <w:tc>
          <w:tcPr>
            <w:tcW w:w="1540" w:type="dxa"/>
            <w:vAlign w:val="bottom"/>
            <w:vMerge w:val="continue"/>
          </w:tcPr>
          <w:p>
            <w:pPr>
              <w:spacing w:after="0"/>
              <w:rPr>
                <w:sz w:val="24"/>
                <w:szCs w:val="24"/>
                <w:color w:val="auto"/>
              </w:rPr>
            </w:pPr>
          </w:p>
        </w:tc>
        <w:tc>
          <w:tcPr>
            <w:tcW w:w="3780" w:type="dxa"/>
            <w:vAlign w:val="bottom"/>
            <w:vMerge w:val="restart"/>
          </w:tcPr>
          <w:p>
            <w:pPr>
              <w:jc w:val="center"/>
              <w:ind w:right="452"/>
              <w:spacing w:after="0"/>
              <w:rPr>
                <w:sz w:val="20"/>
                <w:szCs w:val="20"/>
                <w:color w:val="auto"/>
              </w:rPr>
            </w:pPr>
            <w:r>
              <w:rPr>
                <w:rFonts w:ascii="Courier New" w:cs="Courier New" w:eastAsia="Courier New" w:hAnsi="Courier New"/>
                <w:sz w:val="18"/>
                <w:szCs w:val="18"/>
                <w:color w:val="auto"/>
                <w:w w:val="97"/>
              </w:rPr>
              <w:t>(20,858) Other current</w:t>
            </w:r>
          </w:p>
        </w:tc>
        <w:tc>
          <w:tcPr>
            <w:tcW w:w="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receivables</w:t>
            </w:r>
          </w:p>
        </w:tc>
        <w:tc>
          <w:tcPr>
            <w:tcW w:w="3780" w:type="dxa"/>
            <w:vAlign w:val="bottom"/>
            <w:vMerge w:val="continue"/>
          </w:tcPr>
          <w:p>
            <w:pPr>
              <w:spacing w:after="0"/>
              <w:rPr>
                <w:sz w:val="10"/>
                <w:szCs w:val="10"/>
                <w:color w:val="auto"/>
              </w:rPr>
            </w:pPr>
          </w:p>
        </w:tc>
        <w:tc>
          <w:tcPr>
            <w:tcW w:w="9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5"/>
              </w:rPr>
              <w:t>44,336</w:t>
            </w:r>
          </w:p>
        </w:tc>
        <w:tc>
          <w:tcPr>
            <w:tcW w:w="0" w:type="dxa"/>
            <w:vAlign w:val="bottom"/>
          </w:tcPr>
          <w:p>
            <w:pPr>
              <w:spacing w:after="0"/>
              <w:rPr>
                <w:sz w:val="1"/>
                <w:szCs w:val="1"/>
                <w:color w:val="auto"/>
              </w:rPr>
            </w:pPr>
          </w:p>
        </w:tc>
      </w:tr>
      <w:tr>
        <w:trPr>
          <w:trHeight w:val="203"/>
        </w:trPr>
        <w:tc>
          <w:tcPr>
            <w:tcW w:w="1540" w:type="dxa"/>
            <w:vAlign w:val="bottom"/>
            <w:vMerge w:val="continue"/>
          </w:tcPr>
          <w:p>
            <w:pPr>
              <w:jc w:val="right"/>
              <w:spacing w:after="0" w:line="85" w:lineRule="exact"/>
              <w:rPr>
                <w:sz w:val="20"/>
                <w:szCs w:val="20"/>
                <w:color w:val="auto"/>
              </w:rPr>
            </w:pPr>
            <w:r>
              <w:rPr>
                <w:rFonts w:ascii="Courier New" w:cs="Courier New" w:eastAsia="Courier New" w:hAnsi="Courier New"/>
                <w:sz w:val="9"/>
                <w:szCs w:val="9"/>
                <w:color w:val="auto"/>
              </w:rPr>
              <w:t>...................................</w:t>
            </w:r>
          </w:p>
        </w:tc>
        <w:tc>
          <w:tcPr>
            <w:tcW w:w="3780" w:type="dxa"/>
            <w:vAlign w:val="bottom"/>
            <w:vMerge w:val="restart"/>
          </w:tcPr>
          <w:p>
            <w:pPr>
              <w:jc w:val="center"/>
              <w:ind w:right="432"/>
              <w:spacing w:after="0"/>
              <w:rPr>
                <w:sz w:val="20"/>
                <w:szCs w:val="20"/>
                <w:color w:val="auto"/>
              </w:rPr>
            </w:pPr>
            <w:r>
              <w:rPr>
                <w:rFonts w:ascii="Courier New" w:cs="Courier New" w:eastAsia="Courier New" w:hAnsi="Courier New"/>
                <w:sz w:val="18"/>
                <w:szCs w:val="18"/>
                <w:color w:val="auto"/>
                <w:w w:val="98"/>
              </w:rPr>
              <w:t>(48,695) Prepaid</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restart"/>
          </w:tcPr>
          <w:p>
            <w:pPr>
              <w:jc w:val="right"/>
              <w:ind w:right="514"/>
              <w:spacing w:after="0"/>
              <w:rPr>
                <w:sz w:val="20"/>
                <w:szCs w:val="20"/>
                <w:color w:val="auto"/>
              </w:rPr>
            </w:pPr>
            <w:r>
              <w:rPr>
                <w:rFonts w:ascii="Courier New" w:cs="Courier New" w:eastAsia="Courier New" w:hAnsi="Courier New"/>
                <w:sz w:val="18"/>
                <w:szCs w:val="18"/>
                <w:color w:val="auto"/>
              </w:rPr>
              <w:t>expenses</w:t>
            </w:r>
          </w:p>
        </w:tc>
        <w:tc>
          <w:tcPr>
            <w:tcW w:w="3780" w:type="dxa"/>
            <w:vAlign w:val="bottom"/>
            <w:vMerge w:val="continue"/>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(420)</w:t>
            </w: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3780" w:type="dxa"/>
            <w:vAlign w:val="bottom"/>
            <w:vMerge w:val="restart"/>
          </w:tcPr>
          <w:p>
            <w:pPr>
              <w:jc w:val="center"/>
              <w:ind w:right="432"/>
              <w:spacing w:after="0"/>
              <w:rPr>
                <w:sz w:val="20"/>
                <w:szCs w:val="20"/>
                <w:color w:val="auto"/>
              </w:rPr>
            </w:pPr>
            <w:r>
              <w:rPr>
                <w:rFonts w:ascii="Courier New" w:cs="Courier New" w:eastAsia="Courier New" w:hAnsi="Courier New"/>
                <w:sz w:val="18"/>
                <w:szCs w:val="18"/>
                <w:color w:val="auto"/>
                <w:w w:val="97"/>
              </w:rPr>
              <w:t>-- Accounts payable and accrued</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540" w:type="dxa"/>
            <w:vAlign w:val="bottom"/>
            <w:vMerge w:val="restart"/>
          </w:tcPr>
          <w:p>
            <w:pPr>
              <w:jc w:val="right"/>
              <w:ind w:right="254"/>
              <w:spacing w:after="0"/>
              <w:rPr>
                <w:sz w:val="20"/>
                <w:szCs w:val="20"/>
                <w:color w:val="auto"/>
              </w:rPr>
            </w:pPr>
            <w:r>
              <w:rPr>
                <w:rFonts w:ascii="Courier New" w:cs="Courier New" w:eastAsia="Courier New" w:hAnsi="Courier New"/>
                <w:sz w:val="18"/>
                <w:szCs w:val="18"/>
                <w:color w:val="auto"/>
              </w:rPr>
              <w:t>liabilities</w:t>
            </w:r>
          </w:p>
        </w:tc>
        <w:tc>
          <w:tcPr>
            <w:tcW w:w="37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(45,360) 162,646 Income and</w:t>
            </w:r>
          </w:p>
        </w:tc>
        <w:tc>
          <w:tcPr>
            <w:tcW w:w="0" w:type="dxa"/>
            <w:vAlign w:val="bottom"/>
          </w:tcPr>
          <w:p>
            <w:pPr>
              <w:spacing w:after="0"/>
              <w:rPr>
                <w:sz w:val="1"/>
                <w:szCs w:val="1"/>
                <w:color w:val="auto"/>
              </w:rPr>
            </w:pPr>
          </w:p>
        </w:tc>
      </w:tr>
      <w:tr>
        <w:trPr>
          <w:trHeight w:val="203"/>
        </w:trPr>
        <w:tc>
          <w:tcPr>
            <w:tcW w:w="53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2"/>
              </w:rPr>
              <w:t>other taxes payable..............................</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889</w:t>
            </w:r>
          </w:p>
        </w:tc>
        <w:tc>
          <w:tcPr>
            <w:tcW w:w="0" w:type="dxa"/>
            <w:vAlign w:val="bottom"/>
          </w:tcPr>
          <w:p>
            <w:pPr>
              <w:spacing w:after="0"/>
              <w:rPr>
                <w:sz w:val="1"/>
                <w:szCs w:val="1"/>
                <w:color w:val="auto"/>
              </w:rPr>
            </w:pPr>
          </w:p>
        </w:tc>
      </w:tr>
      <w:tr>
        <w:trPr>
          <w:trHeight w:val="296"/>
        </w:trPr>
        <w:tc>
          <w:tcPr>
            <w:tcW w:w="154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91"/>
              </w:rPr>
              <w:t>Other.......................................................</w:t>
            </w:r>
            <w:r>
              <w:rPr>
                <w:rFonts w:ascii="Courier New" w:cs="Courier New" w:eastAsia="Courier New" w:hAnsi="Courier New"/>
                <w:sz w:val="8"/>
                <w:szCs w:val="8"/>
                <w:color w:val="auto"/>
                <w:w w:val="91"/>
                <w:vertAlign w:val="subscript"/>
              </w:rPr>
              <w:t>-------</w:t>
            </w:r>
          </w:p>
        </w:tc>
        <w:tc>
          <w:tcPr>
            <w:tcW w:w="378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5"/>
              </w:rPr>
              <w:t>11,217</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4740" w:type="dxa"/>
            <w:vAlign w:val="bottom"/>
            <w:gridSpan w:val="2"/>
            <w:vMerge w:val="restart"/>
          </w:tcPr>
          <w:p>
            <w:pPr>
              <w:jc w:val="right"/>
              <w:ind w:right="172"/>
              <w:spacing w:after="0"/>
              <w:rPr>
                <w:sz w:val="20"/>
                <w:szCs w:val="20"/>
                <w:color w:val="auto"/>
              </w:rPr>
            </w:pPr>
            <w:r>
              <w:rPr>
                <w:rFonts w:ascii="Courier New" w:cs="Courier New" w:eastAsia="Courier New" w:hAnsi="Courier New"/>
                <w:sz w:val="18"/>
                <w:szCs w:val="18"/>
                <w:color w:val="auto"/>
              </w:rPr>
              <w:t>------- 15,556 104,433 ======= =======</w:t>
            </w:r>
          </w:p>
        </w:tc>
        <w:tc>
          <w:tcPr>
            <w:tcW w:w="0" w:type="dxa"/>
            <w:vAlign w:val="bottom"/>
          </w:tcPr>
          <w:p>
            <w:pPr>
              <w:spacing w:after="0"/>
              <w:rPr>
                <w:sz w:val="1"/>
                <w:szCs w:val="1"/>
                <w:color w:val="auto"/>
              </w:rPr>
            </w:pPr>
          </w:p>
        </w:tc>
      </w:tr>
      <w:tr>
        <w:trPr>
          <w:trHeight w:val="296"/>
        </w:trPr>
        <w:tc>
          <w:tcPr>
            <w:tcW w:w="1540" w:type="dxa"/>
            <w:vAlign w:val="bottom"/>
          </w:tcPr>
          <w:p>
            <w:pPr>
              <w:jc w:val="right"/>
              <w:ind w:right="414"/>
              <w:spacing w:after="0"/>
              <w:rPr>
                <w:sz w:val="20"/>
                <w:szCs w:val="20"/>
                <w:color w:val="auto"/>
              </w:rPr>
            </w:pPr>
            <w:r>
              <w:rPr>
                <w:rFonts w:ascii="Courier New" w:cs="Courier New" w:eastAsia="Courier New" w:hAnsi="Courier New"/>
                <w:sz w:val="18"/>
                <w:szCs w:val="18"/>
                <w:color w:val="auto"/>
              </w:rPr>
              <w:t>274 123</w:t>
            </w:r>
          </w:p>
        </w:tc>
        <w:tc>
          <w:tcPr>
            <w:tcW w:w="4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hanging="532"/>
        <w:spacing w:after="0"/>
        <w:tabs>
          <w:tab w:leader="none" w:pos="54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SUPPLEMENTAL CASH FLOW INFORMATION (CONTINUED)</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non-cash operating, investing and financing activities, which are excluded from the statement of cash flows for the periods ended December 31 were as follows:</w:t>
      </w:r>
    </w:p>
    <w:p>
      <w:pPr>
        <w:spacing w:after="0" w:line="6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2002 2001 ----------- ----------- (12 MONTHS) (11</w:t>
      </w:r>
    </w:p>
    <w:p>
      <w:pPr>
        <w:spacing w:after="0" w:line="29"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MONTHS) $ $ OPERATING ACTIVITIES Transfer of accrued</w:t>
      </w:r>
    </w:p>
    <w:p>
      <w:pPr>
        <w:ind w:left="380"/>
        <w:spacing w:after="0" w:line="238" w:lineRule="auto"/>
        <w:rPr>
          <w:sz w:val="20"/>
          <w:szCs w:val="20"/>
          <w:color w:val="auto"/>
        </w:rPr>
      </w:pPr>
      <w:r>
        <w:rPr>
          <w:rFonts w:ascii="Courier New" w:cs="Courier New" w:eastAsia="Courier New" w:hAnsi="Courier New"/>
          <w:sz w:val="18"/>
          <w:szCs w:val="18"/>
          <w:color w:val="auto"/>
        </w:rPr>
        <w:t>benefit liability..................... -- 10,000</w:t>
      </w:r>
    </w:p>
    <w:p>
      <w:pPr>
        <w:ind w:left="1480"/>
        <w:spacing w:after="0"/>
        <w:rPr>
          <w:sz w:val="20"/>
          <w:szCs w:val="20"/>
          <w:color w:val="auto"/>
        </w:rPr>
      </w:pPr>
      <w:r>
        <w:rPr>
          <w:rFonts w:ascii="Courier New" w:cs="Courier New" w:eastAsia="Courier New" w:hAnsi="Courier New"/>
          <w:sz w:val="18"/>
          <w:szCs w:val="18"/>
          <w:color w:val="auto"/>
        </w:rPr>
        <w:t>Transfer of accrued benefit</w:t>
      </w:r>
    </w:p>
    <w:p>
      <w:pPr>
        <w:ind w:left="220"/>
        <w:spacing w:after="0" w:line="238" w:lineRule="auto"/>
        <w:rPr>
          <w:sz w:val="20"/>
          <w:szCs w:val="20"/>
          <w:color w:val="auto"/>
        </w:rPr>
      </w:pPr>
      <w:r>
        <w:rPr>
          <w:rFonts w:ascii="Courier New" w:cs="Courier New" w:eastAsia="Courier New" w:hAnsi="Courier New"/>
          <w:sz w:val="18"/>
          <w:szCs w:val="18"/>
          <w:color w:val="auto"/>
        </w:rPr>
        <w:t>assets........................ -- (9,000) Excess of</w:t>
      </w:r>
    </w:p>
    <w:p>
      <w:pPr>
        <w:jc w:val="center"/>
        <w:ind w:right="4419"/>
        <w:spacing w:after="0"/>
        <w:rPr>
          <w:sz w:val="20"/>
          <w:szCs w:val="20"/>
          <w:color w:val="auto"/>
        </w:rPr>
      </w:pPr>
      <w:r>
        <w:rPr>
          <w:rFonts w:ascii="Courier New" w:cs="Courier New" w:eastAsia="Courier New" w:hAnsi="Courier New"/>
          <w:sz w:val="18"/>
          <w:szCs w:val="18"/>
          <w:color w:val="auto"/>
        </w:rPr>
        <w:t>accrued benefit liability over accrued benefit</w:t>
      </w:r>
    </w:p>
    <w:p>
      <w:pPr>
        <w:spacing w:after="0" w:line="238" w:lineRule="auto"/>
        <w:rPr>
          <w:sz w:val="20"/>
          <w:szCs w:val="20"/>
          <w:color w:val="auto"/>
        </w:rPr>
      </w:pPr>
      <w:r>
        <w:rPr>
          <w:rFonts w:ascii="Courier New" w:cs="Courier New" w:eastAsia="Courier New" w:hAnsi="Courier New"/>
          <w:sz w:val="18"/>
          <w:szCs w:val="18"/>
          <w:color w:val="auto"/>
        </w:rPr>
        <w:t>assets.................................................</w:t>
      </w:r>
    </w:p>
    <w:p>
      <w:pPr>
        <w:ind w:left="700" w:hanging="323"/>
        <w:spacing w:after="0"/>
        <w:tabs>
          <w:tab w:leader="none" w:pos="70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(1,000) ------- ------- -- -- -------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INVESTING ACTIVITIES Purchase of assets under capital</w:t>
      </w:r>
    </w:p>
    <w:tbl>
      <w:tblPr>
        <w:tblLayout w:type="fixed"/>
        <w:tblInd w:w="640" w:type="dxa"/>
        <w:tblCellMar>
          <w:top w:w="0" w:type="dxa"/>
          <w:left w:w="0" w:type="dxa"/>
          <w:bottom w:w="0" w:type="dxa"/>
          <w:right w:w="0" w:type="dxa"/>
        </w:tblCellMar>
      </w:tblPr>
      <w:tr>
        <w:trPr>
          <w:trHeight w:val="203"/>
        </w:trPr>
        <w:tc>
          <w:tcPr>
            <w:tcW w:w="2680" w:type="dxa"/>
            <w:vAlign w:val="bottom"/>
          </w:tcPr>
          <w:p>
            <w:pPr>
              <w:spacing w:after="0"/>
              <w:rPr>
                <w:sz w:val="20"/>
                <w:szCs w:val="20"/>
                <w:color w:val="auto"/>
              </w:rPr>
            </w:pPr>
            <w:r>
              <w:rPr>
                <w:rFonts w:ascii="Courier New" w:cs="Courier New" w:eastAsia="Courier New" w:hAnsi="Courier New"/>
                <w:sz w:val="18"/>
                <w:szCs w:val="18"/>
                <w:color w:val="auto"/>
                <w:w w:val="98"/>
              </w:rPr>
              <w:t>leases...................</w:t>
            </w: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(30,170) (46,480)</w:t>
            </w:r>
          </w:p>
        </w:tc>
      </w:tr>
    </w:tbl>
    <w:p>
      <w:pPr>
        <w:jc w:val="center"/>
        <w:ind w:right="4419"/>
        <w:spacing w:after="0" w:line="238" w:lineRule="auto"/>
        <w:rPr>
          <w:sz w:val="20"/>
          <w:szCs w:val="20"/>
          <w:color w:val="auto"/>
        </w:rPr>
      </w:pPr>
      <w:r>
        <w:rPr>
          <w:rFonts w:ascii="Courier New" w:cs="Courier New" w:eastAsia="Courier New" w:hAnsi="Courier New"/>
          <w:sz w:val="18"/>
          <w:szCs w:val="18"/>
          <w:color w:val="auto"/>
        </w:rPr>
        <w:t>Acquisition of capital assets through the issuance of</w:t>
      </w:r>
    </w:p>
    <w:p>
      <w:pPr>
        <w:jc w:val="center"/>
        <w:ind w:right="4419"/>
        <w:spacing w:after="0"/>
        <w:rPr>
          <w:sz w:val="20"/>
          <w:szCs w:val="20"/>
          <w:color w:val="auto"/>
        </w:rPr>
      </w:pPr>
      <w:r>
        <w:rPr>
          <w:rFonts w:ascii="Courier New" w:cs="Courier New" w:eastAsia="Courier New" w:hAnsi="Courier New"/>
          <w:sz w:val="18"/>
          <w:szCs w:val="18"/>
          <w:color w:val="auto"/>
        </w:rPr>
        <w:t>a promissory note due to related party and common</w:t>
      </w:r>
    </w:p>
    <w:tbl>
      <w:tblPr>
        <w:tblLayout w:type="fixed"/>
        <w:tblInd w:w="0" w:type="dxa"/>
        <w:tblCellMar>
          <w:top w:w="0" w:type="dxa"/>
          <w:left w:w="0" w:type="dxa"/>
          <w:bottom w:w="0" w:type="dxa"/>
          <w:right w:w="0" w:type="dxa"/>
        </w:tblCellMar>
      </w:tblPr>
      <w:tr>
        <w:trPr>
          <w:trHeight w:val="171"/>
        </w:trPr>
        <w:tc>
          <w:tcPr>
            <w:tcW w:w="2220" w:type="dxa"/>
            <w:vAlign w:val="bottom"/>
          </w:tcPr>
          <w:p>
            <w:pPr>
              <w:jc w:val="right"/>
              <w:spacing w:after="0"/>
              <w:rPr>
                <w:sz w:val="20"/>
                <w:szCs w:val="20"/>
                <w:color w:val="auto"/>
              </w:rPr>
            </w:pPr>
            <w:r>
              <w:rPr>
                <w:rFonts w:ascii="Courier New" w:cs="Courier New" w:eastAsia="Courier New" w:hAnsi="Courier New"/>
                <w:sz w:val="9"/>
                <w:szCs w:val="9"/>
                <w:color w:val="auto"/>
                <w:w w:val="74"/>
              </w:rPr>
              <w:t>shares.................................................</w:t>
            </w:r>
          </w:p>
        </w:tc>
        <w:tc>
          <w:tcPr>
            <w:tcW w:w="3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7"/>
              </w:rPr>
              <w:t>------- (30,170) (96,480) -------</w:t>
            </w:r>
          </w:p>
        </w:tc>
        <w:tc>
          <w:tcPr>
            <w:tcW w:w="0" w:type="dxa"/>
            <w:vAlign w:val="bottom"/>
          </w:tcPr>
          <w:p>
            <w:pPr>
              <w:spacing w:after="0"/>
              <w:rPr>
                <w:sz w:val="1"/>
                <w:szCs w:val="1"/>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(50,000) -------</w:t>
            </w:r>
          </w:p>
        </w:tc>
        <w:tc>
          <w:tcPr>
            <w:tcW w:w="3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7"/>
              </w:rPr>
              <w:t>------- FINANCING ACTIVITIES Obligation under capital</w:t>
            </w:r>
          </w:p>
        </w:tc>
        <w:tc>
          <w:tcPr>
            <w:tcW w:w="0" w:type="dxa"/>
            <w:vAlign w:val="bottom"/>
          </w:tcPr>
          <w:p>
            <w:pPr>
              <w:spacing w:after="0"/>
              <w:rPr>
                <w:sz w:val="1"/>
                <w:szCs w:val="1"/>
                <w:color w:val="auto"/>
              </w:rPr>
            </w:pPr>
          </w:p>
        </w:tc>
      </w:tr>
      <w:tr>
        <w:trPr>
          <w:trHeight w:val="23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w w:val="74"/>
              </w:rPr>
              <w:t>leases...........................</w:t>
            </w:r>
          </w:p>
        </w:tc>
        <w:tc>
          <w:tcPr>
            <w:tcW w:w="3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30,170 46,480</w:t>
            </w:r>
          </w:p>
        </w:tc>
        <w:tc>
          <w:tcPr>
            <w:tcW w:w="0" w:type="dxa"/>
            <w:vAlign w:val="bottom"/>
          </w:tcPr>
          <w:p>
            <w:pPr>
              <w:spacing w:after="0"/>
              <w:rPr>
                <w:sz w:val="1"/>
                <w:szCs w:val="1"/>
                <w:color w:val="auto"/>
              </w:rPr>
            </w:pPr>
          </w:p>
        </w:tc>
      </w:tr>
    </w:tbl>
    <w:p>
      <w:pPr>
        <w:jc w:val="center"/>
        <w:ind w:right="4419"/>
        <w:spacing w:after="0" w:line="238" w:lineRule="auto"/>
        <w:rPr>
          <w:sz w:val="20"/>
          <w:szCs w:val="20"/>
          <w:color w:val="auto"/>
        </w:rPr>
      </w:pPr>
      <w:r>
        <w:rPr>
          <w:rFonts w:ascii="Courier New" w:cs="Courier New" w:eastAsia="Courier New" w:hAnsi="Courier New"/>
          <w:sz w:val="18"/>
          <w:szCs w:val="18"/>
          <w:color w:val="auto"/>
        </w:rPr>
        <w:t>Issuance of common shares in acquisition of capital</w:t>
      </w:r>
    </w:p>
    <w:p>
      <w:pPr>
        <w:spacing w:after="0"/>
        <w:rPr>
          <w:sz w:val="20"/>
          <w:szCs w:val="20"/>
          <w:color w:val="auto"/>
        </w:rPr>
      </w:pPr>
      <w:r>
        <w:rPr>
          <w:rFonts w:ascii="Courier New" w:cs="Courier New" w:eastAsia="Courier New" w:hAnsi="Courier New"/>
          <w:sz w:val="18"/>
          <w:szCs w:val="18"/>
          <w:color w:val="auto"/>
        </w:rPr>
        <w:t>assets.................................................</w:t>
      </w:r>
    </w:p>
    <w:p>
      <w:pPr>
        <w:ind w:left="1280" w:right="4619" w:hanging="1062"/>
        <w:spacing w:after="0" w:line="238" w:lineRule="auto"/>
        <w:tabs>
          <w:tab w:leader="none" w:pos="543"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5,000 Issuance of promissory note due to related party in acquisition of capital</w:t>
      </w:r>
    </w:p>
    <w:p>
      <w:pPr>
        <w:ind w:left="120"/>
        <w:spacing w:after="0"/>
        <w:rPr>
          <w:sz w:val="20"/>
          <w:szCs w:val="20"/>
          <w:color w:val="auto"/>
        </w:rPr>
      </w:pPr>
      <w:r>
        <w:rPr>
          <w:rFonts w:ascii="Courier New" w:cs="Courier New" w:eastAsia="Courier New" w:hAnsi="Courier New"/>
          <w:sz w:val="18"/>
          <w:szCs w:val="18"/>
          <w:color w:val="auto"/>
        </w:rPr>
        <w:t>assets.......................... -- 45,000 Promissory</w:t>
      </w:r>
    </w:p>
    <w:p>
      <w:pPr>
        <w:jc w:val="center"/>
        <w:ind w:right="4419"/>
        <w:spacing w:after="0"/>
        <w:rPr>
          <w:sz w:val="20"/>
          <w:szCs w:val="20"/>
          <w:color w:val="auto"/>
        </w:rPr>
      </w:pPr>
      <w:r>
        <w:rPr>
          <w:rFonts w:ascii="Courier New" w:cs="Courier New" w:eastAsia="Courier New" w:hAnsi="Courier New"/>
          <w:sz w:val="16"/>
          <w:szCs w:val="16"/>
          <w:color w:val="auto"/>
        </w:rPr>
        <w:t>note due to related party repaid by issuance of common</w:t>
      </w:r>
    </w:p>
    <w:p>
      <w:pPr>
        <w:spacing w:after="0" w:line="20"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shares..........................................</w:t>
      </w:r>
    </w:p>
    <w:p>
      <w:pPr>
        <w:jc w:val="center"/>
        <w:ind w:right="4419"/>
        <w:spacing w:after="0" w:line="238" w:lineRule="auto"/>
        <w:rPr>
          <w:sz w:val="20"/>
          <w:szCs w:val="20"/>
          <w:color w:val="auto"/>
        </w:rPr>
      </w:pPr>
      <w:r>
        <w:rPr>
          <w:rFonts w:ascii="Courier New" w:cs="Courier New" w:eastAsia="Courier New" w:hAnsi="Courier New"/>
          <w:sz w:val="18"/>
          <w:szCs w:val="18"/>
          <w:color w:val="auto"/>
        </w:rPr>
        <w:t>(6,133) (38,867) Issuance of common shares to repay</w:t>
      </w:r>
    </w:p>
    <w:p>
      <w:pPr>
        <w:jc w:val="center"/>
        <w:ind w:right="4419"/>
        <w:spacing w:after="0"/>
        <w:rPr>
          <w:sz w:val="20"/>
          <w:szCs w:val="20"/>
          <w:color w:val="auto"/>
        </w:rPr>
      </w:pPr>
      <w:r>
        <w:rPr>
          <w:rFonts w:ascii="Courier New" w:cs="Courier New" w:eastAsia="Courier New" w:hAnsi="Courier New"/>
          <w:sz w:val="18"/>
          <w:szCs w:val="18"/>
          <w:color w:val="auto"/>
        </w:rPr>
        <w:t>promissory note due to related</w:t>
      </w:r>
    </w:p>
    <w:tbl>
      <w:tblPr>
        <w:tblLayout w:type="fixed"/>
        <w:tblInd w:w="120" w:type="dxa"/>
        <w:tblCellMar>
          <w:top w:w="0" w:type="dxa"/>
          <w:left w:w="0" w:type="dxa"/>
          <w:bottom w:w="0" w:type="dxa"/>
          <w:right w:w="0" w:type="dxa"/>
        </w:tblCellMar>
      </w:tblP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party..........................................</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6,133</w:t>
            </w:r>
          </w:p>
        </w:tc>
      </w:tr>
    </w:tbl>
    <w:p>
      <w:pPr>
        <w:jc w:val="center"/>
        <w:ind w:right="4419"/>
        <w:spacing w:after="0" w:line="238" w:lineRule="auto"/>
        <w:rPr>
          <w:sz w:val="20"/>
          <w:szCs w:val="20"/>
          <w:color w:val="auto"/>
        </w:rPr>
      </w:pPr>
      <w:r>
        <w:rPr>
          <w:rFonts w:ascii="Courier New" w:cs="Courier New" w:eastAsia="Courier New" w:hAnsi="Courier New"/>
          <w:sz w:val="18"/>
          <w:szCs w:val="18"/>
          <w:color w:val="auto"/>
        </w:rPr>
        <w:t>38,867 Separation of option from convertible</w:t>
      </w:r>
    </w:p>
    <w:p>
      <w:pPr>
        <w:jc w:val="center"/>
        <w:ind w:right="4419"/>
        <w:spacing w:after="0"/>
        <w:rPr>
          <w:sz w:val="20"/>
          <w:szCs w:val="20"/>
          <w:color w:val="auto"/>
        </w:rPr>
      </w:pPr>
      <w:r>
        <w:rPr>
          <w:rFonts w:ascii="Courier New" w:cs="Courier New" w:eastAsia="Courier New" w:hAnsi="Courier New"/>
          <w:sz w:val="18"/>
          <w:szCs w:val="18"/>
          <w:color w:val="auto"/>
        </w:rPr>
        <w:t>debentures due to related</w:t>
      </w:r>
    </w:p>
    <w:p>
      <w:pPr>
        <w:ind w:left="420"/>
        <w:spacing w:after="0" w:line="238" w:lineRule="auto"/>
        <w:rPr>
          <w:sz w:val="20"/>
          <w:szCs w:val="20"/>
          <w:color w:val="auto"/>
        </w:rPr>
      </w:pPr>
      <w:r>
        <w:rPr>
          <w:rFonts w:ascii="Courier New" w:cs="Courier New" w:eastAsia="Courier New" w:hAnsi="Courier New"/>
          <w:sz w:val="18"/>
          <w:szCs w:val="18"/>
          <w:color w:val="auto"/>
        </w:rPr>
        <w:t>party..........................................</w:t>
      </w:r>
    </w:p>
    <w:p>
      <w:pPr>
        <w:ind w:left="60"/>
        <w:spacing w:after="0"/>
        <w:rPr>
          <w:sz w:val="20"/>
          <w:szCs w:val="20"/>
          <w:color w:val="auto"/>
        </w:rPr>
      </w:pPr>
      <w:r>
        <w:rPr>
          <w:rFonts w:ascii="Courier New" w:cs="Courier New" w:eastAsia="Courier New" w:hAnsi="Courier New"/>
          <w:sz w:val="18"/>
          <w:szCs w:val="18"/>
          <w:color w:val="auto"/>
        </w:rPr>
        <w:t>(19,301) (18,659) Option on convertible debentures due</w:t>
      </w:r>
    </w:p>
    <w:tbl>
      <w:tblPr>
        <w:tblLayout w:type="fixed"/>
        <w:tblInd w:w="220" w:type="dxa"/>
        <w:tblCellMar>
          <w:top w:w="0" w:type="dxa"/>
          <w:left w:w="0" w:type="dxa"/>
          <w:bottom w:w="0" w:type="dxa"/>
          <w:right w:w="0" w:type="dxa"/>
        </w:tblCellMar>
      </w:tblP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 related party.....</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19,301 18,659 ------- -------</w:t>
            </w:r>
          </w:p>
        </w:tc>
      </w:tr>
    </w:tbl>
    <w:p>
      <w:pPr>
        <w:ind w:left="1380"/>
        <w:spacing w:after="0"/>
        <w:rPr>
          <w:sz w:val="20"/>
          <w:szCs w:val="20"/>
          <w:color w:val="auto"/>
        </w:rPr>
      </w:pPr>
      <w:r>
        <w:rPr>
          <w:rFonts w:ascii="Courier New" w:cs="Courier New" w:eastAsia="Courier New" w:hAnsi="Courier New"/>
          <w:sz w:val="18"/>
          <w:szCs w:val="18"/>
          <w:color w:val="auto"/>
        </w:rPr>
        <w:t>30,170 96,480 ======= =======</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F-54</w:t>
      </w:r>
    </w:p>
    <w:p>
      <w:pPr>
        <w:sectPr>
          <w:pgSz w:w="11900" w:h="16838" w:orient="portrait"/>
          <w:cols w:equalWidth="0" w:num="1">
            <w:col w:w="10219"/>
          </w:cols>
          <w:pgMar w:left="240" w:top="488" w:right="1440" w:bottom="1440" w:gutter="0" w:footer="0" w:header="0"/>
        </w:sectPr>
      </w:pPr>
    </w:p>
    <w:bookmarkStart w:id="134" w:name="page135"/>
    <w:bookmarkEnd w:id="134"/>
    <w:p>
      <w:pPr>
        <w:spacing w:after="0" w:line="5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THE FINANCIAL STATEMENTS -- (CONTINUED)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Interest paid and income tax paid for the periods ended December 31: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jc w:val="right"/>
              <w:ind w:right="38"/>
              <w:spacing w:after="0"/>
              <w:rPr>
                <w:sz w:val="20"/>
                <w:szCs w:val="20"/>
                <w:color w:val="auto"/>
              </w:rPr>
            </w:pPr>
            <w:r>
              <w:rPr>
                <w:rFonts w:ascii="Courier New" w:cs="Courier New" w:eastAsia="Courier New" w:hAnsi="Courier New"/>
                <w:sz w:val="18"/>
                <w:szCs w:val="18"/>
                <w:color w:val="auto"/>
              </w:rPr>
              <w:t>2002 2001</w:t>
            </w:r>
          </w:p>
        </w:tc>
        <w:tc>
          <w:tcPr>
            <w:tcW w:w="4120" w:type="dxa"/>
            <w:vAlign w:val="bottom"/>
          </w:tcPr>
          <w:p>
            <w:pPr>
              <w:spacing w:after="0"/>
              <w:rPr>
                <w:sz w:val="20"/>
                <w:szCs w:val="20"/>
                <w:color w:val="auto"/>
              </w:rPr>
            </w:pPr>
            <w:r>
              <w:rPr>
                <w:rFonts w:ascii="Courier New" w:cs="Courier New" w:eastAsia="Courier New" w:hAnsi="Courier New"/>
                <w:sz w:val="18"/>
                <w:szCs w:val="18"/>
                <w:color w:val="auto"/>
                <w:w w:val="97"/>
              </w:rPr>
              <w:t>----------- ----------- (12 MONTHS) (11</w:t>
            </w:r>
          </w:p>
        </w:tc>
        <w:tc>
          <w:tcPr>
            <w:tcW w:w="0" w:type="dxa"/>
            <w:vAlign w:val="bottom"/>
          </w:tcPr>
          <w:p>
            <w:pPr>
              <w:spacing w:after="0"/>
              <w:rPr>
                <w:sz w:val="1"/>
                <w:szCs w:val="1"/>
                <w:color w:val="auto"/>
              </w:rPr>
            </w:pPr>
          </w:p>
        </w:tc>
      </w:tr>
      <w:tr>
        <w:trPr>
          <w:trHeight w:val="296"/>
        </w:trPr>
        <w:tc>
          <w:tcPr>
            <w:tcW w:w="1160" w:type="dxa"/>
            <w:vAlign w:val="bottom"/>
            <w:vMerge w:val="restart"/>
          </w:tcPr>
          <w:p>
            <w:pPr>
              <w:jc w:val="center"/>
              <w:spacing w:after="0"/>
              <w:rPr>
                <w:sz w:val="20"/>
                <w:szCs w:val="20"/>
                <w:color w:val="auto"/>
              </w:rPr>
            </w:pPr>
            <w:r>
              <w:rPr>
                <w:rFonts w:ascii="Courier New" w:cs="Courier New" w:eastAsia="Courier New" w:hAnsi="Courier New"/>
                <w:sz w:val="2"/>
                <w:szCs w:val="2"/>
                <w:color w:val="auto"/>
                <w:w w:val="89"/>
              </w:rPr>
              <w:t>paid...............................................</w:t>
            </w:r>
            <w:r>
              <w:rPr>
                <w:rFonts w:ascii="Courier New" w:cs="Courier New" w:eastAsia="Courier New" w:hAnsi="Courier New"/>
                <w:sz w:val="4"/>
                <w:szCs w:val="4"/>
                <w:color w:val="auto"/>
                <w:w w:val="89"/>
                <w:vertAlign w:val="subscript"/>
              </w:rPr>
              <w:t>...........................................</w:t>
            </w:r>
          </w:p>
        </w:tc>
        <w:tc>
          <w:tcPr>
            <w:tcW w:w="4120" w:type="dxa"/>
            <w:vAlign w:val="bottom"/>
          </w:tcPr>
          <w:p>
            <w:pPr>
              <w:jc w:val="center"/>
              <w:ind w:right="972"/>
              <w:spacing w:after="0"/>
              <w:rPr>
                <w:sz w:val="20"/>
                <w:szCs w:val="20"/>
                <w:color w:val="auto"/>
              </w:rPr>
            </w:pPr>
            <w:r>
              <w:rPr>
                <w:rFonts w:ascii="Courier New" w:cs="Courier New" w:eastAsia="Courier New" w:hAnsi="Courier New"/>
                <w:sz w:val="18"/>
                <w:szCs w:val="18"/>
                <w:color w:val="auto"/>
                <w:w w:val="97"/>
              </w:rPr>
              <w:t>MONTHS) $ $ Interest</w:t>
            </w:r>
          </w:p>
        </w:tc>
        <w:tc>
          <w:tcPr>
            <w:tcW w:w="0" w:type="dxa"/>
            <w:vAlign w:val="bottom"/>
          </w:tcPr>
          <w:p>
            <w:pPr>
              <w:spacing w:after="0"/>
              <w:rPr>
                <w:sz w:val="1"/>
                <w:szCs w:val="1"/>
                <w:color w:val="auto"/>
              </w:rPr>
            </w:pPr>
          </w:p>
        </w:tc>
      </w:tr>
      <w:tr>
        <w:trPr>
          <w:trHeight w:val="287"/>
        </w:trPr>
        <w:tc>
          <w:tcPr>
            <w:tcW w:w="1160" w:type="dxa"/>
            <w:vAlign w:val="bottom"/>
            <w:vMerge w:val="continue"/>
          </w:tcPr>
          <w:p>
            <w:pPr>
              <w:spacing w:after="0"/>
              <w:rPr>
                <w:sz w:val="24"/>
                <w:szCs w:val="24"/>
                <w:color w:val="auto"/>
              </w:rPr>
            </w:pPr>
          </w:p>
        </w:tc>
        <w:tc>
          <w:tcPr>
            <w:tcW w:w="4120" w:type="dxa"/>
            <w:vAlign w:val="bottom"/>
            <w:vMerge w:val="restart"/>
          </w:tcPr>
          <w:p>
            <w:pPr>
              <w:jc w:val="center"/>
              <w:ind w:right="972"/>
              <w:spacing w:after="0"/>
              <w:rPr>
                <w:sz w:val="20"/>
                <w:szCs w:val="20"/>
                <w:color w:val="auto"/>
              </w:rPr>
            </w:pPr>
            <w:r>
              <w:rPr>
                <w:rFonts w:ascii="Courier New" w:cs="Courier New" w:eastAsia="Courier New" w:hAnsi="Courier New"/>
                <w:sz w:val="18"/>
                <w:szCs w:val="18"/>
                <w:color w:val="auto"/>
                <w:w w:val="97"/>
              </w:rPr>
              <w:t>2,658 -- Income taxes</w:t>
            </w:r>
          </w:p>
        </w:tc>
        <w:tc>
          <w:tcPr>
            <w:tcW w:w="0" w:type="dxa"/>
            <w:vAlign w:val="bottom"/>
          </w:tcPr>
          <w:p>
            <w:pPr>
              <w:spacing w:after="0"/>
              <w:rPr>
                <w:sz w:val="1"/>
                <w:szCs w:val="1"/>
                <w:color w:val="auto"/>
              </w:rPr>
            </w:pPr>
          </w:p>
        </w:tc>
      </w:tr>
      <w:tr>
        <w:trPr>
          <w:trHeight w:val="118"/>
        </w:trPr>
        <w:tc>
          <w:tcPr>
            <w:tcW w:w="11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paid</w:t>
            </w:r>
          </w:p>
        </w:tc>
        <w:tc>
          <w:tcPr>
            <w:tcW w:w="4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4120" w:type="dxa"/>
            <w:vAlign w:val="bottom"/>
            <w:vMerge w:val="restart"/>
          </w:tcPr>
          <w:p>
            <w:pPr>
              <w:jc w:val="center"/>
              <w:ind w:right="992"/>
              <w:spacing w:after="0"/>
              <w:rPr>
                <w:sz w:val="20"/>
                <w:szCs w:val="20"/>
                <w:color w:val="auto"/>
              </w:rPr>
            </w:pPr>
            <w:r>
              <w:rPr>
                <w:rFonts w:ascii="Courier New" w:cs="Courier New" w:eastAsia="Courier New" w:hAnsi="Courier New"/>
                <w:sz w:val="18"/>
                <w:szCs w:val="18"/>
                <w:color w:val="auto"/>
                <w:w w:val="97"/>
              </w:rPr>
              <w:t>3,072 -- ===== ====</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RELATED PARTY TRANSACTIONS</w:t>
      </w:r>
    </w:p>
    <w:p>
      <w:pPr>
        <w:spacing w:after="0" w:line="201" w:lineRule="exact"/>
        <w:rPr>
          <w:sz w:val="20"/>
          <w:szCs w:val="20"/>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In the normal course of business, the Company engaged in the following transactions with related parties and such transactions were measured at exchange value: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2002 2001 -------------------------</w:t>
            </w:r>
          </w:p>
        </w:tc>
        <w:tc>
          <w:tcPr>
            <w:tcW w:w="17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(12 MONTHS) (11</w:t>
            </w:r>
          </w:p>
        </w:tc>
        <w:tc>
          <w:tcPr>
            <w:tcW w:w="0" w:type="dxa"/>
            <w:vAlign w:val="bottom"/>
          </w:tcPr>
          <w:p>
            <w:pPr>
              <w:spacing w:after="0"/>
              <w:rPr>
                <w:sz w:val="1"/>
                <w:szCs w:val="1"/>
                <w:color w:val="auto"/>
              </w:rPr>
            </w:pPr>
          </w:p>
        </w:tc>
      </w:tr>
      <w:tr>
        <w:trPr>
          <w:trHeight w:val="203"/>
        </w:trPr>
        <w:tc>
          <w:tcPr>
            <w:tcW w:w="4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MONTHS) BELL CANADA, AMDOCS BELL CANADA,</w:t>
            </w:r>
          </w:p>
        </w:tc>
        <w:tc>
          <w:tcPr>
            <w:tcW w:w="0" w:type="dxa"/>
            <w:vAlign w:val="bottom"/>
          </w:tcPr>
          <w:p>
            <w:pPr>
              <w:spacing w:after="0"/>
              <w:rPr>
                <w:sz w:val="1"/>
                <w:szCs w:val="1"/>
                <w:color w:val="auto"/>
              </w:rPr>
            </w:pPr>
          </w:p>
        </w:tc>
      </w:tr>
      <w:tr>
        <w:trPr>
          <w:trHeight w:val="203"/>
        </w:trPr>
        <w:tc>
          <w:tcPr>
            <w:tcW w:w="4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AMDOCS BCE AND AND BCE AND AND</w:t>
            </w:r>
          </w:p>
        </w:tc>
        <w:tc>
          <w:tcPr>
            <w:tcW w:w="0" w:type="dxa"/>
            <w:vAlign w:val="bottom"/>
          </w:tcPr>
          <w:p>
            <w:pPr>
              <w:spacing w:after="0"/>
              <w:rPr>
                <w:sz w:val="1"/>
                <w:szCs w:val="1"/>
                <w:color w:val="auto"/>
              </w:rPr>
            </w:pPr>
          </w:p>
        </w:tc>
      </w:tr>
      <w:tr>
        <w:trPr>
          <w:trHeight w:val="203"/>
        </w:trPr>
        <w:tc>
          <w:tcPr>
            <w:tcW w:w="4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AFFILIATES AFFILIATES AFFILIATES</w:t>
            </w:r>
          </w:p>
        </w:tc>
        <w:tc>
          <w:tcPr>
            <w:tcW w:w="0" w:type="dxa"/>
            <w:vAlign w:val="bottom"/>
          </w:tcPr>
          <w:p>
            <w:pPr>
              <w:spacing w:after="0"/>
              <w:rPr>
                <w:sz w:val="1"/>
                <w:szCs w:val="1"/>
                <w:color w:val="auto"/>
              </w:rPr>
            </w:pPr>
          </w:p>
        </w:tc>
      </w:tr>
      <w:tr>
        <w:trPr>
          <w:trHeight w:val="203"/>
        </w:trPr>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AFFILIATES ------------</w:t>
            </w: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c>
          <w:tcPr>
            <w:tcW w:w="0" w:type="dxa"/>
            <w:vAlign w:val="bottom"/>
          </w:tcPr>
          <w:p>
            <w:pPr>
              <w:spacing w:after="0"/>
              <w:rPr>
                <w:sz w:val="1"/>
                <w:szCs w:val="1"/>
                <w:color w:val="auto"/>
              </w:rPr>
            </w:pPr>
          </w:p>
        </w:tc>
      </w:tr>
      <w:tr>
        <w:trPr>
          <w:trHeight w:val="203"/>
        </w:trPr>
        <w:tc>
          <w:tcPr>
            <w:tcW w:w="4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 $ $ $ REVENUE Sale</w:t>
            </w:r>
          </w:p>
        </w:tc>
        <w:tc>
          <w:tcPr>
            <w:tcW w:w="0" w:type="dxa"/>
            <w:vAlign w:val="bottom"/>
          </w:tcPr>
          <w:p>
            <w:pPr>
              <w:spacing w:after="0"/>
              <w:rPr>
                <w:sz w:val="1"/>
                <w:szCs w:val="1"/>
                <w:color w:val="auto"/>
              </w:rPr>
            </w:pPr>
          </w:p>
        </w:tc>
      </w:tr>
      <w:tr>
        <w:trPr>
          <w:trHeight w:val="203"/>
        </w:trPr>
        <w:tc>
          <w:tcPr>
            <w:tcW w:w="4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of goods and services...............</w:t>
            </w:r>
          </w:p>
        </w:tc>
        <w:tc>
          <w:tcPr>
            <w:tcW w:w="0" w:type="dxa"/>
            <w:vAlign w:val="bottom"/>
          </w:tcPr>
          <w:p>
            <w:pPr>
              <w:spacing w:after="0"/>
              <w:rPr>
                <w:sz w:val="1"/>
                <w:szCs w:val="1"/>
                <w:color w:val="auto"/>
              </w:rPr>
            </w:pPr>
          </w:p>
        </w:tc>
      </w:tr>
      <w:tr>
        <w:trPr>
          <w:trHeight w:val="203"/>
        </w:trPr>
        <w:tc>
          <w:tcPr>
            <w:tcW w:w="4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436,380 -- 364,505 -- COST OF SERVICES,</w:t>
            </w:r>
          </w:p>
        </w:tc>
        <w:tc>
          <w:tcPr>
            <w:tcW w:w="0" w:type="dxa"/>
            <w:vAlign w:val="bottom"/>
          </w:tcPr>
          <w:p>
            <w:pPr>
              <w:spacing w:after="0"/>
              <w:rPr>
                <w:sz w:val="1"/>
                <w:szCs w:val="1"/>
                <w:color w:val="auto"/>
              </w:rPr>
            </w:pPr>
          </w:p>
        </w:tc>
      </w:tr>
      <w:tr>
        <w:trPr>
          <w:trHeight w:val="203"/>
        </w:trPr>
        <w:tc>
          <w:tcPr>
            <w:tcW w:w="4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SELLING AND ADMINISTRATIVE Purchase of</w:t>
            </w:r>
          </w:p>
        </w:tc>
        <w:tc>
          <w:tcPr>
            <w:tcW w:w="0" w:type="dxa"/>
            <w:vAlign w:val="bottom"/>
          </w:tcPr>
          <w:p>
            <w:pPr>
              <w:spacing w:after="0"/>
              <w:rPr>
                <w:sz w:val="1"/>
                <w:szCs w:val="1"/>
                <w:color w:val="auto"/>
              </w:rPr>
            </w:pPr>
          </w:p>
        </w:tc>
      </w:tr>
      <w:tr>
        <w:trPr>
          <w:trHeight w:val="203"/>
        </w:trPr>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goods and services...........</w:t>
            </w:r>
          </w:p>
        </w:tc>
        <w:tc>
          <w:tcPr>
            <w:tcW w:w="1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113,104</w:t>
            </w:r>
          </w:p>
        </w:tc>
        <w:tc>
          <w:tcPr>
            <w:tcW w:w="0" w:type="dxa"/>
            <w:vAlign w:val="bottom"/>
          </w:tcPr>
          <w:p>
            <w:pPr>
              <w:spacing w:after="0"/>
              <w:rPr>
                <w:sz w:val="1"/>
                <w:szCs w:val="1"/>
                <w:color w:val="auto"/>
              </w:rPr>
            </w:pPr>
          </w:p>
        </w:tc>
      </w:tr>
      <w:tr>
        <w:trPr>
          <w:trHeight w:val="203"/>
        </w:trPr>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51,701 106,621</w:t>
            </w:r>
          </w:p>
        </w:tc>
        <w:tc>
          <w:tcPr>
            <w:tcW w:w="17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25,887</w:t>
            </w:r>
          </w:p>
        </w:tc>
        <w:tc>
          <w:tcPr>
            <w:tcW w:w="0" w:type="dxa"/>
            <w:vAlign w:val="bottom"/>
          </w:tcPr>
          <w:p>
            <w:pPr>
              <w:spacing w:after="0"/>
              <w:rPr>
                <w:sz w:val="1"/>
                <w:szCs w:val="1"/>
                <w:color w:val="auto"/>
              </w:rPr>
            </w:pP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Rent.....................................</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gridSpan w:val="3"/>
          </w:tcPr>
          <w:p>
            <w:pPr>
              <w:jc w:val="center"/>
              <w:ind w:left="1"/>
              <w:spacing w:after="0" w:line="203" w:lineRule="exact"/>
              <w:rPr>
                <w:sz w:val="20"/>
                <w:szCs w:val="20"/>
                <w:color w:val="auto"/>
              </w:rPr>
            </w:pPr>
            <w:r>
              <w:rPr>
                <w:rFonts w:ascii="Courier New" w:cs="Courier New" w:eastAsia="Courier New" w:hAnsi="Courier New"/>
                <w:sz w:val="18"/>
                <w:szCs w:val="18"/>
                <w:color w:val="auto"/>
                <w:w w:val="97"/>
              </w:rPr>
              <w:t>6,766 -- 5,309 -- INTEREST</w:t>
            </w:r>
          </w:p>
        </w:tc>
        <w:tc>
          <w:tcPr>
            <w:tcW w:w="0" w:type="dxa"/>
            <w:vAlign w:val="bottom"/>
          </w:tcPr>
          <w:p>
            <w:pPr>
              <w:spacing w:after="0"/>
              <w:rPr>
                <w:sz w:val="1"/>
                <w:szCs w:val="1"/>
                <w:color w:val="auto"/>
              </w:rPr>
            </w:pP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EXPENSE...........................</w:t>
            </w:r>
          </w:p>
        </w:tc>
        <w:tc>
          <w:tcPr>
            <w:tcW w:w="1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gridSpan w:val="3"/>
          </w:tcPr>
          <w:p>
            <w:pPr>
              <w:jc w:val="center"/>
              <w:ind w:left="1"/>
              <w:spacing w:after="0" w:line="203" w:lineRule="exact"/>
              <w:rPr>
                <w:sz w:val="20"/>
                <w:szCs w:val="20"/>
                <w:color w:val="auto"/>
              </w:rPr>
            </w:pPr>
            <w:r>
              <w:rPr>
                <w:rFonts w:ascii="Courier New" w:cs="Courier New" w:eastAsia="Courier New" w:hAnsi="Courier New"/>
                <w:sz w:val="18"/>
                <w:szCs w:val="18"/>
                <w:color w:val="auto"/>
                <w:w w:val="97"/>
              </w:rPr>
              <w:t>3,418 -- 583 ACCRETION ON CONVERTIBLE</w:t>
            </w:r>
          </w:p>
        </w:tc>
        <w:tc>
          <w:tcPr>
            <w:tcW w:w="0" w:type="dxa"/>
            <w:vAlign w:val="bottom"/>
          </w:tcPr>
          <w:p>
            <w:pPr>
              <w:spacing w:after="0"/>
              <w:rPr>
                <w:sz w:val="1"/>
                <w:szCs w:val="1"/>
                <w:color w:val="auto"/>
              </w:rPr>
            </w:pPr>
          </w:p>
        </w:tc>
      </w:t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71"/>
              </w:rPr>
              <w:t>DEBENTURES........</w:t>
            </w: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-- 5,457 -- 908 OTHER</w:t>
            </w:r>
          </w:p>
        </w:tc>
        <w:tc>
          <w:tcPr>
            <w:tcW w:w="0" w:type="dxa"/>
            <w:vAlign w:val="bottom"/>
          </w:tcPr>
          <w:p>
            <w:pPr>
              <w:spacing w:after="0"/>
              <w:rPr>
                <w:sz w:val="1"/>
                <w:szCs w:val="1"/>
                <w:color w:val="auto"/>
              </w:rPr>
            </w:pPr>
          </w:p>
        </w:tc>
      </w:tr>
      <w:tr>
        <w:trPr>
          <w:trHeight w:val="203"/>
        </w:trPr>
        <w:tc>
          <w:tcPr>
            <w:tcW w:w="126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1"/>
              </w:rPr>
              <w:t>income..........................</w:t>
            </w:r>
          </w:p>
        </w:tc>
        <w:tc>
          <w:tcPr>
            <w:tcW w:w="3000" w:type="dxa"/>
            <w:vAlign w:val="bottom"/>
            <w:gridSpan w:val="2"/>
          </w:tcPr>
          <w:p>
            <w:pPr>
              <w:jc w:val="center"/>
              <w:ind w:right="1112"/>
              <w:spacing w:after="0" w:line="203" w:lineRule="exact"/>
              <w:rPr>
                <w:sz w:val="20"/>
                <w:szCs w:val="20"/>
                <w:color w:val="auto"/>
              </w:rPr>
            </w:pPr>
            <w:r>
              <w:rPr>
                <w:rFonts w:ascii="Courier New" w:cs="Courier New" w:eastAsia="Courier New" w:hAnsi="Courier New"/>
                <w:sz w:val="18"/>
                <w:szCs w:val="18"/>
                <w:color w:val="auto"/>
                <w:w w:val="97"/>
              </w:rPr>
              <w:t>EXPENSE Interest</w:t>
            </w:r>
          </w:p>
        </w:tc>
        <w:tc>
          <w:tcPr>
            <w:tcW w:w="0" w:type="dxa"/>
            <w:vAlign w:val="bottom"/>
          </w:tcPr>
          <w:p>
            <w:pPr>
              <w:spacing w:after="0"/>
              <w:rPr>
                <w:sz w:val="1"/>
                <w:szCs w:val="1"/>
                <w:color w:val="auto"/>
              </w:rPr>
            </w:pPr>
          </w:p>
        </w:tc>
      </w:tr>
      <w:tr>
        <w:trPr>
          <w:trHeight w:val="203"/>
        </w:trPr>
        <w:tc>
          <w:tcPr>
            <w:tcW w:w="126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970 --</w:t>
            </w:r>
          </w:p>
        </w:tc>
        <w:tc>
          <w:tcPr>
            <w:tcW w:w="0" w:type="dxa"/>
            <w:vAlign w:val="bottom"/>
          </w:tcPr>
          <w:p>
            <w:pPr>
              <w:spacing w:after="0"/>
              <w:rPr>
                <w:sz w:val="1"/>
                <w:szCs w:val="1"/>
                <w:color w:val="auto"/>
              </w:rPr>
            </w:pPr>
          </w:p>
        </w:tc>
      </w:tr>
      <w:tr>
        <w:trPr>
          <w:trHeight w:val="203"/>
        </w:trPr>
        <w:tc>
          <w:tcPr>
            <w:tcW w:w="126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6"/>
              </w:rPr>
              <w:t>fee...........................</w:t>
            </w:r>
          </w:p>
        </w:tc>
        <w:tc>
          <w:tcPr>
            <w:tcW w:w="3000" w:type="dxa"/>
            <w:vAlign w:val="bottom"/>
            <w:gridSpan w:val="2"/>
          </w:tcPr>
          <w:p>
            <w:pPr>
              <w:jc w:val="center"/>
              <w:ind w:right="1112"/>
              <w:spacing w:after="0" w:line="203" w:lineRule="exact"/>
              <w:rPr>
                <w:sz w:val="20"/>
                <w:szCs w:val="20"/>
                <w:color w:val="auto"/>
              </w:rPr>
            </w:pPr>
            <w:r>
              <w:rPr>
                <w:rFonts w:ascii="Courier New" w:cs="Courier New" w:eastAsia="Courier New" w:hAnsi="Courier New"/>
                <w:sz w:val="18"/>
                <w:szCs w:val="18"/>
                <w:color w:val="auto"/>
                <w:w w:val="98"/>
              </w:rPr>
              <w:t>995 -- Management</w:t>
            </w:r>
          </w:p>
        </w:tc>
        <w:tc>
          <w:tcPr>
            <w:tcW w:w="0" w:type="dxa"/>
            <w:vAlign w:val="bottom"/>
          </w:tcPr>
          <w:p>
            <w:pPr>
              <w:spacing w:after="0"/>
              <w:rPr>
                <w:sz w:val="1"/>
                <w:szCs w:val="1"/>
                <w:color w:val="auto"/>
              </w:rPr>
            </w:pPr>
          </w:p>
        </w:tc>
      </w:tr>
      <w:tr>
        <w:trPr>
          <w:trHeight w:val="203"/>
        </w:trPr>
        <w:tc>
          <w:tcPr>
            <w:tcW w:w="126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3,453 --</w:t>
            </w:r>
          </w:p>
        </w:tc>
        <w:tc>
          <w:tcPr>
            <w:tcW w:w="0" w:type="dxa"/>
            <w:vAlign w:val="bottom"/>
          </w:tcPr>
          <w:p>
            <w:pPr>
              <w:spacing w:after="0"/>
              <w:rPr>
                <w:sz w:val="1"/>
                <w:szCs w:val="1"/>
                <w:color w:val="auto"/>
              </w:rPr>
            </w:pPr>
          </w:p>
        </w:tc>
      </w:tr>
      <w:tr>
        <w:trPr>
          <w:trHeight w:val="203"/>
        </w:trPr>
        <w:tc>
          <w:tcPr>
            <w:tcW w:w="126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3"/>
              </w:rPr>
              <w:t>guarantee..........................</w:t>
            </w:r>
          </w:p>
        </w:tc>
        <w:tc>
          <w:tcPr>
            <w:tcW w:w="3000" w:type="dxa"/>
            <w:vAlign w:val="bottom"/>
            <w:gridSpan w:val="2"/>
          </w:tcPr>
          <w:p>
            <w:pPr>
              <w:jc w:val="center"/>
              <w:ind w:right="1092"/>
              <w:spacing w:after="0" w:line="203" w:lineRule="exact"/>
              <w:rPr>
                <w:sz w:val="20"/>
                <w:szCs w:val="20"/>
                <w:color w:val="auto"/>
              </w:rPr>
            </w:pPr>
            <w:r>
              <w:rPr>
                <w:rFonts w:ascii="Courier New" w:cs="Courier New" w:eastAsia="Courier New" w:hAnsi="Courier New"/>
                <w:sz w:val="18"/>
                <w:szCs w:val="18"/>
                <w:color w:val="auto"/>
                <w:w w:val="97"/>
              </w:rPr>
              <w:t>583 -- Lease</w:t>
            </w:r>
          </w:p>
        </w:tc>
        <w:tc>
          <w:tcPr>
            <w:tcW w:w="0" w:type="dxa"/>
            <w:vAlign w:val="bottom"/>
          </w:tcPr>
          <w:p>
            <w:pPr>
              <w:spacing w:after="0"/>
              <w:rPr>
                <w:sz w:val="1"/>
                <w:szCs w:val="1"/>
                <w:color w:val="auto"/>
              </w:rPr>
            </w:pPr>
          </w:p>
        </w:tc>
      </w:tr>
      <w:tr>
        <w:trPr>
          <w:trHeight w:val="203"/>
        </w:trPr>
        <w:tc>
          <w:tcPr>
            <w:tcW w:w="126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384</w:t>
            </w:r>
          </w:p>
        </w:tc>
        <w:tc>
          <w:tcPr>
            <w:tcW w:w="0" w:type="dxa"/>
            <w:vAlign w:val="bottom"/>
          </w:tcPr>
          <w:p>
            <w:pPr>
              <w:spacing w:after="0"/>
              <w:rPr>
                <w:sz w:val="1"/>
                <w:szCs w:val="1"/>
                <w:color w:val="auto"/>
              </w:rPr>
            </w:pPr>
          </w:p>
        </w:tc>
      </w:tr>
      <w:tr>
        <w:trPr>
          <w:trHeight w:val="296"/>
        </w:trPr>
        <w:tc>
          <w:tcPr>
            <w:tcW w:w="1260" w:type="dxa"/>
            <w:vAlign w:val="bottom"/>
          </w:tcPr>
          <w:p>
            <w:pPr>
              <w:spacing w:after="0"/>
              <w:rPr>
                <w:sz w:val="24"/>
                <w:szCs w:val="24"/>
                <w:color w:val="auto"/>
              </w:rPr>
            </w:pPr>
          </w:p>
        </w:tc>
        <w:tc>
          <w:tcPr>
            <w:tcW w:w="3000" w:type="dxa"/>
            <w:vAlign w:val="bottom"/>
            <w:gridSpan w:val="2"/>
          </w:tcPr>
          <w:p>
            <w:pPr>
              <w:jc w:val="center"/>
              <w:ind w:right="1112"/>
              <w:spacing w:after="0"/>
              <w:rPr>
                <w:sz w:val="20"/>
                <w:szCs w:val="20"/>
                <w:color w:val="auto"/>
              </w:rPr>
            </w:pPr>
            <w:r>
              <w:rPr>
                <w:rFonts w:ascii="Courier New" w:cs="Courier New" w:eastAsia="Courier New" w:hAnsi="Courier New"/>
                <w:sz w:val="18"/>
                <w:szCs w:val="18"/>
                <w:color w:val="auto"/>
                <w:w w:val="97"/>
              </w:rPr>
              <w:t>-- -- --</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balance sheet includes the following balances with related parties at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060" w:type="dxa"/>
            <w:vAlign w:val="bottom"/>
          </w:tcPr>
          <w:p>
            <w:pPr>
              <w:jc w:val="right"/>
              <w:ind w:right="43"/>
              <w:spacing w:after="0"/>
              <w:rPr>
                <w:sz w:val="20"/>
                <w:szCs w:val="20"/>
                <w:color w:val="auto"/>
              </w:rPr>
            </w:pPr>
            <w:r>
              <w:rPr>
                <w:rFonts w:ascii="Courier New" w:cs="Courier New" w:eastAsia="Courier New" w:hAnsi="Courier New"/>
                <w:sz w:val="18"/>
                <w:szCs w:val="18"/>
                <w:color w:val="auto"/>
                <w:w w:val="94"/>
              </w:rPr>
              <w:t>2002 2001</w:t>
            </w:r>
          </w:p>
        </w:tc>
        <w:tc>
          <w:tcPr>
            <w:tcW w:w="3360" w:type="dxa"/>
            <w:vAlign w:val="bottom"/>
          </w:tcPr>
          <w:p>
            <w:pPr>
              <w:jc w:val="right"/>
              <w:spacing w:after="0"/>
              <w:rPr>
                <w:sz w:val="20"/>
                <w:szCs w:val="20"/>
                <w:color w:val="auto"/>
              </w:rPr>
            </w:pPr>
            <w:r>
              <w:rPr>
                <w:rFonts w:ascii="Courier New" w:cs="Courier New" w:eastAsia="Courier New" w:hAnsi="Courier New"/>
                <w:sz w:val="18"/>
                <w:szCs w:val="18"/>
                <w:color w:val="auto"/>
                <w:w w:val="96"/>
              </w:rPr>
              <w:t>------------------------- ------</w:t>
            </w:r>
          </w:p>
        </w:tc>
      </w:tr>
      <w:tr>
        <w:trPr>
          <w:trHeight w:val="235"/>
        </w:trPr>
        <w:tc>
          <w:tcPr>
            <w:tcW w:w="1060" w:type="dxa"/>
            <w:vAlign w:val="bottom"/>
          </w:tcPr>
          <w:p>
            <w:pPr>
              <w:jc w:val="right"/>
              <w:spacing w:after="0"/>
              <w:rPr>
                <w:sz w:val="20"/>
                <w:szCs w:val="20"/>
                <w:color w:val="auto"/>
              </w:rPr>
            </w:pPr>
            <w:r>
              <w:rPr>
                <w:rFonts w:ascii="Courier New" w:cs="Courier New" w:eastAsia="Courier New" w:hAnsi="Courier New"/>
                <w:sz w:val="13"/>
                <w:szCs w:val="13"/>
                <w:color w:val="auto"/>
                <w:w w:val="70"/>
              </w:rPr>
              <w:t>-------------------</w:t>
            </w:r>
          </w:p>
        </w:tc>
        <w:tc>
          <w:tcPr>
            <w:tcW w:w="3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(12 MONTHS) (11</w:t>
            </w:r>
          </w:p>
        </w:tc>
      </w:tr>
    </w:tbl>
    <w:p>
      <w:pPr>
        <w:ind w:left="160"/>
        <w:spacing w:after="0" w:line="238" w:lineRule="auto"/>
        <w:rPr>
          <w:sz w:val="20"/>
          <w:szCs w:val="20"/>
          <w:color w:val="auto"/>
        </w:rPr>
      </w:pPr>
      <w:r>
        <w:rPr>
          <w:rFonts w:ascii="Courier New" w:cs="Courier New" w:eastAsia="Courier New" w:hAnsi="Courier New"/>
          <w:sz w:val="18"/>
          <w:szCs w:val="18"/>
          <w:color w:val="auto"/>
        </w:rPr>
        <w:t>MONTHS) BELL CANADA, AMDOCS BELL CANADA,</w:t>
      </w:r>
    </w:p>
    <w:p>
      <w:pPr>
        <w:ind w:left="120"/>
        <w:spacing w:after="0"/>
        <w:rPr>
          <w:sz w:val="20"/>
          <w:szCs w:val="20"/>
          <w:color w:val="auto"/>
        </w:rPr>
      </w:pPr>
      <w:r>
        <w:rPr>
          <w:rFonts w:ascii="Courier New" w:cs="Courier New" w:eastAsia="Courier New" w:hAnsi="Courier New"/>
          <w:sz w:val="18"/>
          <w:szCs w:val="18"/>
          <w:color w:val="auto"/>
        </w:rPr>
        <w:t>AMDOCS BCE AND AND BCE AND AND AFFILIATES</w:t>
      </w:r>
    </w:p>
    <w:p>
      <w:pPr>
        <w:ind w:left="60"/>
        <w:spacing w:after="0" w:line="238" w:lineRule="auto"/>
        <w:rPr>
          <w:sz w:val="20"/>
          <w:szCs w:val="20"/>
          <w:color w:val="auto"/>
        </w:rPr>
      </w:pPr>
      <w:r>
        <w:rPr>
          <w:rFonts w:ascii="Courier New" w:cs="Courier New" w:eastAsia="Courier New" w:hAnsi="Courier New"/>
          <w:sz w:val="18"/>
          <w:szCs w:val="18"/>
          <w:color w:val="auto"/>
        </w:rPr>
        <w:t>AFFILIATES AFFILIATES AFFILIATES ---------</w:t>
      </w:r>
    </w:p>
    <w:p>
      <w:pPr>
        <w:ind w:left="60"/>
        <w:spacing w:after="0"/>
        <w:rPr>
          <w:sz w:val="20"/>
          <w:szCs w:val="20"/>
          <w:color w:val="auto"/>
        </w:rPr>
      </w:pPr>
      <w:r>
        <w:rPr>
          <w:rFonts w:ascii="Courier New" w:cs="Courier New" w:eastAsia="Courier New" w:hAnsi="Courier New"/>
          <w:sz w:val="18"/>
          <w:szCs w:val="18"/>
          <w:color w:val="auto"/>
        </w:rPr>
        <w:t>--- ---------- ------------ ---------- $ $</w:t>
      </w:r>
    </w:p>
    <w:tbl>
      <w:tblPr>
        <w:tblLayout w:type="fixed"/>
        <w:tblInd w:w="0" w:type="dxa"/>
        <w:tblCellMar>
          <w:top w:w="0" w:type="dxa"/>
          <w:left w:w="0" w:type="dxa"/>
          <w:bottom w:w="0" w:type="dxa"/>
          <w:right w:w="0" w:type="dxa"/>
        </w:tblCellMar>
      </w:tblPr>
      <w:tr>
        <w:trPr>
          <w:trHeight w:val="296"/>
        </w:trPr>
        <w:tc>
          <w:tcPr>
            <w:tcW w:w="154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3"/>
              </w:rPr>
              <w:t>Cash.......................................</w:t>
            </w:r>
          </w:p>
        </w:tc>
        <w:tc>
          <w:tcPr>
            <w:tcW w:w="2940" w:type="dxa"/>
            <w:vAlign w:val="bottom"/>
          </w:tcPr>
          <w:p>
            <w:pPr>
              <w:jc w:val="center"/>
              <w:ind w:right="1392"/>
              <w:spacing w:after="0"/>
              <w:rPr>
                <w:sz w:val="20"/>
                <w:szCs w:val="20"/>
                <w:color w:val="auto"/>
              </w:rPr>
            </w:pPr>
            <w:r>
              <w:rPr>
                <w:rFonts w:ascii="Courier New" w:cs="Courier New" w:eastAsia="Courier New" w:hAnsi="Courier New"/>
                <w:sz w:val="18"/>
                <w:szCs w:val="18"/>
                <w:color w:val="auto"/>
                <w:w w:val="92"/>
              </w:rPr>
              <w:t>$ $</w:t>
            </w:r>
          </w:p>
        </w:tc>
        <w:tc>
          <w:tcPr>
            <w:tcW w:w="0" w:type="dxa"/>
            <w:vAlign w:val="bottom"/>
          </w:tcPr>
          <w:p>
            <w:pPr>
              <w:spacing w:after="0"/>
              <w:rPr>
                <w:sz w:val="1"/>
                <w:szCs w:val="1"/>
                <w:color w:val="auto"/>
              </w:rPr>
            </w:pPr>
          </w:p>
        </w:tc>
      </w:tr>
      <w:tr>
        <w:trPr>
          <w:trHeight w:val="77"/>
        </w:trPr>
        <w:tc>
          <w:tcPr>
            <w:tcW w:w="1540" w:type="dxa"/>
            <w:vAlign w:val="bottom"/>
            <w:vMerge w:val="continue"/>
          </w:tcPr>
          <w:p>
            <w:pPr>
              <w:spacing w:after="0"/>
              <w:rPr>
                <w:sz w:val="6"/>
                <w:szCs w:val="6"/>
                <w:color w:val="auto"/>
              </w:rPr>
            </w:pPr>
          </w:p>
        </w:tc>
        <w:tc>
          <w:tcPr>
            <w:tcW w:w="2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7,500 -- 59,500 -- Accounts</w:t>
            </w:r>
          </w:p>
        </w:tc>
        <w:tc>
          <w:tcPr>
            <w:tcW w:w="0" w:type="dxa"/>
            <w:vAlign w:val="bottom"/>
          </w:tcPr>
          <w:p>
            <w:pPr>
              <w:spacing w:after="0"/>
              <w:rPr>
                <w:sz w:val="1"/>
                <w:szCs w:val="1"/>
                <w:color w:val="auto"/>
              </w:rPr>
            </w:pPr>
          </w:p>
        </w:tc>
      </w:tr>
      <w:tr>
        <w:trPr>
          <w:trHeight w:val="203"/>
        </w:trPr>
        <w:tc>
          <w:tcPr>
            <w:tcW w:w="1540" w:type="dxa"/>
            <w:vAlign w:val="bottom"/>
          </w:tcPr>
          <w:p>
            <w:pPr>
              <w:jc w:val="right"/>
              <w:spacing w:after="0"/>
              <w:rPr>
                <w:sz w:val="20"/>
                <w:szCs w:val="20"/>
                <w:color w:val="auto"/>
              </w:rPr>
            </w:pPr>
            <w:r>
              <w:rPr>
                <w:rFonts w:ascii="Courier New" w:cs="Courier New" w:eastAsia="Courier New" w:hAnsi="Courier New"/>
                <w:sz w:val="10"/>
                <w:szCs w:val="10"/>
                <w:color w:val="auto"/>
                <w:w w:val="74"/>
              </w:rPr>
              <w:t>receivable........................</w:t>
            </w:r>
          </w:p>
        </w:tc>
        <w:tc>
          <w:tcPr>
            <w:tcW w:w="2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4,830 -</w:t>
            </w:r>
          </w:p>
        </w:tc>
        <w:tc>
          <w:tcPr>
            <w:tcW w:w="0" w:type="dxa"/>
            <w:vAlign w:val="bottom"/>
          </w:tcPr>
          <w:p>
            <w:pPr>
              <w:spacing w:after="0"/>
              <w:rPr>
                <w:sz w:val="1"/>
                <w:szCs w:val="1"/>
                <w:color w:val="auto"/>
              </w:rPr>
            </w:pP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- 20,776 -- Accounts payable and accrued</w:t>
            </w:r>
          </w:p>
        </w:tc>
        <w:tc>
          <w:tcPr>
            <w:tcW w:w="0" w:type="dxa"/>
            <w:vAlign w:val="bottom"/>
          </w:tcPr>
          <w:p>
            <w:pPr>
              <w:spacing w:after="0"/>
              <w:rPr>
                <w:sz w:val="1"/>
                <w:szCs w:val="1"/>
                <w:color w:val="auto"/>
              </w:rPr>
            </w:pP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liabilities...</w:t>
            </w:r>
          </w:p>
        </w:tc>
        <w:tc>
          <w:tcPr>
            <w:tcW w:w="2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21,507 78,436 92,247 30,658</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1"/>
              </w:rPr>
              <w:t>note............................</w:t>
            </w:r>
          </w:p>
        </w:tc>
        <w:tc>
          <w:tcPr>
            <w:tcW w:w="2940" w:type="dxa"/>
            <w:vAlign w:val="bottom"/>
          </w:tcPr>
          <w:p>
            <w:pPr>
              <w:jc w:val="center"/>
              <w:ind w:right="1392"/>
              <w:spacing w:after="0" w:line="203" w:lineRule="exact"/>
              <w:rPr>
                <w:sz w:val="20"/>
                <w:szCs w:val="20"/>
                <w:color w:val="auto"/>
              </w:rPr>
            </w:pPr>
            <w:r>
              <w:rPr>
                <w:rFonts w:ascii="Courier New" w:cs="Courier New" w:eastAsia="Courier New" w:hAnsi="Courier New"/>
                <w:sz w:val="18"/>
                <w:szCs w:val="18"/>
                <w:color w:val="auto"/>
                <w:w w:val="98"/>
              </w:rPr>
              <w:t>Promissory</w:t>
            </w: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2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right"/>
              <w:ind w:right="205"/>
              <w:spacing w:after="0"/>
              <w:rPr>
                <w:sz w:val="20"/>
                <w:szCs w:val="20"/>
                <w:color w:val="auto"/>
              </w:rPr>
            </w:pPr>
            <w:r>
              <w:rPr>
                <w:rFonts w:ascii="Courier New" w:cs="Courier New" w:eastAsia="Courier New" w:hAnsi="Courier New"/>
                <w:sz w:val="18"/>
                <w:szCs w:val="18"/>
                <w:color w:val="auto"/>
              </w:rPr>
              <w:t>liabilities</w:t>
            </w:r>
          </w:p>
        </w:tc>
        <w:tc>
          <w:tcPr>
            <w:tcW w:w="2940" w:type="dxa"/>
            <w:vAlign w:val="bottom"/>
          </w:tcPr>
          <w:p>
            <w:pPr>
              <w:jc w:val="center"/>
              <w:ind w:right="1392"/>
              <w:spacing w:after="0" w:line="203" w:lineRule="exact"/>
              <w:rPr>
                <w:sz w:val="20"/>
                <w:szCs w:val="20"/>
                <w:color w:val="auto"/>
              </w:rPr>
            </w:pPr>
            <w:r>
              <w:rPr>
                <w:rFonts w:ascii="Courier New" w:cs="Courier New" w:eastAsia="Courier New" w:hAnsi="Courier New"/>
                <w:sz w:val="18"/>
                <w:szCs w:val="18"/>
                <w:color w:val="auto"/>
                <w:w w:val="96"/>
              </w:rPr>
              <w:t>6,133 -- Other</w:t>
            </w:r>
          </w:p>
        </w:tc>
        <w:tc>
          <w:tcPr>
            <w:tcW w:w="0" w:type="dxa"/>
            <w:vAlign w:val="bottom"/>
          </w:tcPr>
          <w:p>
            <w:pPr>
              <w:spacing w:after="0"/>
              <w:rPr>
                <w:sz w:val="1"/>
                <w:szCs w:val="1"/>
                <w:color w:val="auto"/>
              </w:rPr>
            </w:pPr>
          </w:p>
        </w:tc>
      </w:tr>
      <w:tr>
        <w:trPr>
          <w:trHeight w:val="203"/>
        </w:trPr>
        <w:tc>
          <w:tcPr>
            <w:tcW w:w="154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2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229</w:t>
            </w:r>
          </w:p>
        </w:tc>
        <w:tc>
          <w:tcPr>
            <w:tcW w:w="0" w:type="dxa"/>
            <w:vAlign w:val="bottom"/>
          </w:tcPr>
          <w:p>
            <w:pPr>
              <w:spacing w:after="0"/>
              <w:rPr>
                <w:sz w:val="1"/>
                <w:szCs w:val="1"/>
                <w:color w:val="auto"/>
              </w:rPr>
            </w:pP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Convertible</w:t>
            </w:r>
          </w:p>
        </w:tc>
        <w:tc>
          <w:tcPr>
            <w:tcW w:w="0" w:type="dxa"/>
            <w:vAlign w:val="bottom"/>
          </w:tcPr>
          <w:p>
            <w:pPr>
              <w:spacing w:after="0"/>
              <w:rPr>
                <w:sz w:val="1"/>
                <w:szCs w:val="1"/>
                <w:color w:val="auto"/>
              </w:rPr>
            </w:pPr>
          </w:p>
        </w:tc>
      </w:tr>
      <w:tr>
        <w:trPr>
          <w:trHeight w:val="203"/>
        </w:trPr>
        <w:tc>
          <w:tcPr>
            <w:tcW w:w="1540" w:type="dxa"/>
            <w:vAlign w:val="bottom"/>
          </w:tcPr>
          <w:p>
            <w:pPr>
              <w:jc w:val="right"/>
              <w:spacing w:after="0"/>
              <w:rPr>
                <w:sz w:val="20"/>
                <w:szCs w:val="20"/>
                <w:color w:val="auto"/>
              </w:rPr>
            </w:pPr>
            <w:r>
              <w:rPr>
                <w:rFonts w:ascii="Courier New" w:cs="Courier New" w:eastAsia="Courier New" w:hAnsi="Courier New"/>
                <w:sz w:val="11"/>
                <w:szCs w:val="11"/>
                <w:color w:val="auto"/>
                <w:w w:val="74"/>
              </w:rPr>
              <w:t>debentures.....................</w:t>
            </w:r>
          </w:p>
        </w:tc>
        <w:tc>
          <w:tcPr>
            <w:tcW w:w="2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-- 33,227</w:t>
            </w:r>
          </w:p>
        </w:tc>
        <w:tc>
          <w:tcPr>
            <w:tcW w:w="0" w:type="dxa"/>
            <w:vAlign w:val="bottom"/>
          </w:tcPr>
          <w:p>
            <w:pPr>
              <w:spacing w:after="0"/>
              <w:rPr>
                <w:sz w:val="1"/>
                <w:szCs w:val="1"/>
                <w:color w:val="auto"/>
              </w:rPr>
            </w:pP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-- 13,212 Option on convertible</w:t>
            </w:r>
          </w:p>
        </w:tc>
        <w:tc>
          <w:tcPr>
            <w:tcW w:w="0" w:type="dxa"/>
            <w:vAlign w:val="bottom"/>
          </w:tcPr>
          <w:p>
            <w:pPr>
              <w:spacing w:after="0"/>
              <w:rPr>
                <w:sz w:val="1"/>
                <w:szCs w:val="1"/>
                <w:color w:val="auto"/>
              </w:rPr>
            </w:pPr>
          </w:p>
        </w:tc>
      </w:tr>
      <w:tr>
        <w:trPr>
          <w:trHeight w:val="296"/>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75"/>
              </w:rPr>
              <w:t>debentures...........</w:t>
            </w:r>
          </w:p>
        </w:tc>
        <w:tc>
          <w:tcPr>
            <w:tcW w:w="2940" w:type="dxa"/>
            <w:vAlign w:val="bottom"/>
          </w:tcPr>
          <w:p>
            <w:pPr>
              <w:jc w:val="right"/>
              <w:spacing w:after="0"/>
              <w:rPr>
                <w:sz w:val="20"/>
                <w:szCs w:val="20"/>
                <w:color w:val="auto"/>
              </w:rPr>
            </w:pPr>
            <w:r>
              <w:rPr>
                <w:rFonts w:ascii="Courier New" w:cs="Courier New" w:eastAsia="Courier New" w:hAnsi="Courier New"/>
                <w:sz w:val="18"/>
                <w:szCs w:val="18"/>
                <w:color w:val="auto"/>
              </w:rPr>
              <w:t>-- 37,960 -- 18,659</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The following purchases of goods and services were capitalized for the years ended 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2002</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w w:val="96"/>
              </w:rPr>
              <w:t>2001 ----------</w:t>
            </w:r>
          </w:p>
        </w:tc>
      </w:tr>
      <w:tr>
        <w:trPr>
          <w:trHeight w:val="235"/>
        </w:trPr>
        <w:tc>
          <w:tcPr>
            <w:tcW w:w="540" w:type="dxa"/>
            <w:vAlign w:val="bottom"/>
          </w:tcPr>
          <w:p>
            <w:pPr>
              <w:spacing w:after="0"/>
              <w:rPr>
                <w:sz w:val="20"/>
                <w:szCs w:val="20"/>
                <w:color w:val="auto"/>
              </w:rPr>
            </w:pPr>
            <w:r>
              <w:rPr>
                <w:rFonts w:ascii="Courier New" w:cs="Courier New" w:eastAsia="Courier New" w:hAnsi="Courier New"/>
                <w:sz w:val="8"/>
                <w:szCs w:val="8"/>
                <w:color w:val="auto"/>
                <w:w w:val="72"/>
              </w:rPr>
              <w:t>---------------</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right="8099" w:firstLine="166"/>
        <w:spacing w:after="0" w:line="378" w:lineRule="auto"/>
        <w:tabs>
          <w:tab w:leader="none" w:pos="369"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 MONTHS) (11 MONTHS) BELL CANADA,</w:t>
      </w:r>
    </w:p>
    <w:p>
      <w:pPr>
        <w:sectPr>
          <w:pgSz w:w="11900" w:h="16890" w:orient="portrait"/>
          <w:cols w:equalWidth="0" w:num="1">
            <w:col w:w="10219"/>
          </w:cols>
          <w:pgMar w:left="240" w:top="488" w:right="1440" w:bottom="0" w:gutter="0" w:footer="0" w:header="0"/>
        </w:sectPr>
      </w:pPr>
    </w:p>
    <w:bookmarkStart w:id="135" w:name="page136"/>
    <w:bookmarkEnd w:id="135"/>
    <w:p>
      <w:pPr>
        <w:jc w:val="center"/>
        <w:ind w:right="8099"/>
        <w:spacing w:after="0"/>
        <w:rPr>
          <w:sz w:val="20"/>
          <w:szCs w:val="20"/>
          <w:color w:val="auto"/>
        </w:rPr>
      </w:pPr>
      <w:r>
        <w:rPr>
          <w:rFonts w:ascii="Courier New" w:cs="Courier New" w:eastAsia="Courier New" w:hAnsi="Courier New"/>
          <w:sz w:val="18"/>
          <w:szCs w:val="18"/>
          <w:color w:val="auto"/>
        </w:rPr>
        <w:t>AMDOCS BELL CANADA,</w:t>
      </w:r>
    </w:p>
    <w:p>
      <w:pPr>
        <w:spacing w:after="0" w:line="29"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AMDOCS BCE AND AND</w:t>
      </w:r>
    </w:p>
    <w:p>
      <w:pPr>
        <w:jc w:val="center"/>
        <w:ind w:right="8099"/>
        <w:spacing w:after="0" w:line="238" w:lineRule="auto"/>
        <w:rPr>
          <w:sz w:val="20"/>
          <w:szCs w:val="20"/>
          <w:color w:val="auto"/>
        </w:rPr>
      </w:pPr>
      <w:r>
        <w:rPr>
          <w:rFonts w:ascii="Courier New" w:cs="Courier New" w:eastAsia="Courier New" w:hAnsi="Courier New"/>
          <w:sz w:val="18"/>
          <w:szCs w:val="18"/>
          <w:color w:val="auto"/>
        </w:rPr>
        <w:t>BCE AND AND</w:t>
      </w:r>
    </w:p>
    <w:p>
      <w:pPr>
        <w:jc w:val="center"/>
        <w:ind w:right="8099"/>
        <w:spacing w:after="0"/>
        <w:rPr>
          <w:sz w:val="20"/>
          <w:szCs w:val="20"/>
          <w:color w:val="auto"/>
        </w:rPr>
      </w:pPr>
      <w:r>
        <w:rPr>
          <w:rFonts w:ascii="Courier New" w:cs="Courier New" w:eastAsia="Courier New" w:hAnsi="Courier New"/>
          <w:sz w:val="18"/>
          <w:szCs w:val="18"/>
          <w:color w:val="auto"/>
        </w:rPr>
        <w:t>AFFILIATES</w:t>
      </w:r>
    </w:p>
    <w:p>
      <w:pPr>
        <w:jc w:val="center"/>
        <w:ind w:right="8099"/>
        <w:spacing w:after="0" w:line="238" w:lineRule="auto"/>
        <w:rPr>
          <w:sz w:val="20"/>
          <w:szCs w:val="20"/>
          <w:color w:val="auto"/>
        </w:rPr>
      </w:pPr>
      <w:r>
        <w:rPr>
          <w:rFonts w:ascii="Courier New" w:cs="Courier New" w:eastAsia="Courier New" w:hAnsi="Courier New"/>
          <w:sz w:val="18"/>
          <w:szCs w:val="18"/>
          <w:color w:val="auto"/>
        </w:rPr>
        <w:t>AFFILIATES</w:t>
      </w:r>
    </w:p>
    <w:p>
      <w:pPr>
        <w:jc w:val="center"/>
        <w:ind w:right="8099"/>
        <w:spacing w:after="0"/>
        <w:rPr>
          <w:sz w:val="20"/>
          <w:szCs w:val="20"/>
          <w:color w:val="auto"/>
        </w:rPr>
      </w:pPr>
      <w:r>
        <w:rPr>
          <w:rFonts w:ascii="Courier New" w:cs="Courier New" w:eastAsia="Courier New" w:hAnsi="Courier New"/>
          <w:sz w:val="18"/>
          <w:szCs w:val="18"/>
          <w:color w:val="auto"/>
        </w:rPr>
        <w:t>AFFILIATES</w:t>
      </w:r>
    </w:p>
    <w:p>
      <w:pPr>
        <w:spacing w:after="0" w:line="238" w:lineRule="auto"/>
        <w:rPr>
          <w:sz w:val="20"/>
          <w:szCs w:val="20"/>
          <w:color w:val="auto"/>
        </w:rPr>
      </w:pPr>
      <w:r>
        <w:rPr>
          <w:rFonts w:ascii="Courier New" w:cs="Courier New" w:eastAsia="Courier New" w:hAnsi="Courier New"/>
          <w:sz w:val="18"/>
          <w:szCs w:val="18"/>
          <w:color w:val="auto"/>
        </w:rPr>
        <w:t>AFFILIATES ---------</w:t>
      </w:r>
    </w:p>
    <w:p>
      <w:pPr>
        <w:ind w:left="420" w:hanging="412"/>
        <w:spacing w:after="0"/>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Capitalized</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goods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services............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28,027 153,827</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17,234 100,879</w:t>
      </w:r>
    </w:p>
    <w:p>
      <w:pPr>
        <w:spacing w:after="0" w:line="372"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F-55</w:t>
      </w:r>
    </w:p>
    <w:p>
      <w:pPr>
        <w:sectPr>
          <w:pgSz w:w="11900" w:h="16838" w:orient="portrait"/>
          <w:cols w:equalWidth="0" w:num="1">
            <w:col w:w="10219"/>
          </w:cols>
          <w:pgMar w:left="240" w:top="110" w:right="1440" w:bottom="1440" w:gutter="0" w:footer="0" w:header="0"/>
        </w:sectPr>
      </w:pPr>
    </w:p>
    <w:bookmarkStart w:id="136" w:name="page137"/>
    <w:bookmarkEnd w:id="136"/>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THE FINANCIAL STATEMENTS -- (CONTINUED)</w:t>
      </w:r>
    </w:p>
    <w:p>
      <w:pPr>
        <w:spacing w:after="0" w:line="201" w:lineRule="exact"/>
        <w:rPr>
          <w:sz w:val="20"/>
          <w:szCs w:val="20"/>
          <w:color w:val="auto"/>
        </w:rPr>
      </w:pPr>
    </w:p>
    <w:p>
      <w:pPr>
        <w:ind w:left="540" w:hanging="532"/>
        <w:spacing w:after="0"/>
        <w:tabs>
          <w:tab w:leader="none" w:pos="5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DEPENDENCE</w:t>
      </w:r>
    </w:p>
    <w:p>
      <w:pPr>
        <w:spacing w:after="0" w:line="20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Substantially all of Certen's revenue is generated from services rendered to Bell Canada and affiliates. The Master Outsourcing Services Agreement sets out the services to be provided to Bell Canada and extends to January 26, 2008, at which time the agreement may be extended. However, Bell Canada may terminate the agreement with one year's prior written notice to Certen and Bell Canada will incur a termination charge.</w:t>
      </w:r>
    </w:p>
    <w:p>
      <w:pPr>
        <w:spacing w:after="0" w:line="93" w:lineRule="exact"/>
        <w:rPr>
          <w:sz w:val="20"/>
          <w:szCs w:val="20"/>
          <w:color w:val="auto"/>
        </w:rPr>
      </w:pPr>
    </w:p>
    <w:p>
      <w:pPr>
        <w:ind w:left="220" w:right="6639" w:hanging="212"/>
        <w:spacing w:after="0" w:line="476" w:lineRule="auto"/>
        <w:tabs>
          <w:tab w:leader="none" w:pos="536"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 COMMITMENTS</w:t>
      </w:r>
    </w:p>
    <w:p>
      <w:pPr>
        <w:spacing w:after="0" w:line="1" w:lineRule="exact"/>
        <w:rPr>
          <w:sz w:val="20"/>
          <w:szCs w:val="20"/>
          <w:color w:val="auto"/>
        </w:rPr>
      </w:pPr>
    </w:p>
    <w:p>
      <w:pPr>
        <w:ind w:right="2739" w:firstLine="527"/>
        <w:spacing w:after="0" w:line="347" w:lineRule="auto"/>
        <w:rPr>
          <w:sz w:val="20"/>
          <w:szCs w:val="20"/>
          <w:color w:val="auto"/>
        </w:rPr>
      </w:pPr>
      <w:r>
        <w:rPr>
          <w:rFonts w:ascii="Courier New" w:cs="Courier New" w:eastAsia="Courier New" w:hAnsi="Courier New"/>
          <w:sz w:val="18"/>
          <w:szCs w:val="18"/>
          <w:color w:val="auto"/>
        </w:rPr>
        <w:t>At December 31, 2002, the minimum payments under operating leases, primarily consisting of rental payments, were as follows:</w:t>
      </w:r>
    </w:p>
    <w:p>
      <w:pPr>
        <w:spacing w:after="0" w:line="18" w:lineRule="exact"/>
        <w:rPr>
          <w:sz w:val="20"/>
          <w:szCs w:val="20"/>
          <w:color w:val="auto"/>
        </w:rPr>
      </w:pPr>
    </w:p>
    <w:p>
      <w:pPr>
        <w:ind w:left="2800"/>
        <w:spacing w:after="0"/>
        <w:rPr>
          <w:sz w:val="20"/>
          <w:szCs w:val="20"/>
          <w:color w:val="auto"/>
        </w:rPr>
      </w:pPr>
      <w:r>
        <w:rPr>
          <w:rFonts w:ascii="Courier New" w:cs="Courier New" w:eastAsia="Courier New" w:hAnsi="Courier New"/>
          <w:sz w:val="18"/>
          <w:szCs w:val="18"/>
          <w:color w:val="auto"/>
        </w:rPr>
        <w:t>$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2003........................................................</w:t>
      </w:r>
    </w:p>
    <w:p>
      <w:pPr>
        <w:jc w:val="center"/>
        <w:ind w:right="3899"/>
        <w:spacing w:after="0" w:line="238" w:lineRule="auto"/>
        <w:rPr>
          <w:sz w:val="20"/>
          <w:szCs w:val="20"/>
          <w:color w:val="auto"/>
        </w:rPr>
      </w:pPr>
      <w:r>
        <w:rPr>
          <w:rFonts w:ascii="Courier New" w:cs="Courier New" w:eastAsia="Courier New" w:hAnsi="Courier New"/>
          <w:sz w:val="18"/>
          <w:szCs w:val="18"/>
          <w:color w:val="auto"/>
        </w:rPr>
        <w:t>8,072</w:t>
      </w:r>
    </w:p>
    <w:p>
      <w:pPr>
        <w:spacing w:after="0"/>
        <w:rPr>
          <w:sz w:val="20"/>
          <w:szCs w:val="20"/>
          <w:color w:val="auto"/>
        </w:rPr>
      </w:pPr>
      <w:r>
        <w:rPr>
          <w:rFonts w:ascii="Courier New" w:cs="Courier New" w:eastAsia="Courier New" w:hAnsi="Courier New"/>
          <w:sz w:val="18"/>
          <w:szCs w:val="18"/>
          <w:color w:val="auto"/>
        </w:rPr>
        <w:t>2004........................................................</w:t>
      </w:r>
    </w:p>
    <w:p>
      <w:pPr>
        <w:jc w:val="center"/>
        <w:ind w:right="3899"/>
        <w:spacing w:after="0" w:line="238" w:lineRule="auto"/>
        <w:rPr>
          <w:sz w:val="20"/>
          <w:szCs w:val="20"/>
          <w:color w:val="auto"/>
        </w:rPr>
      </w:pPr>
      <w:r>
        <w:rPr>
          <w:rFonts w:ascii="Courier New" w:cs="Courier New" w:eastAsia="Courier New" w:hAnsi="Courier New"/>
          <w:sz w:val="18"/>
          <w:szCs w:val="18"/>
          <w:color w:val="auto"/>
        </w:rPr>
        <w:t>7,952</w:t>
      </w:r>
    </w:p>
    <w:p>
      <w:pPr>
        <w:spacing w:after="0"/>
        <w:rPr>
          <w:sz w:val="20"/>
          <w:szCs w:val="20"/>
          <w:color w:val="auto"/>
        </w:rPr>
      </w:pPr>
      <w:r>
        <w:rPr>
          <w:rFonts w:ascii="Courier New" w:cs="Courier New" w:eastAsia="Courier New" w:hAnsi="Courier New"/>
          <w:sz w:val="18"/>
          <w:szCs w:val="18"/>
          <w:color w:val="auto"/>
        </w:rPr>
        <w:t>2005........................................................</w:t>
      </w:r>
    </w:p>
    <w:p>
      <w:pPr>
        <w:jc w:val="center"/>
        <w:ind w:right="3899"/>
        <w:spacing w:after="0" w:line="238" w:lineRule="auto"/>
        <w:rPr>
          <w:sz w:val="20"/>
          <w:szCs w:val="20"/>
          <w:color w:val="auto"/>
        </w:rPr>
      </w:pPr>
      <w:r>
        <w:rPr>
          <w:rFonts w:ascii="Courier New" w:cs="Courier New" w:eastAsia="Courier New" w:hAnsi="Courier New"/>
          <w:sz w:val="18"/>
          <w:szCs w:val="18"/>
          <w:color w:val="auto"/>
        </w:rPr>
        <w:t>7,512</w:t>
      </w:r>
    </w:p>
    <w:p>
      <w:pPr>
        <w:spacing w:after="0"/>
        <w:rPr>
          <w:sz w:val="20"/>
          <w:szCs w:val="20"/>
          <w:color w:val="auto"/>
        </w:rPr>
      </w:pPr>
      <w:r>
        <w:rPr>
          <w:rFonts w:ascii="Courier New" w:cs="Courier New" w:eastAsia="Courier New" w:hAnsi="Courier New"/>
          <w:sz w:val="18"/>
          <w:szCs w:val="18"/>
          <w:color w:val="auto"/>
        </w:rPr>
        <w:t>2006........................................................</w:t>
      </w:r>
    </w:p>
    <w:p>
      <w:pPr>
        <w:jc w:val="center"/>
        <w:ind w:right="3899"/>
        <w:spacing w:after="0" w:line="238" w:lineRule="auto"/>
        <w:rPr>
          <w:sz w:val="20"/>
          <w:szCs w:val="20"/>
          <w:color w:val="auto"/>
        </w:rPr>
      </w:pPr>
      <w:r>
        <w:rPr>
          <w:rFonts w:ascii="Courier New" w:cs="Courier New" w:eastAsia="Courier New" w:hAnsi="Courier New"/>
          <w:sz w:val="18"/>
          <w:szCs w:val="18"/>
          <w:color w:val="auto"/>
        </w:rPr>
        <w:t>7,408</w:t>
      </w:r>
    </w:p>
    <w:p>
      <w:pPr>
        <w:spacing w:after="0"/>
        <w:rPr>
          <w:sz w:val="20"/>
          <w:szCs w:val="20"/>
          <w:color w:val="auto"/>
        </w:rPr>
      </w:pPr>
      <w:r>
        <w:rPr>
          <w:rFonts w:ascii="Courier New" w:cs="Courier New" w:eastAsia="Courier New" w:hAnsi="Courier New"/>
          <w:sz w:val="18"/>
          <w:szCs w:val="18"/>
          <w:color w:val="auto"/>
        </w:rPr>
        <w:t>2007........................................................</w:t>
      </w:r>
    </w:p>
    <w:p>
      <w:pPr>
        <w:ind w:left="306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Additionally, in 2003, Certen has contractual obligations to acquire intellectual property totaling US$7,000,000 and site licenses and services in the amount of US$58,545,000 from Amdocs. Certen also has contractual obligations in 2003 to acquire various services from other non-related parties totaling $7,683,000.</w:t>
      </w:r>
    </w:p>
    <w:p>
      <w:pPr>
        <w:spacing w:after="0" w:line="90"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In the event Certen terminates for convenience the BCH Modernization program, the following amount in US dollars will become due to Amdocs according to the year in which the termination would occur:</w:t>
      </w:r>
    </w:p>
    <w:p>
      <w:pPr>
        <w:spacing w:after="0" w:line="6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US$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2003........................................................</w:t>
      </w:r>
    </w:p>
    <w:p>
      <w:pPr>
        <w:jc w:val="center"/>
        <w:ind w:right="3899"/>
        <w:spacing w:after="0" w:line="238" w:lineRule="auto"/>
        <w:rPr>
          <w:sz w:val="20"/>
          <w:szCs w:val="20"/>
          <w:color w:val="auto"/>
        </w:rPr>
      </w:pPr>
      <w:r>
        <w:rPr>
          <w:rFonts w:ascii="Courier New" w:cs="Courier New" w:eastAsia="Courier New" w:hAnsi="Courier New"/>
          <w:sz w:val="18"/>
          <w:szCs w:val="18"/>
          <w:color w:val="auto"/>
        </w:rPr>
        <w:t>60,000</w:t>
      </w:r>
    </w:p>
    <w:p>
      <w:pPr>
        <w:spacing w:after="0"/>
        <w:rPr>
          <w:sz w:val="20"/>
          <w:szCs w:val="20"/>
          <w:color w:val="auto"/>
        </w:rPr>
      </w:pPr>
      <w:r>
        <w:rPr>
          <w:rFonts w:ascii="Courier New" w:cs="Courier New" w:eastAsia="Courier New" w:hAnsi="Courier New"/>
          <w:sz w:val="18"/>
          <w:szCs w:val="18"/>
          <w:color w:val="auto"/>
        </w:rPr>
        <w:t>2004........................................................</w:t>
      </w:r>
    </w:p>
    <w:p>
      <w:pPr>
        <w:jc w:val="center"/>
        <w:ind w:right="3899"/>
        <w:spacing w:after="0" w:line="238" w:lineRule="auto"/>
        <w:rPr>
          <w:sz w:val="20"/>
          <w:szCs w:val="20"/>
          <w:color w:val="auto"/>
        </w:rPr>
      </w:pPr>
      <w:r>
        <w:rPr>
          <w:rFonts w:ascii="Courier New" w:cs="Courier New" w:eastAsia="Courier New" w:hAnsi="Courier New"/>
          <w:sz w:val="18"/>
          <w:szCs w:val="18"/>
          <w:color w:val="auto"/>
        </w:rPr>
        <w:t>50,000</w:t>
      </w:r>
    </w:p>
    <w:p>
      <w:pPr>
        <w:spacing w:after="0"/>
        <w:rPr>
          <w:sz w:val="20"/>
          <w:szCs w:val="20"/>
          <w:color w:val="auto"/>
        </w:rPr>
      </w:pPr>
      <w:r>
        <w:rPr>
          <w:rFonts w:ascii="Courier New" w:cs="Courier New" w:eastAsia="Courier New" w:hAnsi="Courier New"/>
          <w:sz w:val="18"/>
          <w:szCs w:val="18"/>
          <w:color w:val="auto"/>
        </w:rPr>
        <w:t>2005........................................................</w:t>
      </w:r>
    </w:p>
    <w:p>
      <w:pPr>
        <w:jc w:val="center"/>
        <w:ind w:right="3899"/>
        <w:spacing w:after="0" w:line="238" w:lineRule="auto"/>
        <w:rPr>
          <w:sz w:val="20"/>
          <w:szCs w:val="20"/>
          <w:color w:val="auto"/>
        </w:rPr>
      </w:pPr>
      <w:r>
        <w:rPr>
          <w:rFonts w:ascii="Courier New" w:cs="Courier New" w:eastAsia="Courier New" w:hAnsi="Courier New"/>
          <w:sz w:val="18"/>
          <w:szCs w:val="18"/>
          <w:color w:val="auto"/>
        </w:rPr>
        <w:t>40,000</w:t>
      </w:r>
    </w:p>
    <w:p>
      <w:pPr>
        <w:spacing w:after="0"/>
        <w:rPr>
          <w:sz w:val="20"/>
          <w:szCs w:val="20"/>
          <w:color w:val="auto"/>
        </w:rPr>
      </w:pPr>
      <w:r>
        <w:rPr>
          <w:rFonts w:ascii="Courier New" w:cs="Courier New" w:eastAsia="Courier New" w:hAnsi="Courier New"/>
          <w:sz w:val="18"/>
          <w:szCs w:val="18"/>
          <w:color w:val="auto"/>
        </w:rPr>
        <w:t>2006........................................................</w:t>
      </w:r>
    </w:p>
    <w:p>
      <w:pPr>
        <w:ind w:left="2860"/>
        <w:spacing w:after="0"/>
        <w:rPr>
          <w:sz w:val="20"/>
          <w:szCs w:val="20"/>
          <w:color w:val="auto"/>
        </w:rPr>
      </w:pPr>
      <w:r>
        <w:rPr>
          <w:rFonts w:ascii="Courier New" w:cs="Courier New" w:eastAsia="Courier New" w:hAnsi="Courier New"/>
          <w:sz w:val="18"/>
          <w:szCs w:val="18"/>
          <w:color w:val="auto"/>
        </w:rPr>
        <w:t>30,000</w:t>
      </w:r>
    </w:p>
    <w:p>
      <w:pPr>
        <w:spacing w:after="0" w:line="37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CONTINGENCIES</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In the normal course of operations, Certen has become involved in a claim. As the outcome of the claim and the estimated amount of the loss, if any, cannot be determined at this time, management has not made a provision for any potential eventual loss.</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F-56</w:t>
      </w:r>
    </w:p>
    <w:p>
      <w:pPr>
        <w:sectPr>
          <w:pgSz w:w="11900" w:h="16838" w:orient="portrait"/>
          <w:cols w:equalWidth="0" w:num="1">
            <w:col w:w="10219"/>
          </w:cols>
          <w:pgMar w:left="240" w:top="488" w:right="1440" w:bottom="1440" w:gutter="0" w:footer="0" w:header="0"/>
        </w:sectPr>
      </w:pPr>
    </w:p>
    <w:bookmarkStart w:id="137" w:name="page138"/>
    <w:bookmarkEnd w:id="137"/>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THE FINANCIAL STATEMENTS -- (CONTINUED)</w:t>
      </w:r>
    </w:p>
    <w:p>
      <w:pPr>
        <w:spacing w:after="0" w:line="201" w:lineRule="exact"/>
        <w:rPr>
          <w:sz w:val="20"/>
          <w:szCs w:val="20"/>
          <w:color w:val="auto"/>
        </w:rPr>
      </w:pPr>
    </w:p>
    <w:p>
      <w:pPr>
        <w:ind w:left="540" w:right="2319" w:hanging="532"/>
        <w:spacing w:after="0" w:line="347" w:lineRule="auto"/>
        <w:tabs>
          <w:tab w:leader="none" w:pos="54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RECONCILIATION OF RESULTS REPORTED IN ACCORDANCE WITH CANADIAN GAAP TO UNITED STATES GAAP</w:t>
      </w:r>
    </w:p>
    <w:p>
      <w:pPr>
        <w:spacing w:after="0" w:line="18" w:lineRule="exact"/>
        <w:rPr>
          <w:sz w:val="20"/>
          <w:szCs w:val="20"/>
          <w:color w:val="auto"/>
        </w:rPr>
      </w:pPr>
    </w:p>
    <w:p>
      <w:pPr>
        <w:jc w:val="both"/>
        <w:ind w:right="2619" w:firstLine="527"/>
        <w:spacing w:after="0" w:line="292" w:lineRule="auto"/>
        <w:rPr>
          <w:sz w:val="20"/>
          <w:szCs w:val="20"/>
          <w:color w:val="auto"/>
        </w:rPr>
      </w:pPr>
      <w:r>
        <w:rPr>
          <w:rFonts w:ascii="Courier New" w:cs="Courier New" w:eastAsia="Courier New" w:hAnsi="Courier New"/>
          <w:sz w:val="18"/>
          <w:szCs w:val="18"/>
          <w:color w:val="auto"/>
        </w:rPr>
        <w:t>The significant differences between Canadian and United States GAAP affecting Certen's net earnings and shareholders' equity are detailed as follows:</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RECONCILIATION OF NET EARNINGS:</w:t>
      </w:r>
    </w:p>
    <w:p>
      <w:pPr>
        <w:spacing w:after="0" w:line="201" w:lineRule="exact"/>
        <w:rPr>
          <w:sz w:val="20"/>
          <w:szCs w:val="20"/>
          <w:color w:val="auto"/>
        </w:rPr>
      </w:pPr>
    </w:p>
    <w:p>
      <w:pPr>
        <w:jc w:val="center"/>
        <w:ind w:right="4399"/>
        <w:spacing w:after="0" w:line="278" w:lineRule="auto"/>
        <w:rPr>
          <w:sz w:val="20"/>
          <w:szCs w:val="20"/>
          <w:color w:val="auto"/>
        </w:rPr>
      </w:pPr>
      <w:r>
        <w:rPr>
          <w:rFonts w:ascii="Courier New" w:cs="Courier New" w:eastAsia="Courier New" w:hAnsi="Courier New"/>
          <w:sz w:val="16"/>
          <w:szCs w:val="16"/>
          <w:color w:val="auto"/>
        </w:rPr>
        <w:t>2002 2001 ----------- ----------- (12 MONTHS) (11 MONTHS) $ $ CANADIAN GAAP -- NET EARNINGS............................... 15,294 36,774 Adjustments: Accretion of convertible debentures due</w:t>
      </w:r>
    </w:p>
    <w:p>
      <w:pPr>
        <w:spacing w:after="0" w:line="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to related</w:t>
      </w:r>
    </w:p>
    <w:p>
      <w:pPr>
        <w:spacing w:after="0" w:line="238" w:lineRule="auto"/>
        <w:rPr>
          <w:sz w:val="20"/>
          <w:szCs w:val="20"/>
          <w:color w:val="auto"/>
        </w:rPr>
      </w:pPr>
      <w:r>
        <w:rPr>
          <w:rFonts w:ascii="Courier New" w:cs="Courier New" w:eastAsia="Courier New" w:hAnsi="Courier New"/>
          <w:sz w:val="18"/>
          <w:szCs w:val="18"/>
          <w:color w:val="auto"/>
        </w:rPr>
        <w:t>party(a)...............................................</w:t>
      </w:r>
    </w:p>
    <w:p>
      <w:pPr>
        <w:jc w:val="center"/>
        <w:ind w:right="4419"/>
        <w:spacing w:after="0"/>
        <w:rPr>
          <w:sz w:val="20"/>
          <w:szCs w:val="20"/>
          <w:color w:val="auto"/>
        </w:rPr>
      </w:pPr>
      <w:r>
        <w:rPr>
          <w:rFonts w:ascii="Courier New" w:cs="Courier New" w:eastAsia="Courier New" w:hAnsi="Courier New"/>
          <w:sz w:val="18"/>
          <w:szCs w:val="18"/>
          <w:color w:val="auto"/>
        </w:rPr>
        <w:t>5,457 908 Capitalization of training</w:t>
      </w:r>
    </w:p>
    <w:p>
      <w:pPr>
        <w:jc w:val="center"/>
        <w:ind w:right="4419"/>
        <w:spacing w:after="0" w:line="238" w:lineRule="auto"/>
        <w:rPr>
          <w:sz w:val="20"/>
          <w:szCs w:val="20"/>
          <w:color w:val="auto"/>
        </w:rPr>
      </w:pPr>
      <w:r>
        <w:rPr>
          <w:rFonts w:ascii="Courier New" w:cs="Courier New" w:eastAsia="Courier New" w:hAnsi="Courier New"/>
          <w:sz w:val="18"/>
          <w:szCs w:val="18"/>
          <w:color w:val="auto"/>
        </w:rPr>
        <w:t>costs(b)....................... (3,243) --</w:t>
      </w:r>
    </w:p>
    <w:p>
      <w:pPr>
        <w:jc w:val="center"/>
        <w:ind w:right="4419"/>
        <w:spacing w:after="0"/>
        <w:rPr>
          <w:sz w:val="20"/>
          <w:szCs w:val="20"/>
          <w:color w:val="auto"/>
        </w:rPr>
      </w:pPr>
      <w:r>
        <w:rPr>
          <w:rFonts w:ascii="Courier New" w:cs="Courier New" w:eastAsia="Courier New" w:hAnsi="Courier New"/>
          <w:sz w:val="18"/>
          <w:szCs w:val="18"/>
          <w:color w:val="auto"/>
        </w:rPr>
        <w:t>Capitalization of</w:t>
      </w:r>
    </w:p>
    <w:p>
      <w:pPr>
        <w:jc w:val="center"/>
        <w:ind w:right="4419"/>
        <w:spacing w:after="0"/>
        <w:rPr>
          <w:sz w:val="20"/>
          <w:szCs w:val="20"/>
          <w:color w:val="auto"/>
        </w:rPr>
      </w:pPr>
      <w:r>
        <w:rPr>
          <w:rFonts w:ascii="Courier New" w:cs="Courier New" w:eastAsia="Courier New" w:hAnsi="Courier New"/>
          <w:sz w:val="16"/>
          <w:szCs w:val="16"/>
          <w:color w:val="auto"/>
        </w:rPr>
        <w:t>interest(c)............................. 2,609 79 ----</w:t>
      </w:r>
    </w:p>
    <w:p>
      <w:pPr>
        <w:spacing w:after="0" w:line="20"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 ------ UNITED STATES GAAP -- NET</w:t>
      </w:r>
    </w:p>
    <w:p>
      <w:pPr>
        <w:jc w:val="center"/>
        <w:ind w:right="4419"/>
        <w:spacing w:after="0" w:line="238" w:lineRule="auto"/>
        <w:rPr>
          <w:sz w:val="20"/>
          <w:szCs w:val="20"/>
          <w:color w:val="auto"/>
        </w:rPr>
      </w:pPr>
      <w:r>
        <w:rPr>
          <w:rFonts w:ascii="Courier New" w:cs="Courier New" w:eastAsia="Courier New" w:hAnsi="Courier New"/>
          <w:sz w:val="18"/>
          <w:szCs w:val="18"/>
          <w:color w:val="auto"/>
        </w:rPr>
        <w:t>EARNINGS.......................... 20,117 37,761</w:t>
      </w:r>
    </w:p>
    <w:p>
      <w:pPr>
        <w:jc w:val="center"/>
        <w:ind w:right="4419"/>
        <w:spacing w:after="0"/>
        <w:rPr>
          <w:sz w:val="20"/>
          <w:szCs w:val="20"/>
          <w:color w:val="auto"/>
        </w:rPr>
      </w:pPr>
      <w:r>
        <w:rPr>
          <w:rFonts w:ascii="Courier New" w:cs="Courier New" w:eastAsia="Courier New" w:hAnsi="Courier New"/>
          <w:sz w:val="18"/>
          <w:szCs w:val="18"/>
          <w:color w:val="auto"/>
        </w:rPr>
        <w:t>====== ======</w:t>
      </w:r>
    </w:p>
    <w:p>
      <w:pPr>
        <w:spacing w:after="0" w:line="37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RECONCILIATION OF SHAREHOLDERS' EQUITY:</w:t>
      </w:r>
    </w:p>
    <w:p>
      <w:pPr>
        <w:spacing w:after="0" w:line="20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2002 2001 ------- ------- $ $ CANADIAN GAAP --</w:t>
      </w:r>
    </w:p>
    <w:p>
      <w:pPr>
        <w:spacing w:after="0" w:line="29"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SHAREHOLDERS' EQUITY....................... 191,197</w:t>
      </w:r>
    </w:p>
    <w:p>
      <w:pPr>
        <w:jc w:val="center"/>
        <w:ind w:right="4419"/>
        <w:spacing w:after="0" w:line="238" w:lineRule="auto"/>
        <w:rPr>
          <w:sz w:val="20"/>
          <w:szCs w:val="20"/>
          <w:color w:val="auto"/>
        </w:rPr>
      </w:pPr>
      <w:r>
        <w:rPr>
          <w:rFonts w:ascii="Courier New" w:cs="Courier New" w:eastAsia="Courier New" w:hAnsi="Courier New"/>
          <w:sz w:val="18"/>
          <w:szCs w:val="18"/>
          <w:color w:val="auto"/>
        </w:rPr>
        <w:t>103,228 Adjustments: Accretion on convertible</w:t>
      </w:r>
    </w:p>
    <w:p>
      <w:pPr>
        <w:jc w:val="center"/>
        <w:ind w:right="4419"/>
        <w:spacing w:after="0"/>
        <w:rPr>
          <w:sz w:val="20"/>
          <w:szCs w:val="20"/>
          <w:color w:val="auto"/>
        </w:rPr>
      </w:pPr>
      <w:r>
        <w:rPr>
          <w:rFonts w:ascii="Courier New" w:cs="Courier New" w:eastAsia="Courier New" w:hAnsi="Courier New"/>
          <w:sz w:val="18"/>
          <w:szCs w:val="18"/>
          <w:color w:val="auto"/>
        </w:rPr>
        <w:t>debentures due to related</w:t>
      </w:r>
    </w:p>
    <w:p>
      <w:pPr>
        <w:spacing w:after="0" w:line="238" w:lineRule="auto"/>
        <w:rPr>
          <w:sz w:val="20"/>
          <w:szCs w:val="20"/>
          <w:color w:val="auto"/>
        </w:rPr>
      </w:pPr>
      <w:r>
        <w:rPr>
          <w:rFonts w:ascii="Courier New" w:cs="Courier New" w:eastAsia="Courier New" w:hAnsi="Courier New"/>
          <w:sz w:val="18"/>
          <w:szCs w:val="18"/>
          <w:color w:val="auto"/>
        </w:rPr>
        <w:t>party(a)...............................................</w:t>
      </w:r>
    </w:p>
    <w:p>
      <w:pPr>
        <w:jc w:val="center"/>
        <w:ind w:right="4419"/>
        <w:spacing w:after="0"/>
        <w:rPr>
          <w:sz w:val="20"/>
          <w:szCs w:val="20"/>
          <w:color w:val="auto"/>
        </w:rPr>
      </w:pPr>
      <w:r>
        <w:rPr>
          <w:rFonts w:ascii="Courier New" w:cs="Courier New" w:eastAsia="Courier New" w:hAnsi="Courier New"/>
          <w:sz w:val="18"/>
          <w:szCs w:val="18"/>
          <w:color w:val="auto"/>
        </w:rPr>
        <w:t>6,365 908 Option on convertible debentures due to</w:t>
      </w:r>
    </w:p>
    <w:p>
      <w:pPr>
        <w:jc w:val="center"/>
        <w:ind w:right="4419"/>
        <w:spacing w:after="0" w:line="238" w:lineRule="auto"/>
        <w:rPr>
          <w:sz w:val="20"/>
          <w:szCs w:val="20"/>
          <w:color w:val="auto"/>
        </w:rPr>
      </w:pPr>
      <w:r>
        <w:rPr>
          <w:rFonts w:ascii="Courier New" w:cs="Courier New" w:eastAsia="Courier New" w:hAnsi="Courier New"/>
          <w:sz w:val="18"/>
          <w:szCs w:val="18"/>
          <w:color w:val="auto"/>
        </w:rPr>
        <w:t>related</w:t>
      </w:r>
    </w:p>
    <w:p>
      <w:pPr>
        <w:spacing w:after="0"/>
        <w:rPr>
          <w:sz w:val="20"/>
          <w:szCs w:val="20"/>
          <w:color w:val="auto"/>
        </w:rPr>
      </w:pPr>
      <w:r>
        <w:rPr>
          <w:rFonts w:ascii="Courier New" w:cs="Courier New" w:eastAsia="Courier New" w:hAnsi="Courier New"/>
          <w:sz w:val="18"/>
          <w:szCs w:val="18"/>
          <w:color w:val="auto"/>
        </w:rPr>
        <w:t>party(a)...............................................</w:t>
      </w:r>
    </w:p>
    <w:p>
      <w:pPr>
        <w:ind w:left="580"/>
        <w:spacing w:after="0" w:line="238" w:lineRule="auto"/>
        <w:rPr>
          <w:sz w:val="20"/>
          <w:szCs w:val="20"/>
          <w:color w:val="auto"/>
        </w:rPr>
      </w:pPr>
      <w:r>
        <w:rPr>
          <w:rFonts w:ascii="Courier New" w:cs="Courier New" w:eastAsia="Courier New" w:hAnsi="Courier New"/>
          <w:sz w:val="18"/>
          <w:szCs w:val="18"/>
          <w:color w:val="auto"/>
        </w:rPr>
        <w:t>(37,960) (18,659) Capitalization of training</w:t>
      </w:r>
    </w:p>
    <w:tbl>
      <w:tblPr>
        <w:tblLayout w:type="fixed"/>
        <w:tblInd w:w="60" w:type="dxa"/>
        <w:tblCellMar>
          <w:top w:w="0" w:type="dxa"/>
          <w:left w:w="0" w:type="dxa"/>
          <w:bottom w:w="0" w:type="dxa"/>
          <w:right w:w="0" w:type="dxa"/>
        </w:tblCellMar>
      </w:tblPr>
      <w:tr>
        <w:trPr>
          <w:trHeight w:val="349"/>
        </w:trPr>
        <w:tc>
          <w:tcPr>
            <w:tcW w:w="1480" w:type="dxa"/>
            <w:vAlign w:val="bottom"/>
          </w:tcPr>
          <w:p>
            <w:pPr>
              <w:jc w:val="right"/>
              <w:spacing w:after="0"/>
              <w:rPr>
                <w:sz w:val="20"/>
                <w:szCs w:val="20"/>
                <w:color w:val="auto"/>
              </w:rPr>
            </w:pPr>
            <w:r>
              <w:rPr>
                <w:rFonts w:ascii="Courier New" w:cs="Courier New" w:eastAsia="Courier New" w:hAnsi="Courier New"/>
                <w:sz w:val="12"/>
                <w:szCs w:val="12"/>
                <w:color w:val="auto"/>
                <w:w w:val="74"/>
                <w:vertAlign w:val="superscript"/>
              </w:rPr>
              <w:t>costs(b)</w:t>
            </w:r>
            <w:r>
              <w:rPr>
                <w:rFonts w:ascii="Courier New" w:cs="Courier New" w:eastAsia="Courier New" w:hAnsi="Courier New"/>
                <w:sz w:val="9"/>
                <w:szCs w:val="9"/>
                <w:color w:val="auto"/>
                <w:w w:val="74"/>
              </w:rPr>
              <w:t>.............................</w:t>
            </w:r>
          </w:p>
        </w:tc>
        <w:tc>
          <w:tcPr>
            <w:tcW w:w="236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3"/>
                <w:szCs w:val="23"/>
                <w:color w:val="auto"/>
                <w:w w:val="71"/>
                <w:vertAlign w:val="subscript"/>
              </w:rPr>
              <w:t>Capitalizationof</w:t>
            </w:r>
          </w:p>
        </w:tc>
        <w:tc>
          <w:tcPr>
            <w:tcW w:w="18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(3,243) --</w:t>
            </w:r>
          </w:p>
        </w:tc>
        <w:tc>
          <w:tcPr>
            <w:tcW w:w="0" w:type="dxa"/>
            <w:vAlign w:val="bottom"/>
          </w:tcPr>
          <w:p>
            <w:pPr>
              <w:spacing w:after="0"/>
              <w:rPr>
                <w:sz w:val="1"/>
                <w:szCs w:val="1"/>
                <w:color w:val="auto"/>
              </w:rPr>
            </w:pPr>
          </w:p>
        </w:tc>
      </w:tr>
      <w:tr>
        <w:trPr>
          <w:trHeight w:val="167"/>
        </w:trPr>
        <w:tc>
          <w:tcPr>
            <w:tcW w:w="1480" w:type="dxa"/>
            <w:vAlign w:val="bottom"/>
            <w:vMerge w:val="restart"/>
          </w:tcPr>
          <w:p>
            <w:pPr>
              <w:jc w:val="right"/>
              <w:ind w:right="247"/>
              <w:spacing w:after="0"/>
              <w:rPr>
                <w:sz w:val="20"/>
                <w:szCs w:val="20"/>
                <w:color w:val="auto"/>
              </w:rPr>
            </w:pPr>
            <w:r>
              <w:rPr>
                <w:rFonts w:ascii="Courier New" w:cs="Courier New" w:eastAsia="Courier New" w:hAnsi="Courier New"/>
                <w:sz w:val="18"/>
                <w:szCs w:val="18"/>
                <w:color w:val="auto"/>
                <w:w w:val="95"/>
              </w:rPr>
              <w:t>interest(c)</w:t>
            </w:r>
          </w:p>
        </w:tc>
        <w:tc>
          <w:tcPr>
            <w:tcW w:w="2360" w:type="dxa"/>
            <w:vAlign w:val="bottom"/>
            <w:vMerge w:val="continue"/>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2,688 79 ----</w:t>
            </w:r>
          </w:p>
        </w:tc>
        <w:tc>
          <w:tcPr>
            <w:tcW w:w="0" w:type="dxa"/>
            <w:vAlign w:val="bottom"/>
          </w:tcPr>
          <w:p>
            <w:pPr>
              <w:spacing w:after="0"/>
              <w:rPr>
                <w:sz w:val="1"/>
                <w:szCs w:val="1"/>
                <w:color w:val="auto"/>
              </w:rPr>
            </w:pPr>
          </w:p>
        </w:tc>
      </w:tr>
      <w:tr>
        <w:trPr>
          <w:trHeight w:val="60"/>
        </w:trPr>
        <w:tc>
          <w:tcPr>
            <w:tcW w:w="1480" w:type="dxa"/>
            <w:vAlign w:val="bottom"/>
            <w:vMerge w:val="continue"/>
          </w:tcPr>
          <w:p>
            <w:pPr>
              <w:spacing w:after="0"/>
              <w:rPr>
                <w:sz w:val="5"/>
                <w:szCs w:val="5"/>
                <w:color w:val="auto"/>
              </w:rPr>
            </w:pPr>
          </w:p>
        </w:tc>
        <w:tc>
          <w:tcPr>
            <w:tcW w:w="236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68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rPr>
              <w:t>--- ------- UNITED STATES GAAP -- SHAREHOLDERS'</w:t>
            </w:r>
          </w:p>
        </w:tc>
        <w:tc>
          <w:tcPr>
            <w:tcW w:w="0" w:type="dxa"/>
            <w:vAlign w:val="bottom"/>
          </w:tcPr>
          <w:p>
            <w:pPr>
              <w:spacing w:after="0"/>
              <w:rPr>
                <w:sz w:val="1"/>
                <w:szCs w:val="1"/>
                <w:color w:val="auto"/>
              </w:rPr>
            </w:pPr>
          </w:p>
        </w:tc>
      </w:t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w w:val="72"/>
              </w:rPr>
              <w:t>EQUITY..................</w:t>
            </w:r>
          </w:p>
        </w:tc>
        <w:tc>
          <w:tcPr>
            <w:tcW w:w="2360" w:type="dxa"/>
            <w:vAlign w:val="bottom"/>
          </w:tcPr>
          <w:p>
            <w:pPr>
              <w:jc w:val="right"/>
              <w:ind w:right="19"/>
              <w:spacing w:after="0" w:line="203" w:lineRule="exact"/>
              <w:rPr>
                <w:sz w:val="20"/>
                <w:szCs w:val="20"/>
                <w:color w:val="auto"/>
              </w:rPr>
            </w:pPr>
            <w:r>
              <w:rPr>
                <w:rFonts w:ascii="Courier New" w:cs="Courier New" w:eastAsia="Courier New" w:hAnsi="Courier New"/>
                <w:sz w:val="18"/>
                <w:szCs w:val="18"/>
                <w:color w:val="auto"/>
              </w:rPr>
              <w:t>159,047</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85,556 =======</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2360" w:type="dxa"/>
            <w:vAlign w:val="bottom"/>
          </w:tcPr>
          <w:p>
            <w:pPr>
              <w:jc w:val="right"/>
              <w:ind w:right="539"/>
              <w:spacing w:after="0"/>
              <w:rPr>
                <w:sz w:val="20"/>
                <w:szCs w:val="20"/>
                <w:color w:val="auto"/>
              </w:rPr>
            </w:pPr>
            <w:r>
              <w:rPr>
                <w:rFonts w:ascii="Courier New" w:cs="Courier New" w:eastAsia="Courier New" w:hAnsi="Courier New"/>
                <w:sz w:val="18"/>
                <w:szCs w:val="18"/>
                <w:color w:val="auto"/>
              </w:rPr>
              <w:t>=======</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Accretion on convertible debentures due to related party</w:t>
      </w:r>
    </w:p>
    <w:p>
      <w:pPr>
        <w:spacing w:after="0" w:line="31" w:lineRule="exact"/>
        <w:rPr>
          <w:sz w:val="20"/>
          <w:szCs w:val="20"/>
          <w:color w:val="auto"/>
        </w:rPr>
      </w:pPr>
    </w:p>
    <w:p>
      <w:pPr>
        <w:ind w:left="540" w:right="1779"/>
        <w:spacing w:after="0" w:line="252" w:lineRule="auto"/>
        <w:rPr>
          <w:sz w:val="20"/>
          <w:szCs w:val="20"/>
          <w:color w:val="auto"/>
        </w:rPr>
      </w:pPr>
      <w:r>
        <w:rPr>
          <w:rFonts w:ascii="Courier New" w:cs="Courier New" w:eastAsia="Courier New" w:hAnsi="Courier New"/>
          <w:sz w:val="18"/>
          <w:szCs w:val="18"/>
          <w:color w:val="auto"/>
        </w:rPr>
        <w:t>Under Canadian GAAP the issuer of financial instruments that contain both a liability and an equity component must separate and classify the instruments according to their nature. Under United States GAAP, the issuer is not required to separate such financial instruments. Consequently, the accretion on convertible debentures due to related party is added back to United States GAAP net earnings.</w:t>
      </w: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Capitalization of training costs</w:t>
      </w:r>
    </w:p>
    <w:p>
      <w:pPr>
        <w:spacing w:after="0" w:line="31" w:lineRule="exact"/>
        <w:rPr>
          <w:sz w:val="20"/>
          <w:szCs w:val="20"/>
          <w:color w:val="auto"/>
        </w:rPr>
      </w:pPr>
    </w:p>
    <w:p>
      <w:pPr>
        <w:ind w:left="540" w:right="1779"/>
        <w:spacing w:after="0" w:line="273" w:lineRule="auto"/>
        <w:rPr>
          <w:sz w:val="20"/>
          <w:szCs w:val="20"/>
          <w:color w:val="auto"/>
        </w:rPr>
      </w:pPr>
      <w:r>
        <w:rPr>
          <w:rFonts w:ascii="Courier New" w:cs="Courier New" w:eastAsia="Courier New" w:hAnsi="Courier New"/>
          <w:sz w:val="18"/>
          <w:szCs w:val="18"/>
          <w:color w:val="auto"/>
        </w:rPr>
        <w:t>Under Canadian GAAP, training costs incurred in the development of internal-use software is capitalized. Under United States GAAP, these costs are expensed as incurred.</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Capitalization of interest expense</w:t>
      </w:r>
    </w:p>
    <w:p>
      <w:pPr>
        <w:spacing w:after="0" w:line="31" w:lineRule="exact"/>
        <w:rPr>
          <w:sz w:val="20"/>
          <w:szCs w:val="20"/>
          <w:color w:val="auto"/>
        </w:rPr>
      </w:pPr>
    </w:p>
    <w:p>
      <w:pPr>
        <w:ind w:left="540" w:right="1999"/>
        <w:spacing w:after="0" w:line="323" w:lineRule="auto"/>
        <w:rPr>
          <w:sz w:val="20"/>
          <w:szCs w:val="20"/>
          <w:color w:val="auto"/>
        </w:rPr>
      </w:pPr>
      <w:r>
        <w:rPr>
          <w:rFonts w:ascii="Courier New" w:cs="Courier New" w:eastAsia="Courier New" w:hAnsi="Courier New"/>
          <w:sz w:val="16"/>
          <w:szCs w:val="16"/>
          <w:color w:val="auto"/>
        </w:rPr>
        <w:t>Under United States GAAP interest expense related to internally developed capital assets must be capitalized. Canadian GAAP makes no such requirements and therefore, Certen has expensed all interest costs.</w:t>
      </w:r>
    </w:p>
    <w:p>
      <w:pPr>
        <w:spacing w:after="0" w:line="47" w:lineRule="exact"/>
        <w:rPr>
          <w:sz w:val="20"/>
          <w:szCs w:val="20"/>
          <w:color w:val="auto"/>
        </w:rPr>
      </w:pPr>
    </w:p>
    <w:p>
      <w:pPr>
        <w:ind w:left="540" w:hanging="532"/>
        <w:spacing w:after="0"/>
        <w:tabs>
          <w:tab w:leader="none" w:pos="54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EVENTS</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On July 1, 2003, 126 employees transferred from the Company to Bell Canada. Management is currently assessing the impact of such a transfer on the accrued benefit asset and accrued benefit liability.</w:t>
      </w:r>
    </w:p>
    <w:p>
      <w:pPr>
        <w:spacing w:after="0" w:line="66"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On July 2, 2003, Amdocs Limited announced the completion of its acquisition of Bell Canada's ownership interest in Certen (subsequently renamed Amdocs Canadian Managed Services Inc.). As part of this transaction, Certen will extend the terms of its billing operations outsourcing agreement with Bell</w:t>
      </w:r>
    </w:p>
    <w:p>
      <w:pPr>
        <w:spacing w:after="0" w:line="5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F-57</w:t>
      </w:r>
    </w:p>
    <w:p>
      <w:pPr>
        <w:sectPr>
          <w:pgSz w:w="11900" w:h="16838" w:orient="portrait"/>
          <w:cols w:equalWidth="0" w:num="1">
            <w:col w:w="10219"/>
          </w:cols>
          <w:pgMar w:left="240" w:top="488" w:right="1440" w:bottom="0" w:gutter="0" w:footer="0" w:header="0"/>
        </w:sectPr>
      </w:pPr>
    </w:p>
    <w:bookmarkStart w:id="138" w:name="page139"/>
    <w:bookmarkEnd w:id="138"/>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THE FINANCIAL STATEMENTS -- (CONTINUED)</w:t>
      </w:r>
    </w:p>
    <w:p>
      <w:pPr>
        <w:spacing w:after="0" w:line="201"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Canada by three years to December 2010 as per the Further Amended and Restated Master Outsourcing Services Agreement (FARMOSA).</w:t>
      </w:r>
    </w:p>
    <w:p>
      <w:pPr>
        <w:spacing w:after="0" w:line="18"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Under the terms of the FARMOSA, Certen must maintain minimum service level standards.</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F-58</w:t>
      </w:r>
    </w:p>
    <w:p>
      <w:pPr>
        <w:sectPr>
          <w:pgSz w:w="11900" w:h="16838" w:orient="portrait"/>
          <w:cols w:equalWidth="0" w:num="1">
            <w:col w:w="10219"/>
          </w:cols>
          <w:pgMar w:left="240" w:top="488" w:right="1440" w:bottom="1440" w:gutter="0" w:footer="0" w:header="0"/>
        </w:sectPr>
      </w:pPr>
    </w:p>
    <w:bookmarkStart w:id="139" w:name="page140"/>
    <w:bookmarkEnd w:id="139"/>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STATEMENT OF OPERATIONS AND RETAINED EARNINGS SIX-MONTH PERIOD ENDED JUNE 30,</w:t>
      </w:r>
    </w:p>
    <w:p>
      <w:pPr>
        <w:spacing w:after="0" w:line="5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2003</w:t>
      </w:r>
    </w:p>
    <w:p>
      <w:pPr>
        <w:jc w:val="center"/>
        <w:ind w:right="1779"/>
        <w:spacing w:after="0"/>
        <w:rPr>
          <w:sz w:val="20"/>
          <w:szCs w:val="20"/>
          <w:color w:val="auto"/>
        </w:rPr>
      </w:pPr>
      <w:r>
        <w:rPr>
          <w:rFonts w:ascii="Courier New" w:cs="Courier New" w:eastAsia="Courier New" w:hAnsi="Courier New"/>
          <w:sz w:val="18"/>
          <w:szCs w:val="18"/>
          <w:color w:val="auto"/>
        </w:rPr>
        <w:t>(IN THOUSANDS OF CANADIAN DOLLARS)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w:t>
            </w:r>
          </w:p>
        </w:tc>
        <w:tc>
          <w:tcPr>
            <w:tcW w:w="4160" w:type="dxa"/>
            <w:vAlign w:val="bottom"/>
            <w:gridSpan w:val="4"/>
          </w:tcPr>
          <w:p>
            <w:pPr>
              <w:jc w:val="right"/>
              <w:ind w:right="872"/>
              <w:spacing w:after="0"/>
              <w:rPr>
                <w:sz w:val="20"/>
                <w:szCs w:val="20"/>
                <w:color w:val="auto"/>
              </w:rPr>
            </w:pPr>
            <w:r>
              <w:rPr>
                <w:rFonts w:ascii="Courier New" w:cs="Courier New" w:eastAsia="Courier New" w:hAnsi="Courier New"/>
                <w:sz w:val="18"/>
                <w:szCs w:val="18"/>
                <w:color w:val="auto"/>
              </w:rPr>
              <w:t>(UNAUDITED) REVENUE Billing</w:t>
            </w:r>
          </w:p>
        </w:tc>
        <w:tc>
          <w:tcPr>
            <w:tcW w:w="0" w:type="dxa"/>
            <w:vAlign w:val="bottom"/>
          </w:tcPr>
          <w:p>
            <w:pPr>
              <w:spacing w:after="0"/>
              <w:rPr>
                <w:sz w:val="1"/>
                <w:szCs w:val="1"/>
                <w:color w:val="auto"/>
              </w:rPr>
            </w:pPr>
          </w:p>
        </w:tc>
      </w:tr>
      <w:tr>
        <w:trPr>
          <w:trHeight w:val="203"/>
        </w:trPr>
        <w:tc>
          <w:tcPr>
            <w:tcW w:w="2120" w:type="dxa"/>
            <w:vAlign w:val="bottom"/>
            <w:gridSpan w:val="2"/>
          </w:tcPr>
          <w:p>
            <w:pPr>
              <w:ind w:left="120"/>
              <w:spacing w:after="0"/>
              <w:rPr>
                <w:sz w:val="20"/>
                <w:szCs w:val="20"/>
                <w:color w:val="auto"/>
              </w:rPr>
            </w:pPr>
            <w:r>
              <w:rPr>
                <w:rFonts w:ascii="Courier New" w:cs="Courier New" w:eastAsia="Courier New" w:hAnsi="Courier New"/>
                <w:sz w:val="9"/>
                <w:szCs w:val="9"/>
                <w:color w:val="auto"/>
                <w:w w:val="73"/>
              </w:rPr>
              <w:t>services..........................................</w:t>
            </w:r>
          </w:p>
        </w:tc>
        <w:tc>
          <w:tcPr>
            <w:tcW w:w="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215,881</w:t>
            </w:r>
          </w:p>
        </w:tc>
        <w:tc>
          <w:tcPr>
            <w:tcW w:w="0" w:type="dxa"/>
            <w:vAlign w:val="bottom"/>
          </w:tcPr>
          <w:p>
            <w:pPr>
              <w:spacing w:after="0"/>
              <w:rPr>
                <w:sz w:val="1"/>
                <w:szCs w:val="1"/>
                <w:color w:val="auto"/>
              </w:rPr>
            </w:pPr>
          </w:p>
        </w:tc>
      </w:tr>
      <w:tr>
        <w:trPr>
          <w:trHeight w:val="203"/>
        </w:trPr>
        <w:tc>
          <w:tcPr>
            <w:tcW w:w="4480" w:type="dxa"/>
            <w:vAlign w:val="bottom"/>
            <w:gridSpan w:val="4"/>
          </w:tcPr>
          <w:p>
            <w:pPr>
              <w:ind w:left="120"/>
              <w:spacing w:after="0"/>
              <w:rPr>
                <w:sz w:val="20"/>
                <w:szCs w:val="20"/>
                <w:color w:val="auto"/>
              </w:rPr>
            </w:pPr>
            <w:r>
              <w:rPr>
                <w:rFonts w:ascii="Courier New" w:cs="Courier New" w:eastAsia="Courier New" w:hAnsi="Courier New"/>
                <w:sz w:val="16"/>
                <w:szCs w:val="16"/>
                <w:color w:val="auto"/>
                <w:w w:val="77"/>
              </w:rPr>
              <w:t>Professional services.....................................</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11,799 -------</w:t>
            </w:r>
          </w:p>
        </w:tc>
        <w:tc>
          <w:tcPr>
            <w:tcW w:w="4900" w:type="dxa"/>
            <w:vAlign w:val="bottom"/>
            <w:gridSpan w:val="5"/>
          </w:tcPr>
          <w:p>
            <w:pPr>
              <w:jc w:val="right"/>
              <w:ind w:right="292"/>
              <w:spacing w:after="0" w:line="203" w:lineRule="exact"/>
              <w:rPr>
                <w:sz w:val="20"/>
                <w:szCs w:val="20"/>
                <w:color w:val="auto"/>
              </w:rPr>
            </w:pPr>
            <w:r>
              <w:rPr>
                <w:rFonts w:ascii="Courier New" w:cs="Courier New" w:eastAsia="Courier New" w:hAnsi="Courier New"/>
                <w:sz w:val="18"/>
                <w:szCs w:val="18"/>
                <w:color w:val="auto"/>
              </w:rPr>
              <w:t>227,680 Cost of services, selling and</w:t>
            </w:r>
          </w:p>
        </w:tc>
        <w:tc>
          <w:tcPr>
            <w:tcW w:w="0" w:type="dxa"/>
            <w:vAlign w:val="bottom"/>
          </w:tcPr>
          <w:p>
            <w:pPr>
              <w:spacing w:after="0"/>
              <w:rPr>
                <w:sz w:val="1"/>
                <w:szCs w:val="1"/>
                <w:color w:val="auto"/>
              </w:rPr>
            </w:pPr>
          </w:p>
        </w:tc>
      </w:tr>
      <w:tr>
        <w:trPr>
          <w:trHeight w:val="203"/>
        </w:trPr>
        <w:tc>
          <w:tcPr>
            <w:tcW w:w="2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75"/>
              </w:rPr>
              <w:t>administrative expenses.......</w:t>
            </w:r>
          </w:p>
        </w:tc>
        <w:tc>
          <w:tcPr>
            <w:tcW w:w="358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169,270 Net benefit plans</w:t>
            </w:r>
          </w:p>
        </w:tc>
        <w:tc>
          <w:tcPr>
            <w:tcW w:w="0" w:type="dxa"/>
            <w:vAlign w:val="bottom"/>
          </w:tcPr>
          <w:p>
            <w:pPr>
              <w:spacing w:after="0"/>
              <w:rPr>
                <w:sz w:val="1"/>
                <w:szCs w:val="1"/>
                <w:color w:val="auto"/>
              </w:rPr>
            </w:pPr>
          </w:p>
        </w:tc>
      </w:tr>
      <w:tr>
        <w:trPr>
          <w:trHeight w:val="296"/>
        </w:trPr>
        <w:tc>
          <w:tcPr>
            <w:tcW w:w="1380" w:type="dxa"/>
            <w:vAlign w:val="bottom"/>
          </w:tcPr>
          <w:p>
            <w:pPr>
              <w:ind w:left="220"/>
              <w:spacing w:after="0"/>
              <w:rPr>
                <w:sz w:val="20"/>
                <w:szCs w:val="20"/>
                <w:color w:val="auto"/>
              </w:rPr>
            </w:pPr>
            <w:r>
              <w:rPr>
                <w:rFonts w:ascii="Courier New" w:cs="Courier New" w:eastAsia="Courier New" w:hAnsi="Courier New"/>
                <w:sz w:val="5"/>
                <w:szCs w:val="5"/>
                <w:color w:val="auto"/>
                <w:w w:val="90"/>
              </w:rPr>
              <w:t>expense...................................</w:t>
            </w:r>
          </w:p>
        </w:tc>
        <w:tc>
          <w:tcPr>
            <w:tcW w:w="3100" w:type="dxa"/>
            <w:vAlign w:val="bottom"/>
            <w:gridSpan w:val="3"/>
            <w:vMerge w:val="restart"/>
          </w:tcPr>
          <w:p>
            <w:pPr>
              <w:jc w:val="center"/>
              <w:ind w:left="392"/>
              <w:spacing w:after="0"/>
              <w:rPr>
                <w:sz w:val="20"/>
                <w:szCs w:val="20"/>
                <w:color w:val="auto"/>
              </w:rPr>
            </w:pPr>
            <w:r>
              <w:rPr>
                <w:rFonts w:ascii="Courier New" w:cs="Courier New" w:eastAsia="Courier New" w:hAnsi="Courier New"/>
                <w:sz w:val="18"/>
                <w:szCs w:val="18"/>
                <w:color w:val="auto"/>
                <w:w w:val="97"/>
              </w:rPr>
              <w:t>Operating earnings before</w:t>
            </w:r>
          </w:p>
        </w:tc>
        <w:tc>
          <w:tcPr>
            <w:tcW w:w="100" w:type="dxa"/>
            <w:vAlign w:val="bottom"/>
          </w:tcPr>
          <w:p>
            <w:pPr>
              <w:spacing w:after="0"/>
              <w:rPr>
                <w:sz w:val="24"/>
                <w:szCs w:val="24"/>
                <w:color w:val="auto"/>
              </w:rPr>
            </w:pPr>
          </w:p>
        </w:tc>
        <w:tc>
          <w:tcPr>
            <w:tcW w:w="1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2,139 -------</w:t>
            </w:r>
          </w:p>
        </w:tc>
        <w:tc>
          <w:tcPr>
            <w:tcW w:w="0" w:type="dxa"/>
            <w:vAlign w:val="bottom"/>
          </w:tcPr>
          <w:p>
            <w:pPr>
              <w:spacing w:after="0"/>
              <w:rPr>
                <w:sz w:val="1"/>
                <w:szCs w:val="1"/>
                <w:color w:val="auto"/>
              </w:rPr>
            </w:pPr>
          </w:p>
        </w:tc>
      </w:tr>
      <w:tr>
        <w:trPr>
          <w:trHeight w:val="109"/>
        </w:trPr>
        <w:tc>
          <w:tcPr>
            <w:tcW w:w="1380" w:type="dxa"/>
            <w:vAlign w:val="bottom"/>
          </w:tcPr>
          <w:p>
            <w:pPr>
              <w:spacing w:after="0"/>
              <w:rPr>
                <w:sz w:val="9"/>
                <w:szCs w:val="9"/>
                <w:color w:val="auto"/>
              </w:rPr>
            </w:pPr>
          </w:p>
        </w:tc>
        <w:tc>
          <w:tcPr>
            <w:tcW w:w="31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vMerge w:val="restart"/>
          </w:tcPr>
          <w:p>
            <w:pPr>
              <w:jc w:val="right"/>
              <w:ind w:right="872"/>
              <w:spacing w:after="0"/>
              <w:rPr>
                <w:sz w:val="20"/>
                <w:szCs w:val="20"/>
                <w:color w:val="auto"/>
              </w:rPr>
            </w:pPr>
            <w:r>
              <w:rPr>
                <w:rFonts w:ascii="Courier New" w:cs="Courier New" w:eastAsia="Courier New" w:hAnsi="Courier New"/>
                <w:sz w:val="18"/>
                <w:szCs w:val="18"/>
                <w:color w:val="auto"/>
              </w:rPr>
              <w:t>56,271</w:t>
            </w:r>
          </w:p>
        </w:tc>
        <w:tc>
          <w:tcPr>
            <w:tcW w:w="0" w:type="dxa"/>
            <w:vAlign w:val="bottom"/>
          </w:tcPr>
          <w:p>
            <w:pPr>
              <w:spacing w:after="0"/>
              <w:rPr>
                <w:sz w:val="1"/>
                <w:szCs w:val="1"/>
                <w:color w:val="auto"/>
              </w:rPr>
            </w:pPr>
          </w:p>
        </w:tc>
      </w:tr>
      <w:tr>
        <w:trPr>
          <w:trHeight w:val="203"/>
        </w:trPr>
        <w:tc>
          <w:tcPr>
            <w:tcW w:w="2700" w:type="dxa"/>
            <w:vAlign w:val="bottom"/>
            <w:gridSpan w:val="3"/>
          </w:tcPr>
          <w:p>
            <w:pPr>
              <w:ind w:left="1000"/>
              <w:spacing w:after="0"/>
              <w:rPr>
                <w:sz w:val="20"/>
                <w:szCs w:val="20"/>
                <w:color w:val="auto"/>
              </w:rPr>
            </w:pPr>
            <w:r>
              <w:rPr>
                <w:rFonts w:ascii="Courier New" w:cs="Courier New" w:eastAsia="Courier New" w:hAnsi="Courier New"/>
                <w:sz w:val="11"/>
                <w:szCs w:val="11"/>
                <w:color w:val="auto"/>
                <w:w w:val="74"/>
              </w:rPr>
              <w:t>undernoted........................</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2120" w:type="dxa"/>
            <w:vAlign w:val="bottom"/>
            <w:gridSpan w:val="2"/>
          </w:tcPr>
          <w:p>
            <w:pPr>
              <w:spacing w:after="0"/>
              <w:rPr>
                <w:sz w:val="20"/>
                <w:szCs w:val="20"/>
                <w:color w:val="auto"/>
              </w:rPr>
            </w:pPr>
            <w:r>
              <w:rPr>
                <w:rFonts w:ascii="Courier New" w:cs="Courier New" w:eastAsia="Courier New" w:hAnsi="Courier New"/>
                <w:sz w:val="4"/>
                <w:szCs w:val="4"/>
                <w:color w:val="auto"/>
                <w:w w:val="79"/>
                <w:vertAlign w:val="superscript"/>
              </w:rPr>
              <w:t>Amortization</w:t>
            </w:r>
            <w:r>
              <w:rPr>
                <w:rFonts w:ascii="Courier New" w:cs="Courier New" w:eastAsia="Courier New" w:hAnsi="Courier New"/>
                <w:sz w:val="4"/>
                <w:szCs w:val="4"/>
                <w:color w:val="auto"/>
                <w:w w:val="79"/>
                <w:vertAlign w:val="subscript"/>
              </w:rPr>
              <w:t>..............................................</w:t>
            </w:r>
            <w:r>
              <w:rPr>
                <w:rFonts w:ascii="Courier New" w:cs="Courier New" w:eastAsia="Courier New" w:hAnsi="Courier New"/>
                <w:sz w:val="2"/>
                <w:szCs w:val="2"/>
                <w:color w:val="auto"/>
                <w:w w:val="79"/>
              </w:rPr>
              <w:t>........................................</w:t>
            </w:r>
            <w:r>
              <w:rPr>
                <w:rFonts w:ascii="Courier New" w:cs="Courier New" w:eastAsia="Courier New" w:hAnsi="Courier New"/>
                <w:sz w:val="4"/>
                <w:szCs w:val="4"/>
                <w:color w:val="auto"/>
                <w:w w:val="79"/>
                <w:vertAlign w:val="subscript"/>
              </w:rPr>
              <w:t>.............................</w:t>
            </w:r>
            <w:r>
              <w:rPr>
                <w:rFonts w:ascii="Courier New" w:cs="Courier New" w:eastAsia="Courier New" w:hAnsi="Courier New"/>
                <w:sz w:val="4"/>
                <w:szCs w:val="4"/>
                <w:color w:val="auto"/>
                <w:w w:val="79"/>
                <w:vertAlign w:val="superscript"/>
              </w:rPr>
              <w:t>................................................</w:t>
            </w:r>
          </w:p>
        </w:tc>
        <w:tc>
          <w:tcPr>
            <w:tcW w:w="2360" w:type="dxa"/>
            <w:vAlign w:val="bottom"/>
            <w:gridSpan w:val="2"/>
            <w:vMerge w:val="restart"/>
          </w:tcPr>
          <w:p>
            <w:pPr>
              <w:jc w:val="center"/>
              <w:ind w:right="172"/>
              <w:spacing w:after="0"/>
              <w:rPr>
                <w:sz w:val="20"/>
                <w:szCs w:val="20"/>
                <w:color w:val="auto"/>
              </w:rPr>
            </w:pPr>
            <w:r>
              <w:rPr>
                <w:rFonts w:ascii="Courier New" w:cs="Courier New" w:eastAsia="Courier New" w:hAnsi="Courier New"/>
                <w:sz w:val="18"/>
                <w:szCs w:val="18"/>
                <w:color w:val="auto"/>
                <w:w w:val="97"/>
              </w:rPr>
              <w:t>56,453 Restructuring</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3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charge</w:t>
            </w:r>
          </w:p>
        </w:tc>
        <w:tc>
          <w:tcPr>
            <w:tcW w:w="740" w:type="dxa"/>
            <w:vAlign w:val="bottom"/>
          </w:tcPr>
          <w:p>
            <w:pPr>
              <w:spacing w:after="0"/>
              <w:rPr>
                <w:sz w:val="10"/>
                <w:szCs w:val="10"/>
                <w:color w:val="auto"/>
              </w:rPr>
            </w:pPr>
          </w:p>
        </w:tc>
        <w:tc>
          <w:tcPr>
            <w:tcW w:w="23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80 -------</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80" w:type="dxa"/>
            <w:vAlign w:val="bottom"/>
            <w:vMerge w:val="restart"/>
          </w:tcPr>
          <w:p>
            <w:pPr>
              <w:jc w:val="center"/>
              <w:ind w:right="752"/>
              <w:spacing w:after="0"/>
              <w:rPr>
                <w:sz w:val="20"/>
                <w:szCs w:val="20"/>
                <w:color w:val="auto"/>
              </w:rPr>
            </w:pPr>
            <w:r>
              <w:rPr>
                <w:rFonts w:ascii="Courier New" w:cs="Courier New" w:eastAsia="Courier New" w:hAnsi="Courier New"/>
                <w:sz w:val="18"/>
                <w:szCs w:val="18"/>
                <w:color w:val="auto"/>
                <w:w w:val="96"/>
              </w:rPr>
              <w:t>Operating</w:t>
            </w:r>
          </w:p>
        </w:tc>
        <w:tc>
          <w:tcPr>
            <w:tcW w:w="10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loss</w:t>
            </w: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(262)</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3200" w:type="dxa"/>
            <w:vAlign w:val="bottom"/>
            <w:gridSpan w:val="4"/>
            <w:vMerge w:val="restart"/>
          </w:tcPr>
          <w:p>
            <w:pPr>
              <w:jc w:val="center"/>
              <w:ind w:left="292"/>
              <w:spacing w:after="0"/>
              <w:rPr>
                <w:sz w:val="20"/>
                <w:szCs w:val="20"/>
                <w:color w:val="auto"/>
              </w:rPr>
            </w:pPr>
            <w:r>
              <w:rPr>
                <w:rFonts w:ascii="Courier New" w:cs="Courier New" w:eastAsia="Courier New" w:hAnsi="Courier New"/>
                <w:sz w:val="18"/>
                <w:szCs w:val="18"/>
                <w:color w:val="auto"/>
                <w:w w:val="97"/>
              </w:rPr>
              <w:t>Interest expense-long-term</w:t>
            </w: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38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debt</w:t>
            </w:r>
          </w:p>
        </w:tc>
        <w:tc>
          <w:tcPr>
            <w:tcW w:w="3200" w:type="dxa"/>
            <w:vAlign w:val="bottom"/>
            <w:gridSpan w:val="4"/>
            <w:vMerge w:val="continue"/>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580" w:type="dxa"/>
            <w:vAlign w:val="bottom"/>
            <w:gridSpan w:val="3"/>
          </w:tcPr>
          <w:p>
            <w:pPr>
              <w:jc w:val="right"/>
              <w:ind w:right="292"/>
              <w:spacing w:after="0" w:line="203" w:lineRule="exact"/>
              <w:rPr>
                <w:sz w:val="20"/>
                <w:szCs w:val="20"/>
                <w:color w:val="auto"/>
              </w:rPr>
            </w:pPr>
            <w:r>
              <w:rPr>
                <w:rFonts w:ascii="Courier New" w:cs="Courier New" w:eastAsia="Courier New" w:hAnsi="Courier New"/>
                <w:sz w:val="18"/>
                <w:szCs w:val="18"/>
                <w:color w:val="auto"/>
              </w:rPr>
              <w:t>3,615 Accretion on</w:t>
            </w:r>
          </w:p>
        </w:tc>
        <w:tc>
          <w:tcPr>
            <w:tcW w:w="0" w:type="dxa"/>
            <w:vAlign w:val="bottom"/>
          </w:tcPr>
          <w:p>
            <w:pPr>
              <w:spacing w:after="0"/>
              <w:rPr>
                <w:sz w:val="1"/>
                <w:szCs w:val="1"/>
                <w:color w:val="auto"/>
              </w:rPr>
            </w:pPr>
          </w:p>
        </w:tc>
      </w:tr>
      <w:tr>
        <w:trPr>
          <w:trHeight w:val="203"/>
        </w:trPr>
        <w:tc>
          <w:tcPr>
            <w:tcW w:w="458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6"/>
              </w:rPr>
              <w:t>convertible debentures due to related party</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3,054 Other</w:t>
            </w:r>
          </w:p>
        </w:tc>
        <w:tc>
          <w:tcPr>
            <w:tcW w:w="0" w:type="dxa"/>
            <w:vAlign w:val="bottom"/>
          </w:tcPr>
          <w:p>
            <w:pPr>
              <w:spacing w:after="0"/>
              <w:rPr>
                <w:sz w:val="1"/>
                <w:szCs w:val="1"/>
                <w:color w:val="auto"/>
              </w:rPr>
            </w:pPr>
          </w:p>
        </w:tc>
      </w:tr>
      <w:tr>
        <w:trPr>
          <w:trHeight w:val="381"/>
        </w:trPr>
        <w:tc>
          <w:tcPr>
            <w:tcW w:w="1380" w:type="dxa"/>
            <w:vAlign w:val="bottom"/>
          </w:tcPr>
          <w:p>
            <w:pPr>
              <w:jc w:val="right"/>
              <w:spacing w:after="0"/>
              <w:rPr>
                <w:sz w:val="20"/>
                <w:szCs w:val="20"/>
                <w:color w:val="auto"/>
              </w:rPr>
            </w:pPr>
            <w:r>
              <w:rPr>
                <w:rFonts w:ascii="Courier New" w:cs="Courier New" w:eastAsia="Courier New" w:hAnsi="Courier New"/>
                <w:sz w:val="2"/>
                <w:szCs w:val="2"/>
                <w:color w:val="auto"/>
                <w:w w:val="94"/>
                <w:vertAlign w:val="superscript"/>
              </w:rPr>
              <w:t>income....................................</w:t>
            </w:r>
            <w:r>
              <w:rPr>
                <w:rFonts w:ascii="Courier New" w:cs="Courier New" w:eastAsia="Courier New" w:hAnsi="Courier New"/>
                <w:sz w:val="2"/>
                <w:szCs w:val="2"/>
                <w:color w:val="auto"/>
                <w:w w:val="94"/>
                <w:vertAlign w:val="subscript"/>
              </w:rPr>
              <w:t>....................................................</w:t>
            </w:r>
            <w:r>
              <w:rPr>
                <w:rFonts w:ascii="Courier New" w:cs="Courier New" w:eastAsia="Courier New" w:hAnsi="Courier New"/>
                <w:sz w:val="1"/>
                <w:szCs w:val="1"/>
                <w:color w:val="auto"/>
                <w:w w:val="94"/>
              </w:rPr>
              <w:t>...................................................</w:t>
            </w:r>
            <w:r>
              <w:rPr>
                <w:rFonts w:ascii="Courier New" w:cs="Courier New" w:eastAsia="Courier New" w:hAnsi="Courier New"/>
                <w:sz w:val="2"/>
                <w:szCs w:val="2"/>
                <w:color w:val="auto"/>
                <w:w w:val="94"/>
                <w:vertAlign w:val="superscript"/>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(1,414)</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74"/>
              </w:rPr>
              <w:t>-------</w:t>
            </w:r>
          </w:p>
        </w:tc>
        <w:tc>
          <w:tcPr>
            <w:tcW w:w="3580" w:type="dxa"/>
            <w:vAlign w:val="bottom"/>
            <w:gridSpan w:val="3"/>
            <w:vMerge w:val="restart"/>
          </w:tcPr>
          <w:p>
            <w:pPr>
              <w:jc w:val="right"/>
              <w:ind w:right="1232"/>
              <w:spacing w:after="0"/>
              <w:rPr>
                <w:sz w:val="20"/>
                <w:szCs w:val="20"/>
                <w:color w:val="auto"/>
              </w:rPr>
            </w:pPr>
            <w:r>
              <w:rPr>
                <w:rFonts w:ascii="Courier New" w:cs="Courier New" w:eastAsia="Courier New" w:hAnsi="Courier New"/>
                <w:sz w:val="18"/>
                <w:szCs w:val="18"/>
                <w:color w:val="auto"/>
              </w:rPr>
              <w:t>Loss before income</w:t>
            </w:r>
          </w:p>
        </w:tc>
        <w:tc>
          <w:tcPr>
            <w:tcW w:w="0" w:type="dxa"/>
            <w:vAlign w:val="bottom"/>
          </w:tcPr>
          <w:p>
            <w:pPr>
              <w:spacing w:after="0"/>
              <w:rPr>
                <w:sz w:val="1"/>
                <w:szCs w:val="1"/>
                <w:color w:val="auto"/>
              </w:rPr>
            </w:pPr>
          </w:p>
        </w:tc>
      </w:tr>
      <w:tr>
        <w:trPr>
          <w:trHeight w:val="24"/>
        </w:trPr>
        <w:tc>
          <w:tcPr>
            <w:tcW w:w="13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taxes</w:t>
            </w:r>
          </w:p>
        </w:tc>
        <w:tc>
          <w:tcPr>
            <w:tcW w:w="7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35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6"/>
        </w:trPr>
        <w:tc>
          <w:tcPr>
            <w:tcW w:w="13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360" w:type="dxa"/>
            <w:vAlign w:val="bottom"/>
            <w:gridSpan w:val="2"/>
            <w:vMerge w:val="restart"/>
          </w:tcPr>
          <w:p>
            <w:pPr>
              <w:jc w:val="center"/>
              <w:ind w:right="172"/>
              <w:spacing w:after="0"/>
              <w:rPr>
                <w:sz w:val="20"/>
                <w:szCs w:val="20"/>
                <w:color w:val="auto"/>
              </w:rPr>
            </w:pPr>
            <w:r>
              <w:rPr>
                <w:rFonts w:ascii="Courier New" w:cs="Courier New" w:eastAsia="Courier New" w:hAnsi="Courier New"/>
                <w:sz w:val="18"/>
                <w:szCs w:val="18"/>
                <w:color w:val="auto"/>
                <w:w w:val="97"/>
              </w:rPr>
              <w:t>Income taxes</w:t>
            </w:r>
          </w:p>
        </w:tc>
        <w:tc>
          <w:tcPr>
            <w:tcW w:w="10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(5,517) -------</w:t>
            </w:r>
          </w:p>
        </w:tc>
        <w:tc>
          <w:tcPr>
            <w:tcW w:w="0" w:type="dxa"/>
            <w:vAlign w:val="bottom"/>
          </w:tcPr>
          <w:p>
            <w:pPr>
              <w:spacing w:after="0"/>
              <w:rPr>
                <w:sz w:val="1"/>
                <w:szCs w:val="1"/>
                <w:color w:val="auto"/>
              </w:rPr>
            </w:pPr>
          </w:p>
        </w:tc>
      </w:tr>
      <w:tr>
        <w:trPr>
          <w:trHeight w:val="203"/>
        </w:trPr>
        <w:tc>
          <w:tcPr>
            <w:tcW w:w="13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Current</w:t>
            </w:r>
          </w:p>
        </w:tc>
        <w:tc>
          <w:tcPr>
            <w:tcW w:w="740" w:type="dxa"/>
            <w:vAlign w:val="bottom"/>
          </w:tcPr>
          <w:p>
            <w:pPr>
              <w:spacing w:after="0"/>
              <w:rPr>
                <w:sz w:val="17"/>
                <w:szCs w:val="17"/>
                <w:color w:val="auto"/>
              </w:rPr>
            </w:pPr>
          </w:p>
        </w:tc>
        <w:tc>
          <w:tcPr>
            <w:tcW w:w="23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80" w:type="dxa"/>
            <w:vAlign w:val="bottom"/>
            <w:vMerge w:val="restart"/>
          </w:tcPr>
          <w:p>
            <w:pPr>
              <w:jc w:val="center"/>
              <w:ind w:right="752"/>
              <w:spacing w:after="0"/>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Future</w:t>
            </w: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1380" w:type="dxa"/>
            <w:vAlign w:val="bottom"/>
            <w:vMerge w:val="continue"/>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(691)</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74"/>
              </w:rPr>
              <w:t>-------</w:t>
            </w:r>
          </w:p>
        </w:tc>
        <w:tc>
          <w:tcPr>
            <w:tcW w:w="17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(691) -------</w:t>
            </w:r>
          </w:p>
        </w:tc>
        <w:tc>
          <w:tcPr>
            <w:tcW w:w="1800" w:type="dxa"/>
            <w:vAlign w:val="bottom"/>
            <w:gridSpan w:val="2"/>
            <w:vMerge w:val="restart"/>
          </w:tcPr>
          <w:p>
            <w:pPr>
              <w:jc w:val="right"/>
              <w:ind w:right="1392"/>
              <w:spacing w:after="0"/>
              <w:rPr>
                <w:sz w:val="20"/>
                <w:szCs w:val="20"/>
                <w:color w:val="auto"/>
              </w:rPr>
            </w:pPr>
            <w:r>
              <w:rPr>
                <w:rFonts w:ascii="Courier New" w:cs="Courier New" w:eastAsia="Courier New" w:hAnsi="Courier New"/>
                <w:sz w:val="18"/>
                <w:szCs w:val="18"/>
                <w:color w:val="auto"/>
                <w:w w:val="92"/>
              </w:rPr>
              <w:t>NET</w:t>
            </w:r>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period</w:t>
            </w:r>
          </w:p>
        </w:tc>
        <w:tc>
          <w:tcPr>
            <w:tcW w:w="5160" w:type="dxa"/>
            <w:vAlign w:val="bottom"/>
            <w:gridSpan w:val="2"/>
          </w:tcPr>
          <w:p>
            <w:pPr>
              <w:jc w:val="center"/>
              <w:ind w:right="852"/>
              <w:spacing w:after="0"/>
              <w:rPr>
                <w:sz w:val="20"/>
                <w:szCs w:val="20"/>
                <w:color w:val="auto"/>
              </w:rPr>
            </w:pPr>
            <w:r>
              <w:rPr>
                <w:rFonts w:ascii="Courier New" w:cs="Courier New" w:eastAsia="Courier New" w:hAnsi="Courier New"/>
                <w:sz w:val="18"/>
                <w:szCs w:val="18"/>
                <w:color w:val="auto"/>
                <w:w w:val="97"/>
              </w:rPr>
              <w:t>(6,208) Retained earnings, beginning of</w:t>
            </w:r>
          </w:p>
        </w:tc>
        <w:tc>
          <w:tcPr>
            <w:tcW w:w="0" w:type="dxa"/>
            <w:vAlign w:val="bottom"/>
          </w:tcPr>
          <w:p>
            <w:pPr>
              <w:spacing w:after="0"/>
              <w:rPr>
                <w:sz w:val="1"/>
                <w:szCs w:val="1"/>
                <w:color w:val="auto"/>
              </w:rPr>
            </w:pPr>
          </w:p>
        </w:tc>
      </w:tr>
      <w:tr>
        <w:trPr>
          <w:trHeight w:val="203"/>
        </w:trPr>
        <w:tc>
          <w:tcPr>
            <w:tcW w:w="940" w:type="dxa"/>
            <w:vAlign w:val="bottom"/>
            <w:vMerge w:val="continue"/>
          </w:tcPr>
          <w:p>
            <w:pPr>
              <w:spacing w:after="0"/>
              <w:rPr>
                <w:sz w:val="17"/>
                <w:szCs w:val="17"/>
                <w:color w:val="auto"/>
              </w:rPr>
            </w:pPr>
          </w:p>
        </w:tc>
        <w:tc>
          <w:tcPr>
            <w:tcW w:w="1740" w:type="dxa"/>
            <w:vAlign w:val="bottom"/>
            <w:vMerge w:val="restart"/>
          </w:tcPr>
          <w:p>
            <w:pPr>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19"/>
                <w:szCs w:val="19"/>
                <w:color w:val="auto"/>
                <w:w w:val="71"/>
                <w:vertAlign w:val="subscript"/>
              </w:rPr>
              <w:t>ENDOFPERIOD</w:t>
            </w:r>
          </w:p>
        </w:tc>
        <w:tc>
          <w:tcPr>
            <w:tcW w:w="3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51,068 ------- RETAINED</w:t>
            </w:r>
          </w:p>
        </w:tc>
        <w:tc>
          <w:tcPr>
            <w:tcW w:w="0" w:type="dxa"/>
            <w:vAlign w:val="bottom"/>
          </w:tcPr>
          <w:p>
            <w:pPr>
              <w:spacing w:after="0"/>
              <w:rPr>
                <w:sz w:val="1"/>
                <w:szCs w:val="1"/>
                <w:color w:val="auto"/>
              </w:rPr>
            </w:pPr>
          </w:p>
        </w:tc>
      </w:tr>
      <w:tr>
        <w:trPr>
          <w:trHeight w:val="203"/>
        </w:trPr>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EARNINGS,</w:t>
            </w:r>
          </w:p>
        </w:tc>
        <w:tc>
          <w:tcPr>
            <w:tcW w:w="174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44,860</w:t>
            </w:r>
          </w:p>
        </w:tc>
        <w:tc>
          <w:tcPr>
            <w:tcW w:w="0" w:type="dxa"/>
            <w:vAlign w:val="bottom"/>
          </w:tcPr>
          <w:p>
            <w:pPr>
              <w:spacing w:after="0"/>
              <w:rPr>
                <w:sz w:val="1"/>
                <w:szCs w:val="1"/>
                <w:color w:val="auto"/>
              </w:rPr>
            </w:pPr>
          </w:p>
        </w:tc>
      </w:tr>
      <w:tr>
        <w:trPr>
          <w:trHeight w:val="296"/>
        </w:trPr>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20" w:type="dxa"/>
            <w:vAlign w:val="bottom"/>
          </w:tcPr>
          <w:p>
            <w:pPr>
              <w:jc w:val="right"/>
              <w:ind w:right="2592"/>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608"/>
        </w:trPr>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2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F-59</w:t>
            </w: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060" w:type="dxa"/>
            <w:vAlign w:val="bottom"/>
          </w:tcPr>
          <w:p>
            <w:pPr>
              <w:spacing w:after="0"/>
              <w:rPr>
                <w:sz w:val="24"/>
                <w:szCs w:val="24"/>
                <w:color w:val="auto"/>
              </w:rPr>
            </w:pPr>
          </w:p>
        </w:tc>
        <w:tc>
          <w:tcPr>
            <w:tcW w:w="400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CERTEN INC.</w:t>
            </w: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4"/>
                <w:szCs w:val="24"/>
                <w:color w:val="auto"/>
              </w:rPr>
            </w:pPr>
          </w:p>
        </w:tc>
        <w:tc>
          <w:tcPr>
            <w:tcW w:w="4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BALANCE SHEET AS AT JUNE 30, 2003</w:t>
            </w: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4"/>
                <w:szCs w:val="24"/>
                <w:color w:val="auto"/>
              </w:rPr>
            </w:pPr>
          </w:p>
        </w:tc>
        <w:tc>
          <w:tcPr>
            <w:tcW w:w="4000" w:type="dxa"/>
            <w:vAlign w:val="bottom"/>
          </w:tcPr>
          <w:p>
            <w:pPr>
              <w:jc w:val="right"/>
              <w:spacing w:after="0"/>
              <w:rPr>
                <w:sz w:val="20"/>
                <w:szCs w:val="20"/>
                <w:color w:val="auto"/>
              </w:rPr>
            </w:pPr>
            <w:r>
              <w:rPr>
                <w:rFonts w:ascii="Courier New" w:cs="Courier New" w:eastAsia="Courier New" w:hAnsi="Courier New"/>
                <w:sz w:val="18"/>
                <w:szCs w:val="18"/>
                <w:color w:val="auto"/>
              </w:rPr>
              <w:t>(IN THOUSANDS OF CANADIAN DOLLARS)</w:t>
            </w:r>
          </w:p>
        </w:tc>
        <w:tc>
          <w:tcPr>
            <w:tcW w:w="0" w:type="dxa"/>
            <w:vAlign w:val="bottom"/>
          </w:tcPr>
          <w:p>
            <w:pPr>
              <w:spacing w:after="0"/>
              <w:rPr>
                <w:sz w:val="1"/>
                <w:szCs w:val="1"/>
                <w:color w:val="auto"/>
              </w:rPr>
            </w:pPr>
          </w:p>
        </w:tc>
      </w:tr>
      <w:tr>
        <w:trPr>
          <w:trHeight w:val="311"/>
        </w:trPr>
        <w:tc>
          <w:tcPr>
            <w:tcW w:w="2060" w:type="dxa"/>
            <w:vAlign w:val="bottom"/>
          </w:tcPr>
          <w:p>
            <w:pPr>
              <w:ind w:left="580"/>
              <w:spacing w:after="0"/>
              <w:rPr>
                <w:sz w:val="20"/>
                <w:szCs w:val="20"/>
                <w:color w:val="auto"/>
              </w:rPr>
            </w:pPr>
            <w:r>
              <w:rPr>
                <w:rFonts w:ascii="Courier New" w:cs="Courier New" w:eastAsia="Courier New" w:hAnsi="Courier New"/>
                <w:sz w:val="18"/>
                <w:szCs w:val="18"/>
                <w:color w:val="auto"/>
              </w:rPr>
              <w:t>$ -----------</w:t>
            </w:r>
          </w:p>
        </w:tc>
        <w:tc>
          <w:tcPr>
            <w:tcW w:w="400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7"/>
              </w:rPr>
              <w:t>(UNAUDITED) ASSETS Current assets</w:t>
            </w:r>
          </w:p>
        </w:tc>
        <w:tc>
          <w:tcPr>
            <w:tcW w:w="0" w:type="dxa"/>
            <w:vAlign w:val="bottom"/>
          </w:tcPr>
          <w:p>
            <w:pPr>
              <w:spacing w:after="0"/>
              <w:rPr>
                <w:sz w:val="1"/>
                <w:szCs w:val="1"/>
                <w:color w:val="auto"/>
              </w:rPr>
            </w:pPr>
          </w:p>
        </w:tc>
      </w:tr>
      <w:tr>
        <w:trPr>
          <w:trHeight w:val="381"/>
        </w:trPr>
        <w:tc>
          <w:tcPr>
            <w:tcW w:w="2060" w:type="dxa"/>
            <w:vAlign w:val="bottom"/>
          </w:tcPr>
          <w:p>
            <w:pPr>
              <w:jc w:val="right"/>
              <w:spacing w:after="0"/>
              <w:rPr>
                <w:sz w:val="20"/>
                <w:szCs w:val="20"/>
                <w:color w:val="auto"/>
              </w:rPr>
            </w:pPr>
            <w:r>
              <w:rPr>
                <w:rFonts w:ascii="Courier New" w:cs="Courier New" w:eastAsia="Courier New" w:hAnsi="Courier New"/>
                <w:sz w:val="4"/>
                <w:szCs w:val="4"/>
                <w:color w:val="auto"/>
                <w:w w:val="77"/>
              </w:rPr>
              <w:t>Cash......................................................</w:t>
            </w:r>
            <w:r>
              <w:rPr>
                <w:rFonts w:ascii="Courier New" w:cs="Courier New" w:eastAsia="Courier New" w:hAnsi="Courier New"/>
                <w:sz w:val="8"/>
                <w:szCs w:val="8"/>
                <w:color w:val="auto"/>
                <w:w w:val="77"/>
                <w:vertAlign w:val="subscript"/>
              </w:rPr>
              <w:t>.......................................</w:t>
            </w:r>
          </w:p>
        </w:tc>
        <w:tc>
          <w:tcPr>
            <w:tcW w:w="4000" w:type="dxa"/>
            <w:vAlign w:val="bottom"/>
            <w:vMerge w:val="restart"/>
          </w:tcPr>
          <w:p>
            <w:pPr>
              <w:jc w:val="center"/>
              <w:ind w:right="1892"/>
              <w:spacing w:after="0"/>
              <w:rPr>
                <w:sz w:val="20"/>
                <w:szCs w:val="20"/>
                <w:color w:val="auto"/>
              </w:rPr>
            </w:pPr>
            <w:r>
              <w:rPr>
                <w:rFonts w:ascii="Courier New" w:cs="Courier New" w:eastAsia="Courier New" w:hAnsi="Courier New"/>
                <w:sz w:val="18"/>
                <w:szCs w:val="18"/>
                <w:color w:val="auto"/>
                <w:w w:val="97"/>
              </w:rPr>
              <w:t>34,358 Accounts</w:t>
            </w:r>
          </w:p>
        </w:tc>
        <w:tc>
          <w:tcPr>
            <w:tcW w:w="0" w:type="dxa"/>
            <w:vAlign w:val="bottom"/>
          </w:tcPr>
          <w:p>
            <w:pPr>
              <w:spacing w:after="0"/>
              <w:rPr>
                <w:sz w:val="1"/>
                <w:szCs w:val="1"/>
                <w:color w:val="auto"/>
              </w:rPr>
            </w:pPr>
          </w:p>
        </w:tc>
      </w:tr>
      <w:tr>
        <w:trPr>
          <w:trHeight w:val="24"/>
        </w:trPr>
        <w:tc>
          <w:tcPr>
            <w:tcW w:w="2060" w:type="dxa"/>
            <w:vAlign w:val="bottom"/>
            <w:vMerge w:val="restart"/>
          </w:tcPr>
          <w:p>
            <w:pPr>
              <w:jc w:val="right"/>
              <w:ind w:right="786"/>
              <w:spacing w:after="0"/>
              <w:rPr>
                <w:sz w:val="20"/>
                <w:szCs w:val="20"/>
                <w:color w:val="auto"/>
              </w:rPr>
            </w:pPr>
            <w:r>
              <w:rPr>
                <w:rFonts w:ascii="Courier New" w:cs="Courier New" w:eastAsia="Courier New" w:hAnsi="Courier New"/>
                <w:sz w:val="18"/>
                <w:szCs w:val="18"/>
                <w:color w:val="auto"/>
              </w:rPr>
              <w:t>receivable</w:t>
            </w:r>
          </w:p>
        </w:tc>
        <w:tc>
          <w:tcPr>
            <w:tcW w:w="4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60" w:type="dxa"/>
            <w:vAlign w:val="bottom"/>
            <w:vMerge w:val="continue"/>
          </w:tcPr>
          <w:p>
            <w:pPr>
              <w:spacing w:after="0"/>
              <w:rPr>
                <w:sz w:val="17"/>
                <w:szCs w:val="17"/>
                <w:color w:val="auto"/>
              </w:rPr>
            </w:pPr>
          </w:p>
        </w:tc>
        <w:tc>
          <w:tcPr>
            <w:tcW w:w="4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4,891</w:t>
            </w:r>
          </w:p>
        </w:tc>
        <w:tc>
          <w:tcPr>
            <w:tcW w:w="0" w:type="dxa"/>
            <w:vAlign w:val="bottom"/>
          </w:tcPr>
          <w:p>
            <w:pPr>
              <w:spacing w:after="0"/>
              <w:rPr>
                <w:sz w:val="1"/>
                <w:szCs w:val="1"/>
                <w:color w:val="auto"/>
              </w:rPr>
            </w:pPr>
          </w:p>
        </w:tc>
      </w:tr>
      <w:tr>
        <w:trPr>
          <w:trHeight w:val="203"/>
        </w:trPr>
        <w:tc>
          <w:tcPr>
            <w:tcW w:w="2060" w:type="dxa"/>
            <w:vAlign w:val="bottom"/>
            <w:vMerge w:val="restart"/>
          </w:tcPr>
          <w:p>
            <w:pPr>
              <w:jc w:val="right"/>
              <w:ind w:right="466"/>
              <w:spacing w:after="0"/>
              <w:rPr>
                <w:sz w:val="20"/>
                <w:szCs w:val="20"/>
                <w:color w:val="auto"/>
              </w:rPr>
            </w:pPr>
            <w:r>
              <w:rPr>
                <w:rFonts w:ascii="Courier New" w:cs="Courier New" w:eastAsia="Courier New" w:hAnsi="Courier New"/>
                <w:sz w:val="18"/>
                <w:szCs w:val="18"/>
                <w:color w:val="auto"/>
              </w:rPr>
              <w:t>receivables</w:t>
            </w:r>
          </w:p>
        </w:tc>
        <w:tc>
          <w:tcPr>
            <w:tcW w:w="4000" w:type="dxa"/>
            <w:vAlign w:val="bottom"/>
          </w:tcPr>
          <w:p>
            <w:pPr>
              <w:jc w:val="center"/>
              <w:ind w:right="1912"/>
              <w:spacing w:after="0" w:line="203" w:lineRule="exact"/>
              <w:rPr>
                <w:sz w:val="20"/>
                <w:szCs w:val="20"/>
                <w:color w:val="auto"/>
              </w:rPr>
            </w:pPr>
            <w:r>
              <w:rPr>
                <w:rFonts w:ascii="Courier New" w:cs="Courier New" w:eastAsia="Courier New" w:hAnsi="Courier New"/>
                <w:sz w:val="18"/>
                <w:szCs w:val="18"/>
                <w:color w:val="auto"/>
                <w:w w:val="96"/>
              </w:rPr>
              <w:t>Other current</w:t>
            </w:r>
          </w:p>
        </w:tc>
        <w:tc>
          <w:tcPr>
            <w:tcW w:w="0" w:type="dxa"/>
            <w:vAlign w:val="bottom"/>
          </w:tcPr>
          <w:p>
            <w:pPr>
              <w:spacing w:after="0"/>
              <w:rPr>
                <w:sz w:val="1"/>
                <w:szCs w:val="1"/>
                <w:color w:val="auto"/>
              </w:rPr>
            </w:pPr>
          </w:p>
        </w:tc>
      </w:tr>
      <w:tr>
        <w:trPr>
          <w:trHeight w:val="203"/>
        </w:trPr>
        <w:tc>
          <w:tcPr>
            <w:tcW w:w="2060" w:type="dxa"/>
            <w:vAlign w:val="bottom"/>
            <w:vMerge w:val="continue"/>
          </w:tcPr>
          <w:p>
            <w:pPr>
              <w:ind w:left="1540"/>
              <w:spacing w:after="0"/>
              <w:rPr>
                <w:sz w:val="20"/>
                <w:szCs w:val="20"/>
                <w:color w:val="auto"/>
              </w:rPr>
            </w:pPr>
            <w:r>
              <w:rPr>
                <w:rFonts w:ascii="Courier New" w:cs="Courier New" w:eastAsia="Courier New" w:hAnsi="Courier New"/>
                <w:sz w:val="3"/>
                <w:szCs w:val="3"/>
                <w:color w:val="auto"/>
                <w:w w:val="84"/>
              </w:rPr>
              <w:t>.................................</w:t>
            </w:r>
          </w:p>
        </w:tc>
        <w:tc>
          <w:tcPr>
            <w:tcW w:w="4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24,292</w:t>
            </w:r>
          </w:p>
        </w:tc>
        <w:tc>
          <w:tcPr>
            <w:tcW w:w="0" w:type="dxa"/>
            <w:vAlign w:val="bottom"/>
          </w:tcPr>
          <w:p>
            <w:pPr>
              <w:spacing w:after="0"/>
              <w:rPr>
                <w:sz w:val="1"/>
                <w:szCs w:val="1"/>
                <w:color w:val="auto"/>
              </w:rPr>
            </w:pPr>
          </w:p>
        </w:tc>
      </w:tr>
      <w:tr>
        <w:trPr>
          <w:trHeight w:val="203"/>
        </w:trPr>
        <w:tc>
          <w:tcPr>
            <w:tcW w:w="206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5"/>
              </w:rPr>
              <w:t>expense...........................................</w:t>
            </w:r>
          </w:p>
        </w:tc>
        <w:tc>
          <w:tcPr>
            <w:tcW w:w="4000" w:type="dxa"/>
            <w:vAlign w:val="bottom"/>
          </w:tcPr>
          <w:p>
            <w:pPr>
              <w:jc w:val="center"/>
              <w:ind w:right="1912"/>
              <w:spacing w:after="0" w:line="203" w:lineRule="exact"/>
              <w:rPr>
                <w:sz w:val="20"/>
                <w:szCs w:val="20"/>
                <w:color w:val="auto"/>
              </w:rPr>
            </w:pPr>
            <w:r>
              <w:rPr>
                <w:rFonts w:ascii="Courier New" w:cs="Courier New" w:eastAsia="Courier New" w:hAnsi="Courier New"/>
                <w:sz w:val="18"/>
                <w:szCs w:val="18"/>
                <w:color w:val="auto"/>
                <w:w w:val="95"/>
              </w:rPr>
              <w:t>Prepaid</w:t>
            </w:r>
          </w:p>
        </w:tc>
        <w:tc>
          <w:tcPr>
            <w:tcW w:w="0" w:type="dxa"/>
            <w:vAlign w:val="bottom"/>
          </w:tcPr>
          <w:p>
            <w:pPr>
              <w:spacing w:after="0"/>
              <w:rPr>
                <w:sz w:val="1"/>
                <w:szCs w:val="1"/>
                <w:color w:val="auto"/>
              </w:rPr>
            </w:pPr>
          </w:p>
        </w:tc>
      </w:tr>
      <w:tr>
        <w:trPr>
          <w:trHeight w:val="203"/>
        </w:trPr>
        <w:tc>
          <w:tcPr>
            <w:tcW w:w="2060" w:type="dxa"/>
            <w:vAlign w:val="bottom"/>
            <w:vMerge w:val="continue"/>
          </w:tcPr>
          <w:p>
            <w:pPr>
              <w:spacing w:after="0"/>
              <w:rPr>
                <w:sz w:val="17"/>
                <w:szCs w:val="17"/>
                <w:color w:val="auto"/>
              </w:rPr>
            </w:pPr>
          </w:p>
        </w:tc>
        <w:tc>
          <w:tcPr>
            <w:tcW w:w="4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7,471</w:t>
            </w:r>
          </w:p>
        </w:tc>
        <w:tc>
          <w:tcPr>
            <w:tcW w:w="0" w:type="dxa"/>
            <w:vAlign w:val="bottom"/>
          </w:tcPr>
          <w:p>
            <w:pPr>
              <w:spacing w:after="0"/>
              <w:rPr>
                <w:sz w:val="1"/>
                <w:szCs w:val="1"/>
                <w:color w:val="auto"/>
              </w:rPr>
            </w:pPr>
          </w:p>
        </w:tc>
      </w:tr>
      <w:tr>
        <w:trPr>
          <w:trHeight w:val="203"/>
        </w:trPr>
        <w:tc>
          <w:tcPr>
            <w:tcW w:w="2060" w:type="dxa"/>
            <w:vAlign w:val="bottom"/>
            <w:vMerge w:val="restart"/>
          </w:tcPr>
          <w:p>
            <w:pPr>
              <w:ind w:left="580"/>
              <w:spacing w:after="0"/>
              <w:rPr>
                <w:sz w:val="20"/>
                <w:szCs w:val="20"/>
                <w:color w:val="auto"/>
              </w:rPr>
            </w:pPr>
            <w:r>
              <w:rPr>
                <w:rFonts w:ascii="Courier New" w:cs="Courier New" w:eastAsia="Courier New" w:hAnsi="Courier New"/>
                <w:sz w:val="18"/>
                <w:szCs w:val="18"/>
                <w:color w:val="auto"/>
                <w:w w:val="74"/>
              </w:rPr>
              <w:t>equipment</w:t>
            </w:r>
            <w:r>
              <w:rPr>
                <w:rFonts w:ascii="Courier New" w:cs="Courier New" w:eastAsia="Courier New" w:hAnsi="Courier New"/>
                <w:sz w:val="35"/>
                <w:szCs w:val="35"/>
                <w:color w:val="auto"/>
                <w:w w:val="74"/>
                <w:vertAlign w:val="superscript"/>
              </w:rPr>
              <w:t>-------</w:t>
            </w:r>
          </w:p>
        </w:tc>
        <w:tc>
          <w:tcPr>
            <w:tcW w:w="400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w w:val="98"/>
              </w:rPr>
              <w:t>71,012 Property, plant and</w:t>
            </w:r>
          </w:p>
        </w:tc>
        <w:tc>
          <w:tcPr>
            <w:tcW w:w="0" w:type="dxa"/>
            <w:vAlign w:val="bottom"/>
          </w:tcPr>
          <w:p>
            <w:pPr>
              <w:spacing w:after="0"/>
              <w:rPr>
                <w:sz w:val="1"/>
                <w:szCs w:val="1"/>
                <w:color w:val="auto"/>
              </w:rPr>
            </w:pPr>
          </w:p>
        </w:tc>
      </w:tr>
      <w:tr>
        <w:trPr>
          <w:trHeight w:val="203"/>
        </w:trPr>
        <w:tc>
          <w:tcPr>
            <w:tcW w:w="2060" w:type="dxa"/>
            <w:vAlign w:val="bottom"/>
            <w:vMerge w:val="continue"/>
          </w:tcPr>
          <w:p>
            <w:pPr>
              <w:ind w:left="1540"/>
              <w:spacing w:after="0"/>
              <w:rPr>
                <w:sz w:val="20"/>
                <w:szCs w:val="20"/>
                <w:color w:val="auto"/>
              </w:rPr>
            </w:pPr>
            <w:r>
              <w:rPr>
                <w:rFonts w:ascii="Courier New" w:cs="Courier New" w:eastAsia="Courier New" w:hAnsi="Courier New"/>
                <w:sz w:val="3"/>
                <w:szCs w:val="3"/>
                <w:color w:val="auto"/>
                <w:w w:val="89"/>
              </w:rPr>
              <w:t>...............................</w:t>
            </w:r>
          </w:p>
        </w:tc>
        <w:tc>
          <w:tcPr>
            <w:tcW w:w="4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53,495</w:t>
            </w:r>
          </w:p>
        </w:tc>
        <w:tc>
          <w:tcPr>
            <w:tcW w:w="0" w:type="dxa"/>
            <w:vAlign w:val="bottom"/>
          </w:tcPr>
          <w:p>
            <w:pPr>
              <w:spacing w:after="0"/>
              <w:rPr>
                <w:sz w:val="1"/>
                <w:szCs w:val="1"/>
                <w:color w:val="auto"/>
              </w:rPr>
            </w:pPr>
          </w:p>
        </w:tc>
      </w:tr>
      <w:tr>
        <w:trPr>
          <w:trHeight w:val="203"/>
        </w:trPr>
        <w:tc>
          <w:tcPr>
            <w:tcW w:w="206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7"/>
              </w:rPr>
              <w:t>assets...........................................</w:t>
            </w:r>
          </w:p>
        </w:tc>
        <w:tc>
          <w:tcPr>
            <w:tcW w:w="4000" w:type="dxa"/>
            <w:vAlign w:val="bottom"/>
          </w:tcPr>
          <w:p>
            <w:pPr>
              <w:jc w:val="center"/>
              <w:ind w:right="1912"/>
              <w:spacing w:after="0" w:line="203" w:lineRule="exact"/>
              <w:rPr>
                <w:sz w:val="20"/>
                <w:szCs w:val="20"/>
                <w:color w:val="auto"/>
              </w:rPr>
            </w:pPr>
            <w:r>
              <w:rPr>
                <w:rFonts w:ascii="Courier New" w:cs="Courier New" w:eastAsia="Courier New" w:hAnsi="Courier New"/>
                <w:sz w:val="18"/>
                <w:szCs w:val="18"/>
                <w:color w:val="auto"/>
                <w:w w:val="96"/>
              </w:rPr>
              <w:t>Intangible</w:t>
            </w:r>
          </w:p>
        </w:tc>
        <w:tc>
          <w:tcPr>
            <w:tcW w:w="0" w:type="dxa"/>
            <w:vAlign w:val="bottom"/>
          </w:tcPr>
          <w:p>
            <w:pPr>
              <w:spacing w:after="0"/>
              <w:rPr>
                <w:sz w:val="1"/>
                <w:szCs w:val="1"/>
                <w:color w:val="auto"/>
              </w:rPr>
            </w:pPr>
          </w:p>
        </w:tc>
      </w:tr>
      <w:tr>
        <w:trPr>
          <w:trHeight w:val="203"/>
        </w:trPr>
        <w:tc>
          <w:tcPr>
            <w:tcW w:w="2060" w:type="dxa"/>
            <w:vAlign w:val="bottom"/>
            <w:vMerge w:val="continue"/>
          </w:tcPr>
          <w:p>
            <w:pPr>
              <w:spacing w:after="0"/>
              <w:rPr>
                <w:sz w:val="17"/>
                <w:szCs w:val="17"/>
                <w:color w:val="auto"/>
              </w:rPr>
            </w:pPr>
          </w:p>
        </w:tc>
        <w:tc>
          <w:tcPr>
            <w:tcW w:w="4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384,277</w:t>
            </w:r>
          </w:p>
        </w:tc>
        <w:tc>
          <w:tcPr>
            <w:tcW w:w="0" w:type="dxa"/>
            <w:vAlign w:val="bottom"/>
          </w:tcPr>
          <w:p>
            <w:pPr>
              <w:spacing w:after="0"/>
              <w:rPr>
                <w:sz w:val="1"/>
                <w:szCs w:val="1"/>
                <w:color w:val="auto"/>
              </w:rPr>
            </w:pPr>
          </w:p>
        </w:tc>
      </w:tr>
      <w:tr>
        <w:trPr>
          <w:trHeight w:val="203"/>
        </w:trPr>
        <w:tc>
          <w:tcPr>
            <w:tcW w:w="206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3"/>
              </w:rPr>
              <w:t>taxes.........................................</w:t>
            </w:r>
          </w:p>
        </w:tc>
        <w:tc>
          <w:tcPr>
            <w:tcW w:w="4000" w:type="dxa"/>
            <w:vAlign w:val="bottom"/>
          </w:tcPr>
          <w:p>
            <w:pPr>
              <w:jc w:val="center"/>
              <w:ind w:right="1912"/>
              <w:spacing w:after="0" w:line="203" w:lineRule="exact"/>
              <w:rPr>
                <w:sz w:val="20"/>
                <w:szCs w:val="20"/>
                <w:color w:val="auto"/>
              </w:rPr>
            </w:pPr>
            <w:r>
              <w:rPr>
                <w:rFonts w:ascii="Courier New" w:cs="Courier New" w:eastAsia="Courier New" w:hAnsi="Courier New"/>
                <w:sz w:val="18"/>
                <w:szCs w:val="18"/>
                <w:color w:val="auto"/>
                <w:w w:val="96"/>
              </w:rPr>
              <w:t>Future income</w:t>
            </w:r>
          </w:p>
        </w:tc>
        <w:tc>
          <w:tcPr>
            <w:tcW w:w="0" w:type="dxa"/>
            <w:vAlign w:val="bottom"/>
          </w:tcPr>
          <w:p>
            <w:pPr>
              <w:spacing w:after="0"/>
              <w:rPr>
                <w:sz w:val="1"/>
                <w:szCs w:val="1"/>
                <w:color w:val="auto"/>
              </w:rPr>
            </w:pPr>
          </w:p>
        </w:tc>
      </w:tr>
      <w:tr>
        <w:trPr>
          <w:trHeight w:val="203"/>
        </w:trPr>
        <w:tc>
          <w:tcPr>
            <w:tcW w:w="2060" w:type="dxa"/>
            <w:vAlign w:val="bottom"/>
            <w:vMerge w:val="continue"/>
          </w:tcPr>
          <w:p>
            <w:pPr>
              <w:spacing w:after="0"/>
              <w:rPr>
                <w:sz w:val="17"/>
                <w:szCs w:val="17"/>
                <w:color w:val="auto"/>
              </w:rPr>
            </w:pPr>
          </w:p>
        </w:tc>
        <w:tc>
          <w:tcPr>
            <w:tcW w:w="4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10,082</w:t>
            </w:r>
          </w:p>
        </w:tc>
        <w:tc>
          <w:tcPr>
            <w:tcW w:w="0" w:type="dxa"/>
            <w:vAlign w:val="bottom"/>
          </w:tcPr>
          <w:p>
            <w:pPr>
              <w:spacing w:after="0"/>
              <w:rPr>
                <w:sz w:val="1"/>
                <w:szCs w:val="1"/>
                <w:color w:val="auto"/>
              </w:rPr>
            </w:pPr>
          </w:p>
        </w:tc>
      </w:tr>
      <w:tr>
        <w:trPr>
          <w:trHeight w:val="203"/>
        </w:trPr>
        <w:tc>
          <w:tcPr>
            <w:tcW w:w="206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0"/>
              </w:rPr>
              <w:t>asset.......................................</w:t>
            </w:r>
          </w:p>
        </w:tc>
        <w:tc>
          <w:tcPr>
            <w:tcW w:w="4000" w:type="dxa"/>
            <w:vAlign w:val="bottom"/>
          </w:tcPr>
          <w:p>
            <w:pPr>
              <w:jc w:val="center"/>
              <w:ind w:right="1892"/>
              <w:spacing w:after="0" w:line="203" w:lineRule="exact"/>
              <w:rPr>
                <w:sz w:val="20"/>
                <w:szCs w:val="20"/>
                <w:color w:val="auto"/>
              </w:rPr>
            </w:pPr>
            <w:r>
              <w:rPr>
                <w:rFonts w:ascii="Courier New" w:cs="Courier New" w:eastAsia="Courier New" w:hAnsi="Courier New"/>
                <w:sz w:val="18"/>
                <w:szCs w:val="18"/>
                <w:color w:val="auto"/>
                <w:w w:val="97"/>
              </w:rPr>
              <w:t>Accrued benefit</w:t>
            </w:r>
          </w:p>
        </w:tc>
        <w:tc>
          <w:tcPr>
            <w:tcW w:w="0" w:type="dxa"/>
            <w:vAlign w:val="bottom"/>
          </w:tcPr>
          <w:p>
            <w:pPr>
              <w:spacing w:after="0"/>
              <w:rPr>
                <w:sz w:val="1"/>
                <w:szCs w:val="1"/>
                <w:color w:val="auto"/>
              </w:rPr>
            </w:pPr>
          </w:p>
        </w:tc>
      </w:tr>
      <w:tr>
        <w:trPr>
          <w:trHeight w:val="235"/>
        </w:trPr>
        <w:tc>
          <w:tcPr>
            <w:tcW w:w="2060" w:type="dxa"/>
            <w:vAlign w:val="bottom"/>
            <w:vMerge w:val="continue"/>
          </w:tcPr>
          <w:p>
            <w:pPr>
              <w:spacing w:after="0"/>
              <w:rPr>
                <w:sz w:val="20"/>
                <w:szCs w:val="20"/>
                <w:color w:val="auto"/>
              </w:rPr>
            </w:pPr>
          </w:p>
        </w:tc>
        <w:tc>
          <w:tcPr>
            <w:tcW w:w="4000" w:type="dxa"/>
            <w:vAlign w:val="bottom"/>
          </w:tcPr>
          <w:p>
            <w:pPr>
              <w:jc w:val="right"/>
              <w:spacing w:after="0"/>
              <w:rPr>
                <w:sz w:val="20"/>
                <w:szCs w:val="20"/>
                <w:color w:val="auto"/>
              </w:rPr>
            </w:pPr>
            <w:r>
              <w:rPr>
                <w:rFonts w:ascii="Courier New" w:cs="Courier New" w:eastAsia="Courier New" w:hAnsi="Courier New"/>
                <w:sz w:val="18"/>
                <w:szCs w:val="18"/>
                <w:color w:val="auto"/>
              </w:rPr>
              <w:t>3,046 ------</w:t>
            </w:r>
          </w:p>
        </w:tc>
        <w:tc>
          <w:tcPr>
            <w:tcW w:w="0" w:type="dxa"/>
            <w:vAlign w:val="bottom"/>
          </w:tcPr>
          <w:p>
            <w:pPr>
              <w:spacing w:after="0"/>
              <w:rPr>
                <w:sz w:val="1"/>
                <w:szCs w:val="1"/>
                <w:color w:val="auto"/>
              </w:rPr>
            </w:pPr>
          </w:p>
        </w:tc>
      </w:tr>
    </w:tbl>
    <w:p>
      <w:pPr>
        <w:ind w:left="680" w:hanging="201"/>
        <w:spacing w:after="0" w:line="238" w:lineRule="auto"/>
        <w:tabs>
          <w:tab w:leader="none" w:pos="68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521,912 ======= LIABILITIES Current liabilities</w:t>
      </w: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payable and accrued</w:t>
      </w:r>
    </w:p>
    <w:p>
      <w:pPr>
        <w:spacing w:after="0" w:line="171" w:lineRule="exact"/>
        <w:rPr>
          <w:sz w:val="20"/>
          <w:szCs w:val="20"/>
          <w:color w:val="auto"/>
        </w:rPr>
      </w:pPr>
    </w:p>
    <w:p>
      <w:pPr>
        <w:ind w:left="60" w:right="4159" w:firstLine="158"/>
        <w:spacing w:after="0" w:line="243" w:lineRule="auto"/>
        <w:rPr>
          <w:sz w:val="20"/>
          <w:szCs w:val="20"/>
          <w:color w:val="auto"/>
        </w:rPr>
      </w:pPr>
      <w:r>
        <w:rPr>
          <w:rFonts w:ascii="Courier New" w:cs="Courier New" w:eastAsia="Courier New" w:hAnsi="Courier New"/>
          <w:sz w:val="18"/>
          <w:szCs w:val="18"/>
          <w:color w:val="auto"/>
        </w:rPr>
        <w:t>liabilities.................. 155,110 Income and other taxes payable............................ 8,241 Current portion of loan payable........................... 2,976 Current portion of obligation under capital leases........ 27,740 Other current liabilities................................. 4,920 ------ - 198,987 Convertible debentures due to related party................. 36,281 Loan</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349"/>
        </w:trPr>
        <w:tc>
          <w:tcPr>
            <w:tcW w:w="1420" w:type="dxa"/>
            <w:vAlign w:val="bottom"/>
          </w:tcPr>
          <w:p>
            <w:pPr>
              <w:jc w:val="right"/>
              <w:spacing w:after="0"/>
              <w:rPr>
                <w:sz w:val="20"/>
                <w:szCs w:val="20"/>
                <w:color w:val="auto"/>
              </w:rPr>
            </w:pPr>
            <w:r>
              <w:rPr>
                <w:rFonts w:ascii="Courier New" w:cs="Courier New" w:eastAsia="Courier New" w:hAnsi="Courier New"/>
                <w:sz w:val="3"/>
                <w:szCs w:val="3"/>
                <w:color w:val="auto"/>
                <w:w w:val="83"/>
              </w:rPr>
              <w:t>payable</w:t>
            </w:r>
            <w:r>
              <w:rPr>
                <w:rFonts w:ascii="Courier New" w:cs="Courier New" w:eastAsia="Courier New" w:hAnsi="Courier New"/>
                <w:sz w:val="6"/>
                <w:szCs w:val="6"/>
                <w:color w:val="auto"/>
                <w:w w:val="83"/>
                <w:vertAlign w:val="subscript"/>
              </w:rPr>
              <w:t>.............................</w:t>
            </w:r>
            <w:r>
              <w:rPr>
                <w:rFonts w:ascii="Courier New" w:cs="Courier New" w:eastAsia="Courier New" w:hAnsi="Courier New"/>
                <w:sz w:val="3"/>
                <w:szCs w:val="3"/>
                <w:color w:val="auto"/>
                <w:w w:val="83"/>
              </w:rPr>
              <w:t>................................................</w:t>
            </w:r>
          </w:p>
        </w:tc>
        <w:tc>
          <w:tcPr>
            <w:tcW w:w="4580" w:type="dxa"/>
            <w:vAlign w:val="bottom"/>
            <w:gridSpan w:val="2"/>
            <w:vMerge w:val="restart"/>
          </w:tcPr>
          <w:p>
            <w:pPr>
              <w:jc w:val="center"/>
              <w:ind w:right="1332"/>
              <w:spacing w:after="0"/>
              <w:rPr>
                <w:sz w:val="20"/>
                <w:szCs w:val="20"/>
                <w:color w:val="auto"/>
              </w:rPr>
            </w:pPr>
            <w:r>
              <w:rPr>
                <w:rFonts w:ascii="Courier New" w:cs="Courier New" w:eastAsia="Courier New" w:hAnsi="Courier New"/>
                <w:sz w:val="18"/>
                <w:szCs w:val="18"/>
                <w:color w:val="auto"/>
                <w:w w:val="97"/>
              </w:rPr>
              <w:t>1,529 Obligation under capital</w:t>
            </w:r>
          </w:p>
        </w:tc>
        <w:tc>
          <w:tcPr>
            <w:tcW w:w="0" w:type="dxa"/>
            <w:vAlign w:val="bottom"/>
          </w:tcPr>
          <w:p>
            <w:pPr>
              <w:spacing w:after="0"/>
              <w:rPr>
                <w:sz w:val="1"/>
                <w:szCs w:val="1"/>
                <w:color w:val="auto"/>
              </w:rPr>
            </w:pPr>
          </w:p>
        </w:tc>
      </w:tr>
      <w:tr>
        <w:trPr>
          <w:trHeight w:val="24"/>
        </w:trPr>
        <w:tc>
          <w:tcPr>
            <w:tcW w:w="1420" w:type="dxa"/>
            <w:vAlign w:val="bottom"/>
            <w:vMerge w:val="restart"/>
          </w:tcPr>
          <w:p>
            <w:pPr>
              <w:jc w:val="right"/>
              <w:ind w:right="677"/>
              <w:spacing w:after="0"/>
              <w:rPr>
                <w:sz w:val="20"/>
                <w:szCs w:val="20"/>
                <w:color w:val="auto"/>
              </w:rPr>
            </w:pPr>
            <w:r>
              <w:rPr>
                <w:rFonts w:ascii="Courier New" w:cs="Courier New" w:eastAsia="Courier New" w:hAnsi="Courier New"/>
                <w:sz w:val="18"/>
                <w:szCs w:val="18"/>
                <w:color w:val="auto"/>
              </w:rPr>
              <w:t>leases</w:t>
            </w:r>
          </w:p>
        </w:tc>
        <w:tc>
          <w:tcPr>
            <w:tcW w:w="45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20" w:type="dxa"/>
            <w:vAlign w:val="bottom"/>
            <w:vMerge w:val="continue"/>
          </w:tcPr>
          <w:p>
            <w:pPr>
              <w:spacing w:after="0"/>
              <w:rPr>
                <w:sz w:val="17"/>
                <w:szCs w:val="17"/>
                <w:color w:val="auto"/>
              </w:rPr>
            </w:pPr>
          </w:p>
        </w:tc>
        <w:tc>
          <w:tcPr>
            <w:tcW w:w="2420" w:type="dxa"/>
            <w:vAlign w:val="bottom"/>
          </w:tcPr>
          <w:p>
            <w:pPr>
              <w:spacing w:after="0"/>
              <w:rPr>
                <w:sz w:val="17"/>
                <w:szCs w:val="17"/>
                <w:color w:val="auto"/>
              </w:rPr>
            </w:pP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25,179 Future income</w:t>
            </w:r>
          </w:p>
        </w:tc>
        <w:tc>
          <w:tcPr>
            <w:tcW w:w="0" w:type="dxa"/>
            <w:vAlign w:val="bottom"/>
          </w:tcPr>
          <w:p>
            <w:pPr>
              <w:spacing w:after="0"/>
              <w:rPr>
                <w:sz w:val="1"/>
                <w:szCs w:val="1"/>
                <w:color w:val="auto"/>
              </w:rPr>
            </w:pPr>
          </w:p>
        </w:tc>
      </w:tr>
      <w:tr>
        <w:trPr>
          <w:trHeight w:val="381"/>
        </w:trPr>
        <w:tc>
          <w:tcPr>
            <w:tcW w:w="1420" w:type="dxa"/>
            <w:vAlign w:val="bottom"/>
          </w:tcPr>
          <w:p>
            <w:pPr>
              <w:jc w:val="right"/>
              <w:spacing w:after="0"/>
              <w:rPr>
                <w:sz w:val="20"/>
                <w:szCs w:val="20"/>
                <w:color w:val="auto"/>
              </w:rPr>
            </w:pPr>
            <w:r>
              <w:rPr>
                <w:rFonts w:ascii="Courier New" w:cs="Courier New" w:eastAsia="Courier New" w:hAnsi="Courier New"/>
                <w:sz w:val="3"/>
                <w:szCs w:val="3"/>
                <w:color w:val="auto"/>
                <w:w w:val="83"/>
              </w:rPr>
              <w:t>taxes.........................................</w:t>
            </w:r>
            <w:r>
              <w:rPr>
                <w:rFonts w:ascii="Courier New" w:cs="Courier New" w:eastAsia="Courier New" w:hAnsi="Courier New"/>
                <w:sz w:val="6"/>
                <w:szCs w:val="6"/>
                <w:color w:val="auto"/>
                <w:w w:val="83"/>
                <w:vertAlign w:val="subscript"/>
              </w:rPr>
              <w:t>...................................</w:t>
            </w:r>
          </w:p>
        </w:tc>
        <w:tc>
          <w:tcPr>
            <w:tcW w:w="2420" w:type="dxa"/>
            <w:vAlign w:val="bottom"/>
            <w:vMerge w:val="restart"/>
          </w:tcPr>
          <w:p>
            <w:pPr>
              <w:jc w:val="center"/>
              <w:ind w:left="672"/>
              <w:spacing w:after="0"/>
              <w:rPr>
                <w:sz w:val="20"/>
                <w:szCs w:val="20"/>
                <w:color w:val="auto"/>
              </w:rPr>
            </w:pPr>
            <w:r>
              <w:rPr>
                <w:rFonts w:ascii="Courier New" w:cs="Courier New" w:eastAsia="Courier New" w:hAnsi="Courier New"/>
                <w:sz w:val="18"/>
                <w:szCs w:val="18"/>
                <w:color w:val="auto"/>
                <w:w w:val="97"/>
              </w:rPr>
              <w:t>Accrued benefit</w:t>
            </w:r>
          </w:p>
        </w:tc>
        <w:tc>
          <w:tcPr>
            <w:tcW w:w="2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39,493</w:t>
            </w:r>
          </w:p>
        </w:tc>
        <w:tc>
          <w:tcPr>
            <w:tcW w:w="0" w:type="dxa"/>
            <w:vAlign w:val="bottom"/>
          </w:tcPr>
          <w:p>
            <w:pPr>
              <w:spacing w:after="0"/>
              <w:rPr>
                <w:sz w:val="1"/>
                <w:szCs w:val="1"/>
                <w:color w:val="auto"/>
              </w:rPr>
            </w:pPr>
          </w:p>
        </w:tc>
      </w:tr>
      <w:tr>
        <w:trPr>
          <w:trHeight w:val="118"/>
        </w:trPr>
        <w:tc>
          <w:tcPr>
            <w:tcW w:w="1420" w:type="dxa"/>
            <w:vAlign w:val="bottom"/>
            <w:vMerge w:val="restart"/>
          </w:tcPr>
          <w:p>
            <w:pPr>
              <w:jc w:val="right"/>
              <w:ind w:right="417"/>
              <w:spacing w:after="0"/>
              <w:rPr>
                <w:sz w:val="20"/>
                <w:szCs w:val="20"/>
                <w:color w:val="auto"/>
              </w:rPr>
            </w:pPr>
            <w:r>
              <w:rPr>
                <w:rFonts w:ascii="Courier New" w:cs="Courier New" w:eastAsia="Courier New" w:hAnsi="Courier New"/>
                <w:sz w:val="18"/>
                <w:szCs w:val="18"/>
                <w:color w:val="auto"/>
                <w:w w:val="94"/>
              </w:rPr>
              <w:t>liability</w:t>
            </w:r>
          </w:p>
        </w:tc>
        <w:tc>
          <w:tcPr>
            <w:tcW w:w="2420" w:type="dxa"/>
            <w:vAlign w:val="bottom"/>
            <w:vMerge w:val="continue"/>
          </w:tcPr>
          <w:p>
            <w:pPr>
              <w:spacing w:after="0"/>
              <w:rPr>
                <w:sz w:val="10"/>
                <w:szCs w:val="10"/>
                <w:color w:val="auto"/>
              </w:rPr>
            </w:pPr>
          </w:p>
        </w:tc>
        <w:tc>
          <w:tcPr>
            <w:tcW w:w="216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95"/>
              </w:rPr>
              <w:t>10,318 Other</w:t>
            </w:r>
          </w:p>
        </w:tc>
        <w:tc>
          <w:tcPr>
            <w:tcW w:w="0" w:type="dxa"/>
            <w:vAlign w:val="bottom"/>
          </w:tcPr>
          <w:p>
            <w:pPr>
              <w:spacing w:after="0"/>
              <w:rPr>
                <w:sz w:val="1"/>
                <w:szCs w:val="1"/>
                <w:color w:val="auto"/>
              </w:rPr>
            </w:pPr>
          </w:p>
        </w:tc>
      </w:tr>
      <w:tr>
        <w:trPr>
          <w:trHeight w:val="109"/>
        </w:trPr>
        <w:tc>
          <w:tcPr>
            <w:tcW w:w="1420" w:type="dxa"/>
            <w:vAlign w:val="bottom"/>
            <w:vMerge w:val="continue"/>
          </w:tcPr>
          <w:p>
            <w:pPr>
              <w:spacing w:after="0"/>
              <w:rPr>
                <w:sz w:val="9"/>
                <w:szCs w:val="9"/>
                <w:color w:val="auto"/>
              </w:rPr>
            </w:pPr>
          </w:p>
        </w:tc>
        <w:tc>
          <w:tcPr>
            <w:tcW w:w="2420" w:type="dxa"/>
            <w:vAlign w:val="bottom"/>
          </w:tcPr>
          <w:p>
            <w:pPr>
              <w:spacing w:after="0"/>
              <w:rPr>
                <w:sz w:val="9"/>
                <w:szCs w:val="9"/>
                <w:color w:val="auto"/>
              </w:rPr>
            </w:pPr>
          </w:p>
        </w:tc>
        <w:tc>
          <w:tcPr>
            <w:tcW w:w="2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long-term liabilities.................................</w:t>
            </w:r>
          </w:p>
        </w:tc>
        <w:tc>
          <w:tcPr>
            <w:tcW w:w="2160" w:type="dxa"/>
            <w:vAlign w:val="bottom"/>
            <w:vMerge w:val="restart"/>
          </w:tcPr>
          <w:p>
            <w:pPr>
              <w:spacing w:after="0"/>
              <w:rPr>
                <w:sz w:val="20"/>
                <w:szCs w:val="20"/>
                <w:color w:val="auto"/>
              </w:rPr>
            </w:pPr>
            <w:r>
              <w:rPr>
                <w:rFonts w:ascii="Courier New" w:cs="Courier New" w:eastAsia="Courier New" w:hAnsi="Courier New"/>
                <w:sz w:val="18"/>
                <w:szCs w:val="18"/>
                <w:color w:val="auto"/>
              </w:rPr>
              <w:t>Commitments and</w:t>
            </w:r>
          </w:p>
        </w:tc>
        <w:tc>
          <w:tcPr>
            <w:tcW w:w="0" w:type="dxa"/>
            <w:vAlign w:val="bottom"/>
          </w:tcPr>
          <w:p>
            <w:pPr>
              <w:spacing w:after="0"/>
              <w:rPr>
                <w:sz w:val="1"/>
                <w:szCs w:val="1"/>
                <w:color w:val="auto"/>
              </w:rPr>
            </w:pPr>
          </w:p>
        </w:tc>
      </w:tr>
      <w:tr>
        <w:trPr>
          <w:trHeight w:val="235"/>
        </w:trPr>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2"/>
              </w:rPr>
              <w:t>25,136 -------</w:t>
            </w:r>
          </w:p>
        </w:tc>
        <w:tc>
          <w:tcPr>
            <w:tcW w:w="2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336,923 -------</w:t>
            </w: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Courier New" w:cs="Courier New" w:eastAsia="Courier New" w:hAnsi="Courier New"/>
          <w:sz w:val="16"/>
          <w:szCs w:val="16"/>
          <w:color w:val="auto"/>
        </w:rPr>
        <w:t>contingencies SHAREHOLDERS' EQUITY Option on convertible</w:t>
      </w:r>
    </w:p>
    <w:tbl>
      <w:tblPr>
        <w:tblLayout w:type="fixed"/>
        <w:tblInd w:w="120" w:type="dxa"/>
        <w:tblCellMar>
          <w:top w:w="0" w:type="dxa"/>
          <w:left w:w="0" w:type="dxa"/>
          <w:bottom w:w="0" w:type="dxa"/>
          <w:right w:w="0" w:type="dxa"/>
        </w:tblCellMar>
      </w:tblPr>
      <w:tr>
        <w:trPr>
          <w:trHeight w:val="192"/>
        </w:trPr>
        <w:tc>
          <w:tcPr>
            <w:tcW w:w="4000" w:type="dxa"/>
            <w:vAlign w:val="bottom"/>
            <w:gridSpan w:val="2"/>
          </w:tcPr>
          <w:p>
            <w:pPr>
              <w:jc w:val="right"/>
              <w:spacing w:after="0" w:line="192" w:lineRule="exact"/>
              <w:rPr>
                <w:sz w:val="20"/>
                <w:szCs w:val="20"/>
                <w:color w:val="auto"/>
              </w:rPr>
            </w:pPr>
            <w:r>
              <w:rPr>
                <w:rFonts w:ascii="Courier New" w:cs="Courier New" w:eastAsia="Courier New" w:hAnsi="Courier New"/>
                <w:sz w:val="18"/>
                <w:szCs w:val="18"/>
                <w:color w:val="auto"/>
              </w:rPr>
              <w:t>debentures due to related party.....</w:t>
            </w:r>
          </w:p>
        </w:tc>
        <w:tc>
          <w:tcPr>
            <w:tcW w:w="1900" w:type="dxa"/>
            <w:vAlign w:val="bottom"/>
          </w:tcPr>
          <w:p>
            <w:pPr>
              <w:jc w:val="right"/>
              <w:ind w:right="232"/>
              <w:spacing w:after="0" w:line="192" w:lineRule="exact"/>
              <w:rPr>
                <w:sz w:val="20"/>
                <w:szCs w:val="20"/>
                <w:color w:val="auto"/>
              </w:rPr>
            </w:pPr>
            <w:r>
              <w:rPr>
                <w:rFonts w:ascii="Courier New" w:cs="Courier New" w:eastAsia="Courier New" w:hAnsi="Courier New"/>
                <w:sz w:val="18"/>
                <w:szCs w:val="18"/>
                <w:color w:val="auto"/>
              </w:rPr>
              <w:t>37,960 Common</w:t>
            </w:r>
          </w:p>
        </w:tc>
        <w:tc>
          <w:tcPr>
            <w:tcW w:w="0" w:type="dxa"/>
            <w:vAlign w:val="bottom"/>
          </w:tcPr>
          <w:p>
            <w:pPr>
              <w:spacing w:after="0"/>
              <w:rPr>
                <w:sz w:val="1"/>
                <w:szCs w:val="1"/>
                <w:color w:val="auto"/>
              </w:rPr>
            </w:pPr>
          </w:p>
        </w:tc>
      </w:tr>
      <w:tr>
        <w:trPr>
          <w:trHeight w:val="203"/>
        </w:trPr>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shares.............................................</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jc w:val="right"/>
              <w:spacing w:after="0" w:line="202" w:lineRule="exact"/>
              <w:rPr>
                <w:sz w:val="20"/>
                <w:szCs w:val="20"/>
                <w:color w:val="auto"/>
              </w:rPr>
            </w:pPr>
            <w:r>
              <w:rPr>
                <w:rFonts w:ascii="Courier New" w:cs="Courier New" w:eastAsia="Courier New" w:hAnsi="Courier New"/>
                <w:sz w:val="13"/>
                <w:szCs w:val="13"/>
                <w:color w:val="auto"/>
                <w:w w:val="86"/>
              </w:rPr>
              <w:t>.........................................</w:t>
            </w:r>
            <w:r>
              <w:rPr>
                <w:rFonts w:ascii="Courier New" w:cs="Courier New" w:eastAsia="Courier New" w:hAnsi="Courier New"/>
                <w:sz w:val="23"/>
                <w:szCs w:val="23"/>
                <w:color w:val="auto"/>
                <w:w w:val="86"/>
                <w:vertAlign w:val="superscript"/>
              </w:rPr>
              <w:t>102,169Retained</w:t>
            </w:r>
          </w:p>
        </w:tc>
        <w:tc>
          <w:tcPr>
            <w:tcW w:w="1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44,860</w:t>
            </w:r>
          </w:p>
        </w:tc>
        <w:tc>
          <w:tcPr>
            <w:tcW w:w="0" w:type="dxa"/>
            <w:vAlign w:val="bottom"/>
          </w:tcPr>
          <w:p>
            <w:pPr>
              <w:spacing w:after="0"/>
              <w:rPr>
                <w:sz w:val="1"/>
                <w:szCs w:val="1"/>
                <w:color w:val="auto"/>
              </w:rPr>
            </w:pPr>
          </w:p>
        </w:tc>
      </w:tr>
      <w:tr>
        <w:trPr>
          <w:trHeight w:val="203"/>
        </w:trPr>
        <w:tc>
          <w:tcPr>
            <w:tcW w:w="3420" w:type="dxa"/>
            <w:vAlign w:val="bottom"/>
          </w:tcPr>
          <w:p>
            <w:pPr>
              <w:jc w:val="right"/>
              <w:ind w:right="2496"/>
              <w:spacing w:after="0" w:line="203" w:lineRule="exact"/>
              <w:rPr>
                <w:sz w:val="20"/>
                <w:szCs w:val="20"/>
                <w:color w:val="auto"/>
              </w:rPr>
            </w:pPr>
            <w:r>
              <w:rPr>
                <w:rFonts w:ascii="Courier New" w:cs="Courier New" w:eastAsia="Courier New" w:hAnsi="Courier New"/>
                <w:sz w:val="18"/>
                <w:szCs w:val="18"/>
                <w:color w:val="auto"/>
                <w:w w:val="94"/>
              </w:rPr>
              <w:t>earnings</w:t>
            </w:r>
          </w:p>
        </w:tc>
        <w:tc>
          <w:tcPr>
            <w:tcW w:w="58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420" w:type="dxa"/>
            <w:vAlign w:val="bottom"/>
          </w:tcPr>
          <w:p>
            <w:pPr>
              <w:jc w:val="right"/>
              <w:ind w:right="36"/>
              <w:spacing w:after="0"/>
              <w:rPr>
                <w:sz w:val="20"/>
                <w:szCs w:val="20"/>
                <w:color w:val="auto"/>
              </w:rPr>
            </w:pPr>
            <w:r>
              <w:rPr>
                <w:rFonts w:ascii="Courier New" w:cs="Courier New" w:eastAsia="Courier New" w:hAnsi="Courier New"/>
                <w:sz w:val="18"/>
                <w:szCs w:val="18"/>
                <w:color w:val="auto"/>
              </w:rPr>
              <w:t>------- 184,989 -------</w:t>
            </w:r>
          </w:p>
        </w:tc>
        <w:tc>
          <w:tcPr>
            <w:tcW w:w="2480" w:type="dxa"/>
            <w:vAlign w:val="bottom"/>
            <w:gridSpan w:val="2"/>
          </w:tcPr>
          <w:p>
            <w:pPr>
              <w:jc w:val="right"/>
              <w:ind w:right="812"/>
              <w:spacing w:after="0"/>
              <w:rPr>
                <w:sz w:val="20"/>
                <w:szCs w:val="20"/>
                <w:color w:val="auto"/>
              </w:rPr>
            </w:pPr>
            <w:r>
              <w:rPr>
                <w:rFonts w:ascii="Courier New" w:cs="Courier New" w:eastAsia="Courier New" w:hAnsi="Courier New"/>
                <w:sz w:val="18"/>
                <w:szCs w:val="18"/>
                <w:color w:val="auto"/>
                <w:w w:val="96"/>
              </w:rPr>
              <w:t>521,912 =======</w:t>
            </w:r>
          </w:p>
        </w:tc>
        <w:tc>
          <w:tcPr>
            <w:tcW w:w="0" w:type="dxa"/>
            <w:vAlign w:val="bottom"/>
          </w:tcPr>
          <w:p>
            <w:pPr>
              <w:spacing w:after="0"/>
              <w:rPr>
                <w:sz w:val="1"/>
                <w:szCs w:val="1"/>
                <w:color w:val="auto"/>
              </w:rPr>
            </w:pPr>
          </w:p>
        </w:tc>
      </w:tr>
      <w:tr>
        <w:trPr>
          <w:trHeight w:val="608"/>
        </w:trPr>
        <w:tc>
          <w:tcPr>
            <w:tcW w:w="3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00" w:type="dxa"/>
            <w:vAlign w:val="bottom"/>
          </w:tcPr>
          <w:p>
            <w:pPr>
              <w:jc w:val="center"/>
              <w:ind w:right="1392"/>
              <w:spacing w:after="0"/>
              <w:rPr>
                <w:sz w:val="20"/>
                <w:szCs w:val="20"/>
                <w:color w:val="auto"/>
              </w:rPr>
            </w:pPr>
            <w:r>
              <w:rPr>
                <w:rFonts w:ascii="Courier New" w:cs="Courier New" w:eastAsia="Courier New" w:hAnsi="Courier New"/>
                <w:sz w:val="18"/>
                <w:szCs w:val="18"/>
                <w:color w:val="auto"/>
                <w:w w:val="97"/>
              </w:rPr>
              <w:t>F-60</w:t>
            </w: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141" w:name="page142"/>
    <w:bookmarkEnd w:id="141"/>
    <w:p>
      <w:pPr>
        <w:jc w:val="center"/>
        <w:ind w:right="1879"/>
        <w:spacing w:after="0"/>
        <w:rPr>
          <w:sz w:val="20"/>
          <w:szCs w:val="20"/>
          <w:color w:val="auto"/>
        </w:rPr>
      </w:pPr>
      <w:r>
        <w:rPr>
          <w:rFonts w:ascii="Courier New" w:cs="Courier New" w:eastAsia="Courier New" w:hAnsi="Courier New"/>
          <w:sz w:val="18"/>
          <w:szCs w:val="18"/>
          <w:color w:val="auto"/>
        </w:rPr>
        <w:t>CERTEN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STATEMENT OF CASH FLOWS SIX-MONTH PERIOD ENDED JUNE 30, 2003</w:t>
      </w:r>
    </w:p>
    <w:p>
      <w:pPr>
        <w:spacing w:after="0" w:line="5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 OF CANADIAN DOLLARS)</w:t>
      </w:r>
    </w:p>
    <w:p>
      <w:pPr>
        <w:spacing w:after="0" w:line="169" w:lineRule="exact"/>
        <w:rPr>
          <w:sz w:val="20"/>
          <w:szCs w:val="20"/>
          <w:color w:val="auto"/>
        </w:rPr>
      </w:pPr>
    </w:p>
    <w:p>
      <w:pPr>
        <w:ind w:left="60" w:right="4479" w:firstLine="211"/>
        <w:spacing w:after="0" w:line="289" w:lineRule="auto"/>
        <w:tabs>
          <w:tab w:leader="none" w:pos="482"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(UNAUDITED) OPERATING ACTIVITIES Net loss..................................................</w:t>
      </w:r>
    </w:p>
    <w:p>
      <w:pPr>
        <w:jc w:val="center"/>
        <w:ind w:right="4419"/>
        <w:spacing w:after="0"/>
        <w:rPr>
          <w:sz w:val="20"/>
          <w:szCs w:val="20"/>
          <w:color w:val="auto"/>
        </w:rPr>
      </w:pPr>
      <w:r>
        <w:rPr>
          <w:rFonts w:ascii="Courier New" w:cs="Courier New" w:eastAsia="Courier New" w:hAnsi="Courier New"/>
          <w:sz w:val="18"/>
          <w:szCs w:val="18"/>
          <w:color w:val="auto"/>
        </w:rPr>
        <w:t>(6,208) Adjustments for:</w:t>
      </w:r>
    </w:p>
    <w:p>
      <w:pPr>
        <w:spacing w:after="0" w:line="238" w:lineRule="auto"/>
        <w:rPr>
          <w:sz w:val="20"/>
          <w:szCs w:val="20"/>
          <w:color w:val="auto"/>
        </w:rPr>
      </w:pPr>
      <w:r>
        <w:rPr>
          <w:rFonts w:ascii="Courier New" w:cs="Courier New" w:eastAsia="Courier New" w:hAnsi="Courier New"/>
          <w:sz w:val="18"/>
          <w:szCs w:val="18"/>
          <w:color w:val="auto"/>
        </w:rPr>
        <w:t>Amortization...........................................</w:t>
      </w:r>
    </w:p>
    <w:p>
      <w:pPr>
        <w:jc w:val="center"/>
        <w:ind w:right="4419"/>
        <w:spacing w:after="0"/>
        <w:rPr>
          <w:sz w:val="20"/>
          <w:szCs w:val="20"/>
          <w:color w:val="auto"/>
        </w:rPr>
      </w:pPr>
      <w:r>
        <w:rPr>
          <w:rFonts w:ascii="Courier New" w:cs="Courier New" w:eastAsia="Courier New" w:hAnsi="Courier New"/>
          <w:sz w:val="18"/>
          <w:szCs w:val="18"/>
          <w:color w:val="auto"/>
        </w:rPr>
        <w:t>56,453 Accretion on convertible debentures due to</w:t>
      </w:r>
    </w:p>
    <w:p>
      <w:pPr>
        <w:jc w:val="center"/>
        <w:ind w:right="4419"/>
        <w:spacing w:after="0" w:line="238" w:lineRule="auto"/>
        <w:rPr>
          <w:sz w:val="20"/>
          <w:szCs w:val="20"/>
          <w:color w:val="auto"/>
        </w:rPr>
      </w:pPr>
      <w:r>
        <w:rPr>
          <w:rFonts w:ascii="Courier New" w:cs="Courier New" w:eastAsia="Courier New" w:hAnsi="Courier New"/>
          <w:sz w:val="18"/>
          <w:szCs w:val="18"/>
          <w:color w:val="auto"/>
        </w:rPr>
        <w:t>related</w:t>
      </w:r>
    </w:p>
    <w:p>
      <w:pPr>
        <w:ind w:left="60"/>
        <w:spacing w:after="0"/>
        <w:rPr>
          <w:sz w:val="20"/>
          <w:szCs w:val="20"/>
          <w:color w:val="auto"/>
        </w:rPr>
      </w:pPr>
      <w:r>
        <w:rPr>
          <w:rFonts w:ascii="Courier New" w:cs="Courier New" w:eastAsia="Courier New" w:hAnsi="Courier New"/>
          <w:sz w:val="18"/>
          <w:szCs w:val="18"/>
          <w:color w:val="auto"/>
        </w:rPr>
        <w:t>party.................................................</w:t>
      </w:r>
    </w:p>
    <w:p>
      <w:pPr>
        <w:jc w:val="center"/>
        <w:ind w:right="4419"/>
        <w:spacing w:after="0" w:line="238" w:lineRule="auto"/>
        <w:rPr>
          <w:sz w:val="20"/>
          <w:szCs w:val="20"/>
          <w:color w:val="auto"/>
        </w:rPr>
      </w:pPr>
      <w:r>
        <w:rPr>
          <w:rFonts w:ascii="Courier New" w:cs="Courier New" w:eastAsia="Courier New" w:hAnsi="Courier New"/>
          <w:sz w:val="18"/>
          <w:szCs w:val="18"/>
          <w:color w:val="auto"/>
        </w:rPr>
        <w:t>3,054 Gain from sale of property, plant and</w:t>
      </w:r>
    </w:p>
    <w:p>
      <w:pPr>
        <w:ind w:left="1000"/>
        <w:spacing w:after="0"/>
        <w:rPr>
          <w:sz w:val="20"/>
          <w:szCs w:val="20"/>
          <w:color w:val="auto"/>
        </w:rPr>
      </w:pPr>
      <w:r>
        <w:rPr>
          <w:rFonts w:ascii="Courier New" w:cs="Courier New" w:eastAsia="Courier New" w:hAnsi="Courier New"/>
          <w:sz w:val="18"/>
          <w:szCs w:val="18"/>
          <w:color w:val="auto"/>
        </w:rPr>
        <w:t>equipment........ (11) Future income</w:t>
      </w:r>
    </w:p>
    <w:p>
      <w:pPr>
        <w:ind w:left="320"/>
        <w:spacing w:after="0" w:line="238" w:lineRule="auto"/>
        <w:rPr>
          <w:sz w:val="20"/>
          <w:szCs w:val="20"/>
          <w:color w:val="auto"/>
        </w:rPr>
      </w:pPr>
      <w:r>
        <w:rPr>
          <w:rFonts w:ascii="Courier New" w:cs="Courier New" w:eastAsia="Courier New" w:hAnsi="Courier New"/>
          <w:sz w:val="18"/>
          <w:szCs w:val="18"/>
          <w:color w:val="auto"/>
        </w:rPr>
        <w:t>taxes.................................... 691 Net</w:t>
      </w:r>
    </w:p>
    <w:p>
      <w:pPr>
        <w:ind w:left="220"/>
        <w:spacing w:after="0"/>
        <w:rPr>
          <w:sz w:val="20"/>
          <w:szCs w:val="20"/>
          <w:color w:val="auto"/>
        </w:rPr>
      </w:pPr>
      <w:r>
        <w:rPr>
          <w:rFonts w:ascii="Courier New" w:cs="Courier New" w:eastAsia="Courier New" w:hAnsi="Courier New"/>
          <w:sz w:val="18"/>
          <w:szCs w:val="18"/>
          <w:color w:val="auto"/>
        </w:rPr>
        <w:t>benefit plans expense..............................</w:t>
      </w:r>
    </w:p>
    <w:p>
      <w:pPr>
        <w:ind w:left="580"/>
        <w:spacing w:after="0" w:line="238" w:lineRule="auto"/>
        <w:rPr>
          <w:sz w:val="20"/>
          <w:szCs w:val="20"/>
          <w:color w:val="auto"/>
        </w:rPr>
      </w:pPr>
      <w:r>
        <w:rPr>
          <w:rFonts w:ascii="Courier New" w:cs="Courier New" w:eastAsia="Courier New" w:hAnsi="Courier New"/>
          <w:sz w:val="18"/>
          <w:szCs w:val="18"/>
          <w:color w:val="auto"/>
        </w:rPr>
        <w:t>2,139 Net change in non-cash working capital</w:t>
      </w:r>
    </w:p>
    <w:p>
      <w:pPr>
        <w:ind w:left="280"/>
        <w:spacing w:after="0"/>
        <w:rPr>
          <w:sz w:val="20"/>
          <w:szCs w:val="20"/>
          <w:color w:val="auto"/>
        </w:rPr>
      </w:pPr>
      <w:r>
        <w:rPr>
          <w:rFonts w:ascii="Courier New" w:cs="Courier New" w:eastAsia="Courier New" w:hAnsi="Courier New"/>
          <w:sz w:val="18"/>
          <w:szCs w:val="18"/>
          <w:color w:val="auto"/>
        </w:rPr>
        <w:t>items.............. 47,987 ------- 104,105 -------</w:t>
      </w:r>
    </w:p>
    <w:p>
      <w:pPr>
        <w:jc w:val="center"/>
        <w:ind w:right="4419"/>
        <w:spacing w:after="0" w:line="238" w:lineRule="auto"/>
        <w:rPr>
          <w:sz w:val="20"/>
          <w:szCs w:val="20"/>
          <w:color w:val="auto"/>
        </w:rPr>
      </w:pPr>
      <w:r>
        <w:rPr>
          <w:rFonts w:ascii="Courier New" w:cs="Courier New" w:eastAsia="Courier New" w:hAnsi="Courier New"/>
          <w:sz w:val="18"/>
          <w:szCs w:val="18"/>
          <w:color w:val="auto"/>
        </w:rPr>
        <w:t>INVESTING ACTIVITIES Capital</w:t>
      </w:r>
    </w:p>
    <w:p>
      <w:pPr>
        <w:ind w:left="280"/>
        <w:spacing w:after="0"/>
        <w:rPr>
          <w:sz w:val="20"/>
          <w:szCs w:val="20"/>
          <w:color w:val="auto"/>
        </w:rPr>
      </w:pPr>
      <w:r>
        <w:rPr>
          <w:rFonts w:ascii="Courier New" w:cs="Courier New" w:eastAsia="Courier New" w:hAnsi="Courier New"/>
          <w:sz w:val="18"/>
          <w:szCs w:val="18"/>
          <w:color w:val="auto"/>
        </w:rPr>
        <w:t>expenditures......................................</w:t>
      </w:r>
    </w:p>
    <w:p>
      <w:pPr>
        <w:ind w:left="60"/>
        <w:spacing w:after="0" w:line="238" w:lineRule="auto"/>
        <w:rPr>
          <w:sz w:val="20"/>
          <w:szCs w:val="20"/>
          <w:color w:val="auto"/>
        </w:rPr>
      </w:pPr>
      <w:r>
        <w:rPr>
          <w:rFonts w:ascii="Courier New" w:cs="Courier New" w:eastAsia="Courier New" w:hAnsi="Courier New"/>
          <w:sz w:val="18"/>
          <w:szCs w:val="18"/>
          <w:color w:val="auto"/>
        </w:rPr>
        <w:t>(79,311) Proceeds from disposal of property, plant and</w:t>
      </w:r>
    </w:p>
    <w:tbl>
      <w:tblPr>
        <w:tblLayout w:type="fixed"/>
        <w:tblInd w:w="60" w:type="dxa"/>
        <w:tblCellMar>
          <w:top w:w="0" w:type="dxa"/>
          <w:left w:w="0" w:type="dxa"/>
          <w:bottom w:w="0" w:type="dxa"/>
          <w:right w:w="0" w:type="dxa"/>
        </w:tblCellMar>
      </w:tblPr>
      <w:tr>
        <w:trPr>
          <w:trHeight w:val="171"/>
        </w:trPr>
        <w:tc>
          <w:tcPr>
            <w:tcW w:w="1520" w:type="dxa"/>
            <w:vAlign w:val="bottom"/>
          </w:tcPr>
          <w:p>
            <w:pPr>
              <w:jc w:val="right"/>
              <w:ind w:right="28"/>
              <w:spacing w:after="0" w:line="171" w:lineRule="exact"/>
              <w:rPr>
                <w:sz w:val="20"/>
                <w:szCs w:val="20"/>
                <w:color w:val="auto"/>
              </w:rPr>
            </w:pPr>
            <w:r>
              <w:rPr>
                <w:rFonts w:ascii="Courier New" w:cs="Courier New" w:eastAsia="Courier New" w:hAnsi="Courier New"/>
                <w:sz w:val="18"/>
                <w:szCs w:val="18"/>
                <w:color w:val="auto"/>
              </w:rPr>
              <w:t>equipment...</w:t>
            </w:r>
          </w:p>
        </w:tc>
        <w:tc>
          <w:tcPr>
            <w:tcW w:w="4160" w:type="dxa"/>
            <w:vAlign w:val="bottom"/>
            <w:gridSpan w:val="2"/>
          </w:tcPr>
          <w:p>
            <w:pPr>
              <w:jc w:val="right"/>
              <w:ind w:right="52"/>
              <w:spacing w:after="0" w:line="171" w:lineRule="exact"/>
              <w:rPr>
                <w:sz w:val="20"/>
                <w:szCs w:val="20"/>
                <w:color w:val="auto"/>
              </w:rPr>
            </w:pPr>
            <w:r>
              <w:rPr>
                <w:rFonts w:ascii="Courier New" w:cs="Courier New" w:eastAsia="Courier New" w:hAnsi="Courier New"/>
                <w:sz w:val="18"/>
                <w:szCs w:val="18"/>
                <w:color w:val="auto"/>
                <w:w w:val="97"/>
              </w:rPr>
              <w:t>332 ------- (78,979) ------- FINANCING</w:t>
            </w:r>
          </w:p>
        </w:tc>
        <w:tc>
          <w:tcPr>
            <w:tcW w:w="0" w:type="dxa"/>
            <w:vAlign w:val="bottom"/>
          </w:tcPr>
          <w:p>
            <w:pPr>
              <w:spacing w:after="0"/>
              <w:rPr>
                <w:sz w:val="1"/>
                <w:szCs w:val="1"/>
                <w:color w:val="auto"/>
              </w:rPr>
            </w:pPr>
          </w:p>
        </w:tc>
      </w:tr>
      <w:tr>
        <w:trPr>
          <w:trHeight w:val="203"/>
        </w:trPr>
        <w:tc>
          <w:tcPr>
            <w:tcW w:w="5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ACTIVITIES Repayment of capital</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tcPr>
          <w:p>
            <w:pPr>
              <w:jc w:val="right"/>
              <w:spacing w:after="0"/>
              <w:rPr>
                <w:sz w:val="20"/>
                <w:szCs w:val="20"/>
                <w:color w:val="auto"/>
              </w:rPr>
            </w:pPr>
            <w:r>
              <w:rPr>
                <w:rFonts w:ascii="Courier New" w:cs="Courier New" w:eastAsia="Courier New" w:hAnsi="Courier New"/>
                <w:sz w:val="9"/>
                <w:szCs w:val="9"/>
                <w:color w:val="auto"/>
                <w:w w:val="75"/>
              </w:rPr>
              <w:t>leases...............................</w:t>
            </w:r>
          </w:p>
        </w:tc>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(24,358) -------</w:t>
            </w:r>
          </w:p>
        </w:tc>
        <w:tc>
          <w:tcPr>
            <w:tcW w:w="0" w:type="dxa"/>
            <w:vAlign w:val="bottom"/>
          </w:tcPr>
          <w:p>
            <w:pPr>
              <w:spacing w:after="0"/>
              <w:rPr>
                <w:sz w:val="1"/>
                <w:szCs w:val="1"/>
                <w:color w:val="auto"/>
              </w:rPr>
            </w:pPr>
          </w:p>
        </w:tc>
      </w:tr>
      <w:tr>
        <w:trPr>
          <w:trHeight w:val="203"/>
        </w:trPr>
        <w:tc>
          <w:tcPr>
            <w:tcW w:w="50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Net increase in cash and cash</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tcPr>
          <w:p>
            <w:pPr>
              <w:jc w:val="right"/>
              <w:spacing w:after="0"/>
              <w:rPr>
                <w:sz w:val="20"/>
                <w:szCs w:val="20"/>
                <w:color w:val="auto"/>
              </w:rPr>
            </w:pPr>
            <w:r>
              <w:rPr>
                <w:rFonts w:ascii="Courier New" w:cs="Courier New" w:eastAsia="Courier New" w:hAnsi="Courier New"/>
                <w:sz w:val="11"/>
                <w:szCs w:val="11"/>
                <w:color w:val="auto"/>
                <w:w w:val="75"/>
              </w:rPr>
              <w:t>equivalents...................</w:t>
            </w:r>
          </w:p>
        </w:tc>
        <w:tc>
          <w:tcPr>
            <w:tcW w:w="41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768 Cash and cash</w:t>
            </w:r>
          </w:p>
        </w:tc>
        <w:tc>
          <w:tcPr>
            <w:tcW w:w="0" w:type="dxa"/>
            <w:vAlign w:val="bottom"/>
          </w:tcPr>
          <w:p>
            <w:pPr>
              <w:spacing w:after="0"/>
              <w:rPr>
                <w:sz w:val="1"/>
                <w:szCs w:val="1"/>
                <w:color w:val="auto"/>
              </w:rPr>
            </w:pPr>
          </w:p>
        </w:tc>
      </w:tr>
      <w:tr>
        <w:trPr>
          <w:trHeight w:val="203"/>
        </w:trPr>
        <w:tc>
          <w:tcPr>
            <w:tcW w:w="5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equivalents, beginning of period..............</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33,590</w:t>
            </w:r>
          </w:p>
        </w:tc>
        <w:tc>
          <w:tcPr>
            <w:tcW w:w="0" w:type="dxa"/>
            <w:vAlign w:val="bottom"/>
          </w:tcPr>
          <w:p>
            <w:pPr>
              <w:spacing w:after="0"/>
              <w:rPr>
                <w:sz w:val="1"/>
                <w:szCs w:val="1"/>
                <w:color w:val="auto"/>
              </w:rPr>
            </w:pPr>
          </w:p>
        </w:tc>
      </w:tr>
      <w:tr>
        <w:trPr>
          <w:trHeight w:val="203"/>
        </w:trPr>
        <w:tc>
          <w:tcPr>
            <w:tcW w:w="1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75"/>
                <w:vertAlign w:val="superscript"/>
              </w:rPr>
              <w:t>-------</w:t>
            </w:r>
            <w:r>
              <w:rPr>
                <w:rFonts w:ascii="Courier New" w:cs="Courier New" w:eastAsia="Courier New" w:hAnsi="Courier New"/>
                <w:sz w:val="10"/>
                <w:szCs w:val="10"/>
                <w:color w:val="auto"/>
                <w:w w:val="75"/>
              </w:rPr>
              <w:t>PERIOD....................</w:t>
            </w:r>
          </w:p>
        </w:tc>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CASH AND CASH EQUIVALENTS, END OF</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1520" w:type="dxa"/>
            <w:vAlign w:val="bottom"/>
            <w:vMerge w:val="continue"/>
          </w:tcPr>
          <w:p>
            <w:pPr>
              <w:spacing w:after="0"/>
              <w:rPr>
                <w:sz w:val="24"/>
                <w:szCs w:val="24"/>
                <w:color w:val="auto"/>
              </w:rPr>
            </w:pPr>
          </w:p>
        </w:tc>
        <w:tc>
          <w:tcPr>
            <w:tcW w:w="3480" w:type="dxa"/>
            <w:vAlign w:val="bottom"/>
          </w:tcPr>
          <w:p>
            <w:pPr>
              <w:jc w:val="right"/>
              <w:spacing w:after="0"/>
              <w:rPr>
                <w:sz w:val="20"/>
                <w:szCs w:val="20"/>
                <w:color w:val="auto"/>
              </w:rPr>
            </w:pPr>
            <w:r>
              <w:rPr>
                <w:rFonts w:ascii="Courier New" w:cs="Courier New" w:eastAsia="Courier New" w:hAnsi="Courier New"/>
                <w:sz w:val="18"/>
                <w:szCs w:val="18"/>
                <w:color w:val="auto"/>
              </w:rPr>
              <w:t>34,358 =======</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1"/>
        </w:trPr>
        <w:tc>
          <w:tcPr>
            <w:tcW w:w="1520" w:type="dxa"/>
            <w:vAlign w:val="bottom"/>
          </w:tcPr>
          <w:p>
            <w:pPr>
              <w:spacing w:after="0"/>
              <w:rPr>
                <w:sz w:val="24"/>
                <w:szCs w:val="24"/>
                <w:color w:val="auto"/>
              </w:rPr>
            </w:pPr>
          </w:p>
        </w:tc>
        <w:tc>
          <w:tcPr>
            <w:tcW w:w="3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F-61</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142" w:name="page143"/>
    <w:bookmarkEnd w:id="142"/>
    <w:p>
      <w:pPr>
        <w:jc w:val="right"/>
        <w:ind w:right="1779"/>
        <w:spacing w:after="0"/>
        <w:rPr>
          <w:sz w:val="20"/>
          <w:szCs w:val="20"/>
          <w:color w:val="auto"/>
        </w:rPr>
      </w:pPr>
      <w:r>
        <w:rPr>
          <w:rFonts w:ascii="Courier New" w:cs="Courier New" w:eastAsia="Courier New" w:hAnsi="Courier New"/>
          <w:sz w:val="18"/>
          <w:szCs w:val="18"/>
          <w:color w:val="auto"/>
        </w:rPr>
        <w:t>EXHIBIT 12.1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Dov Baharav, certify that:</w:t>
      </w:r>
    </w:p>
    <w:p>
      <w:pPr>
        <w:spacing w:after="0" w:line="201" w:lineRule="exact"/>
        <w:rPr>
          <w:sz w:val="20"/>
          <w:szCs w:val="20"/>
          <w:color w:val="auto"/>
        </w:rPr>
      </w:pPr>
    </w:p>
    <w:p>
      <w:pPr>
        <w:ind w:left="860" w:hanging="325"/>
        <w:spacing w:after="0"/>
        <w:tabs>
          <w:tab w:leader="none" w:pos="86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20-F of Amdocs Limited;</w:t>
      </w:r>
    </w:p>
    <w:p>
      <w:pPr>
        <w:spacing w:after="0" w:line="201" w:lineRule="exact"/>
        <w:rPr>
          <w:rFonts w:ascii="Courier New" w:cs="Courier New" w:eastAsia="Courier New" w:hAnsi="Courier New"/>
          <w:sz w:val="18"/>
          <w:szCs w:val="18"/>
          <w:color w:val="auto"/>
        </w:rPr>
      </w:pPr>
    </w:p>
    <w:p>
      <w:pPr>
        <w:ind w:right="1779" w:firstLine="535"/>
        <w:spacing w:after="0" w:line="318" w:lineRule="auto"/>
        <w:tabs>
          <w:tab w:leader="none" w:pos="843"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2" w:lineRule="exact"/>
        <w:rPr>
          <w:rFonts w:ascii="Courier New" w:cs="Courier New" w:eastAsia="Courier New" w:hAnsi="Courier New"/>
          <w:sz w:val="16"/>
          <w:szCs w:val="16"/>
          <w:color w:val="auto"/>
        </w:rPr>
      </w:pPr>
    </w:p>
    <w:p>
      <w:pPr>
        <w:ind w:right="1779" w:firstLine="535"/>
        <w:spacing w:after="0" w:line="274" w:lineRule="auto"/>
        <w:tabs>
          <w:tab w:leader="none" w:pos="843"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1" w:lineRule="exact"/>
        <w:rPr>
          <w:rFonts w:ascii="Courier New" w:cs="Courier New" w:eastAsia="Courier New" w:hAnsi="Courier New"/>
          <w:sz w:val="18"/>
          <w:szCs w:val="18"/>
          <w:color w:val="auto"/>
        </w:rPr>
      </w:pPr>
    </w:p>
    <w:p>
      <w:pPr>
        <w:ind w:right="1999" w:firstLine="535"/>
        <w:spacing w:after="0" w:line="292" w:lineRule="auto"/>
        <w:tabs>
          <w:tab w:leader="none" w:pos="843"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66" w:lineRule="exact"/>
        <w:rPr>
          <w:rFonts w:ascii="Courier New" w:cs="Courier New" w:eastAsia="Courier New" w:hAnsi="Courier New"/>
          <w:sz w:val="18"/>
          <w:szCs w:val="18"/>
          <w:color w:val="auto"/>
        </w:rPr>
      </w:pPr>
    </w:p>
    <w:p>
      <w:pPr>
        <w:ind w:left="540" w:right="1779" w:firstLine="521"/>
        <w:spacing w:after="0" w:line="260" w:lineRule="auto"/>
        <w:tabs>
          <w:tab w:leader="none" w:pos="1488" w:val="left"/>
        </w:tabs>
        <w:numPr>
          <w:ilvl w:val="1"/>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92" w:lineRule="exact"/>
        <w:rPr>
          <w:rFonts w:ascii="Courier New" w:cs="Courier New" w:eastAsia="Courier New" w:hAnsi="Courier New"/>
          <w:sz w:val="18"/>
          <w:szCs w:val="18"/>
          <w:color w:val="auto"/>
        </w:rPr>
      </w:pPr>
    </w:p>
    <w:p>
      <w:pPr>
        <w:ind w:left="540" w:right="1879" w:firstLine="521"/>
        <w:spacing w:after="0" w:line="347" w:lineRule="auto"/>
        <w:tabs>
          <w:tab w:leader="none" w:pos="1488" w:val="left"/>
        </w:tabs>
        <w:numPr>
          <w:ilvl w:val="1"/>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omitted in accordance with SEC transition instructions contained in SEC Release 34-47986]</w:t>
      </w:r>
    </w:p>
    <w:p>
      <w:pPr>
        <w:spacing w:after="0" w:line="18" w:lineRule="exact"/>
        <w:rPr>
          <w:rFonts w:ascii="Courier New" w:cs="Courier New" w:eastAsia="Courier New" w:hAnsi="Courier New"/>
          <w:sz w:val="18"/>
          <w:szCs w:val="18"/>
          <w:color w:val="auto"/>
        </w:rPr>
      </w:pPr>
    </w:p>
    <w:p>
      <w:pPr>
        <w:ind w:left="540" w:right="1999" w:firstLine="521"/>
        <w:spacing w:after="0" w:line="318" w:lineRule="auto"/>
        <w:tabs>
          <w:tab w:leader="none" w:pos="1488"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Courier New" w:cs="Courier New" w:eastAsia="Courier New" w:hAnsi="Courier New"/>
          <w:sz w:val="16"/>
          <w:szCs w:val="16"/>
          <w:color w:val="auto"/>
        </w:rPr>
      </w:pPr>
    </w:p>
    <w:p>
      <w:pPr>
        <w:ind w:left="540" w:right="1779" w:firstLine="521"/>
        <w:spacing w:after="0" w:line="265" w:lineRule="auto"/>
        <w:tabs>
          <w:tab w:leader="none" w:pos="1488" w:val="left"/>
        </w:tabs>
        <w:numPr>
          <w:ilvl w:val="1"/>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9" w:lineRule="exact"/>
        <w:rPr>
          <w:rFonts w:ascii="Courier New" w:cs="Courier New" w:eastAsia="Courier New" w:hAnsi="Courier New"/>
          <w:sz w:val="18"/>
          <w:szCs w:val="18"/>
          <w:color w:val="auto"/>
        </w:rPr>
      </w:pPr>
    </w:p>
    <w:p>
      <w:pPr>
        <w:ind w:right="1779" w:firstLine="535"/>
        <w:spacing w:after="0" w:line="274" w:lineRule="auto"/>
        <w:tabs>
          <w:tab w:leader="none" w:pos="843"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81" w:lineRule="exact"/>
        <w:rPr>
          <w:rFonts w:ascii="Courier New" w:cs="Courier New" w:eastAsia="Courier New" w:hAnsi="Courier New"/>
          <w:sz w:val="18"/>
          <w:szCs w:val="18"/>
          <w:color w:val="auto"/>
        </w:rPr>
      </w:pPr>
    </w:p>
    <w:p>
      <w:pPr>
        <w:ind w:left="540" w:right="1779" w:firstLine="521"/>
        <w:spacing w:after="0" w:line="274" w:lineRule="auto"/>
        <w:tabs>
          <w:tab w:leader="none" w:pos="1488" w:val="left"/>
        </w:tabs>
        <w:numPr>
          <w:ilvl w:val="1"/>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81" w:lineRule="exact"/>
        <w:rPr>
          <w:rFonts w:ascii="Courier New" w:cs="Courier New" w:eastAsia="Courier New" w:hAnsi="Courier New"/>
          <w:sz w:val="18"/>
          <w:szCs w:val="18"/>
          <w:color w:val="auto"/>
        </w:rPr>
      </w:pPr>
    </w:p>
    <w:p>
      <w:pPr>
        <w:ind w:left="540" w:right="2099" w:firstLine="521"/>
        <w:spacing w:after="0" w:line="292" w:lineRule="auto"/>
        <w:tabs>
          <w:tab w:leader="none" w:pos="1488" w:val="left"/>
        </w:tabs>
        <w:numPr>
          <w:ilvl w:val="1"/>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company's internal control over financial reporting.</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September 21, 2004</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DOV BAHARAV</w:t>
      </w:r>
    </w:p>
    <w:p>
      <w:pPr>
        <w:spacing w:after="0" w:line="29" w:lineRule="exact"/>
        <w:rPr>
          <w:sz w:val="20"/>
          <w:szCs w:val="20"/>
          <w:color w:val="auto"/>
        </w:rPr>
      </w:pPr>
    </w:p>
    <w:p>
      <w:pPr>
        <w:ind w:left="220" w:hanging="212"/>
        <w:spacing w:after="0"/>
        <w:tabs>
          <w:tab w:leader="none" w:pos="22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Dov Baharav,</w:t>
      </w:r>
    </w:p>
    <w:p>
      <w:pPr>
        <w:ind w:right="757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Executive Officer, Amdocs Management Limited</w:t>
      </w:r>
    </w:p>
    <w:p>
      <w:pPr>
        <w:sectPr>
          <w:pgSz w:w="11900" w:h="16838" w:orient="portrait"/>
          <w:cols w:equalWidth="0" w:num="1">
            <w:col w:w="10219"/>
          </w:cols>
          <w:pgMar w:left="240" w:top="515" w:right="1440" w:bottom="1440" w:gutter="0" w:footer="0" w:header="0"/>
        </w:sectPr>
      </w:pPr>
    </w:p>
    <w:bookmarkStart w:id="143" w:name="page144"/>
    <w:bookmarkEnd w:id="143"/>
    <w:p>
      <w:pPr>
        <w:jc w:val="right"/>
        <w:ind w:right="1779"/>
        <w:spacing w:after="0"/>
        <w:rPr>
          <w:sz w:val="20"/>
          <w:szCs w:val="20"/>
          <w:color w:val="auto"/>
        </w:rPr>
      </w:pPr>
      <w:r>
        <w:rPr>
          <w:rFonts w:ascii="Courier New" w:cs="Courier New" w:eastAsia="Courier New" w:hAnsi="Courier New"/>
          <w:sz w:val="18"/>
          <w:szCs w:val="18"/>
          <w:color w:val="auto"/>
        </w:rPr>
        <w:t>EXHIBIT 12.2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Ron Moskovitz, certify that:</w:t>
      </w:r>
    </w:p>
    <w:p>
      <w:pPr>
        <w:spacing w:after="0" w:line="201" w:lineRule="exact"/>
        <w:rPr>
          <w:sz w:val="20"/>
          <w:szCs w:val="20"/>
          <w:color w:val="auto"/>
        </w:rPr>
      </w:pPr>
    </w:p>
    <w:p>
      <w:pPr>
        <w:ind w:left="860" w:hanging="325"/>
        <w:spacing w:after="0"/>
        <w:tabs>
          <w:tab w:leader="none" w:pos="86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20-F of Amdocs Limited;</w:t>
      </w:r>
    </w:p>
    <w:p>
      <w:pPr>
        <w:spacing w:after="0" w:line="201" w:lineRule="exact"/>
        <w:rPr>
          <w:rFonts w:ascii="Courier New" w:cs="Courier New" w:eastAsia="Courier New" w:hAnsi="Courier New"/>
          <w:sz w:val="18"/>
          <w:szCs w:val="18"/>
          <w:color w:val="auto"/>
        </w:rPr>
      </w:pPr>
    </w:p>
    <w:p>
      <w:pPr>
        <w:ind w:right="1779" w:firstLine="535"/>
        <w:spacing w:after="0" w:line="318" w:lineRule="auto"/>
        <w:tabs>
          <w:tab w:leader="none" w:pos="843"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2" w:lineRule="exact"/>
        <w:rPr>
          <w:rFonts w:ascii="Courier New" w:cs="Courier New" w:eastAsia="Courier New" w:hAnsi="Courier New"/>
          <w:sz w:val="16"/>
          <w:szCs w:val="16"/>
          <w:color w:val="auto"/>
        </w:rPr>
      </w:pPr>
    </w:p>
    <w:p>
      <w:pPr>
        <w:ind w:right="1779" w:firstLine="535"/>
        <w:spacing w:after="0" w:line="274" w:lineRule="auto"/>
        <w:tabs>
          <w:tab w:leader="none" w:pos="843"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1" w:lineRule="exact"/>
        <w:rPr>
          <w:rFonts w:ascii="Courier New" w:cs="Courier New" w:eastAsia="Courier New" w:hAnsi="Courier New"/>
          <w:sz w:val="18"/>
          <w:szCs w:val="18"/>
          <w:color w:val="auto"/>
        </w:rPr>
      </w:pPr>
    </w:p>
    <w:p>
      <w:pPr>
        <w:ind w:right="1999" w:firstLine="535"/>
        <w:spacing w:after="0" w:line="292" w:lineRule="auto"/>
        <w:tabs>
          <w:tab w:leader="none" w:pos="843"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66" w:lineRule="exact"/>
        <w:rPr>
          <w:rFonts w:ascii="Courier New" w:cs="Courier New" w:eastAsia="Courier New" w:hAnsi="Courier New"/>
          <w:sz w:val="18"/>
          <w:szCs w:val="18"/>
          <w:color w:val="auto"/>
        </w:rPr>
      </w:pPr>
    </w:p>
    <w:p>
      <w:pPr>
        <w:ind w:left="540" w:right="1779" w:firstLine="521"/>
        <w:spacing w:after="0" w:line="260" w:lineRule="auto"/>
        <w:tabs>
          <w:tab w:leader="none" w:pos="1488" w:val="left"/>
        </w:tabs>
        <w:numPr>
          <w:ilvl w:val="1"/>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92" w:lineRule="exact"/>
        <w:rPr>
          <w:rFonts w:ascii="Courier New" w:cs="Courier New" w:eastAsia="Courier New" w:hAnsi="Courier New"/>
          <w:sz w:val="18"/>
          <w:szCs w:val="18"/>
          <w:color w:val="auto"/>
        </w:rPr>
      </w:pPr>
    </w:p>
    <w:p>
      <w:pPr>
        <w:ind w:left="540" w:right="1879" w:firstLine="521"/>
        <w:spacing w:after="0" w:line="347" w:lineRule="auto"/>
        <w:tabs>
          <w:tab w:leader="none" w:pos="1488" w:val="left"/>
        </w:tabs>
        <w:numPr>
          <w:ilvl w:val="1"/>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omitted in accordance with SEC transition instructions contained in SEC Release 34-47986]</w:t>
      </w:r>
    </w:p>
    <w:p>
      <w:pPr>
        <w:spacing w:after="0" w:line="18" w:lineRule="exact"/>
        <w:rPr>
          <w:rFonts w:ascii="Courier New" w:cs="Courier New" w:eastAsia="Courier New" w:hAnsi="Courier New"/>
          <w:sz w:val="18"/>
          <w:szCs w:val="18"/>
          <w:color w:val="auto"/>
        </w:rPr>
      </w:pPr>
    </w:p>
    <w:p>
      <w:pPr>
        <w:ind w:left="540" w:right="1999" w:firstLine="521"/>
        <w:spacing w:after="0" w:line="318" w:lineRule="auto"/>
        <w:tabs>
          <w:tab w:leader="none" w:pos="1488"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Courier New" w:cs="Courier New" w:eastAsia="Courier New" w:hAnsi="Courier New"/>
          <w:sz w:val="16"/>
          <w:szCs w:val="16"/>
          <w:color w:val="auto"/>
        </w:rPr>
      </w:pPr>
    </w:p>
    <w:p>
      <w:pPr>
        <w:ind w:left="540" w:right="1779" w:firstLine="521"/>
        <w:spacing w:after="0" w:line="265" w:lineRule="auto"/>
        <w:tabs>
          <w:tab w:leader="none" w:pos="1488" w:val="left"/>
        </w:tabs>
        <w:numPr>
          <w:ilvl w:val="1"/>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9" w:lineRule="exact"/>
        <w:rPr>
          <w:rFonts w:ascii="Courier New" w:cs="Courier New" w:eastAsia="Courier New" w:hAnsi="Courier New"/>
          <w:sz w:val="18"/>
          <w:szCs w:val="18"/>
          <w:color w:val="auto"/>
        </w:rPr>
      </w:pPr>
    </w:p>
    <w:p>
      <w:pPr>
        <w:ind w:right="1779" w:firstLine="535"/>
        <w:spacing w:after="0" w:line="274" w:lineRule="auto"/>
        <w:tabs>
          <w:tab w:leader="none" w:pos="843"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81" w:lineRule="exact"/>
        <w:rPr>
          <w:rFonts w:ascii="Courier New" w:cs="Courier New" w:eastAsia="Courier New" w:hAnsi="Courier New"/>
          <w:sz w:val="18"/>
          <w:szCs w:val="18"/>
          <w:color w:val="auto"/>
        </w:rPr>
      </w:pPr>
    </w:p>
    <w:p>
      <w:pPr>
        <w:ind w:left="540" w:right="1779" w:firstLine="521"/>
        <w:spacing w:after="0" w:line="274" w:lineRule="auto"/>
        <w:tabs>
          <w:tab w:leader="none" w:pos="1488" w:val="left"/>
        </w:tabs>
        <w:numPr>
          <w:ilvl w:val="1"/>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81" w:lineRule="exact"/>
        <w:rPr>
          <w:rFonts w:ascii="Courier New" w:cs="Courier New" w:eastAsia="Courier New" w:hAnsi="Courier New"/>
          <w:sz w:val="18"/>
          <w:szCs w:val="18"/>
          <w:color w:val="auto"/>
        </w:rPr>
      </w:pPr>
    </w:p>
    <w:p>
      <w:pPr>
        <w:ind w:left="540" w:right="2099" w:firstLine="521"/>
        <w:spacing w:after="0" w:line="292" w:lineRule="auto"/>
        <w:tabs>
          <w:tab w:leader="none" w:pos="1488" w:val="left"/>
        </w:tabs>
        <w:numPr>
          <w:ilvl w:val="1"/>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company's internal control over financial reporting.</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September 21, 2004</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RON MOSKOVITZ</w:t>
      </w:r>
    </w:p>
    <w:p>
      <w:pPr>
        <w:spacing w:after="0" w:line="29" w:lineRule="exact"/>
        <w:rPr>
          <w:sz w:val="20"/>
          <w:szCs w:val="20"/>
          <w:color w:val="auto"/>
        </w:rPr>
      </w:pPr>
    </w:p>
    <w:p>
      <w:pPr>
        <w:ind w:left="220" w:hanging="212"/>
        <w:spacing w:after="0"/>
        <w:tabs>
          <w:tab w:leader="none" w:pos="22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 Moskovitz,</w:t>
      </w:r>
    </w:p>
    <w:p>
      <w:pPr>
        <w:ind w:right="757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Financial Officer, Amdocs Management Limited</w:t>
      </w:r>
    </w:p>
    <w:p>
      <w:pPr>
        <w:sectPr>
          <w:pgSz w:w="11900" w:h="16838" w:orient="portrait"/>
          <w:cols w:equalWidth="0" w:num="1">
            <w:col w:w="10219"/>
          </w:cols>
          <w:pgMar w:left="240" w:top="515" w:right="1440" w:bottom="1440" w:gutter="0" w:footer="0" w:header="0"/>
        </w:sectPr>
      </w:pPr>
    </w:p>
    <w:bookmarkStart w:id="144" w:name="page145"/>
    <w:bookmarkEnd w:id="144"/>
    <w:p>
      <w:pPr>
        <w:jc w:val="right"/>
        <w:ind w:right="1779"/>
        <w:spacing w:after="0"/>
        <w:rPr>
          <w:sz w:val="20"/>
          <w:szCs w:val="20"/>
          <w:color w:val="auto"/>
        </w:rPr>
      </w:pPr>
      <w:r>
        <w:rPr>
          <w:rFonts w:ascii="Courier New" w:cs="Courier New" w:eastAsia="Courier New" w:hAnsi="Courier New"/>
          <w:sz w:val="18"/>
          <w:szCs w:val="18"/>
          <w:color w:val="auto"/>
        </w:rPr>
        <w:t>EXHIBIT 13.1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CERTIFICATION PURSUANT TO 18 U.S.C. SECTION 1350,</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AS ADOPTED PURSUANT TO</w:t>
      </w:r>
    </w:p>
    <w:p>
      <w:pPr>
        <w:jc w:val="center"/>
        <w:ind w:right="187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169" w:lineRule="exact"/>
        <w:rPr>
          <w:sz w:val="20"/>
          <w:szCs w:val="20"/>
          <w:color w:val="auto"/>
        </w:rPr>
      </w:pPr>
    </w:p>
    <w:p>
      <w:pPr>
        <w:ind w:right="1879" w:firstLine="527"/>
        <w:spacing w:after="0" w:line="278" w:lineRule="auto"/>
        <w:rPr>
          <w:sz w:val="20"/>
          <w:szCs w:val="20"/>
          <w:color w:val="auto"/>
        </w:rPr>
      </w:pPr>
      <w:r>
        <w:rPr>
          <w:rFonts w:ascii="Courier New" w:cs="Courier New" w:eastAsia="Courier New" w:hAnsi="Courier New"/>
          <w:sz w:val="16"/>
          <w:szCs w:val="16"/>
          <w:color w:val="auto"/>
        </w:rPr>
        <w:t>In connection with the annual report on Form 20-F of Amdocs Limited (the "Company") for the period ended September 30, 2003 as filed with the Securities and Exchange Commission on the date hereof (the "Report"), the undersigned, Dov Baharav, Chief Executive Officer of the Company, hereby certifies, pursuant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 U.S.C. Section 1350, that to the best of his knowledge and belief:</w:t>
      </w:r>
    </w:p>
    <w:p>
      <w:pPr>
        <w:spacing w:after="0" w:line="169" w:lineRule="exact"/>
        <w:rPr>
          <w:sz w:val="20"/>
          <w:szCs w:val="20"/>
          <w:color w:val="auto"/>
        </w:rPr>
      </w:pPr>
    </w:p>
    <w:p>
      <w:pPr>
        <w:ind w:left="540" w:right="1999" w:firstLine="521"/>
        <w:spacing w:after="0" w:line="347" w:lineRule="auto"/>
        <w:tabs>
          <w:tab w:leader="none" w:pos="1488"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18" w:lineRule="exact"/>
        <w:rPr>
          <w:rFonts w:ascii="Courier New" w:cs="Courier New" w:eastAsia="Courier New" w:hAnsi="Courier New"/>
          <w:sz w:val="18"/>
          <w:szCs w:val="18"/>
          <w:color w:val="auto"/>
        </w:rPr>
      </w:pPr>
    </w:p>
    <w:p>
      <w:pPr>
        <w:ind w:left="540" w:right="1779" w:firstLine="521"/>
        <w:spacing w:after="0" w:line="292" w:lineRule="auto"/>
        <w:tabs>
          <w:tab w:leader="none" w:pos="1488"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September 21, 2004</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DOV BAHARAV</w:t>
      </w:r>
    </w:p>
    <w:p>
      <w:pPr>
        <w:spacing w:after="0" w:line="29" w:lineRule="exact"/>
        <w:rPr>
          <w:sz w:val="20"/>
          <w:szCs w:val="20"/>
          <w:color w:val="auto"/>
        </w:rPr>
      </w:pPr>
    </w:p>
    <w:p>
      <w:pPr>
        <w:ind w:left="220" w:hanging="212"/>
        <w:spacing w:after="0"/>
        <w:tabs>
          <w:tab w:leader="none" w:pos="22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Dov Baharav</w:t>
      </w:r>
    </w:p>
    <w:p>
      <w:pPr>
        <w:ind w:right="757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Executive Officer Amdocs Management Limited</w:t>
      </w:r>
    </w:p>
    <w:p>
      <w:pPr>
        <w:sectPr>
          <w:pgSz w:w="11900" w:h="16838" w:orient="portrait"/>
          <w:cols w:equalWidth="0" w:num="1">
            <w:col w:w="10219"/>
          </w:cols>
          <w:pgMar w:left="240" w:top="515" w:right="1440" w:bottom="1440" w:gutter="0" w:footer="0" w:header="0"/>
        </w:sectPr>
      </w:pPr>
    </w:p>
    <w:bookmarkStart w:id="145" w:name="page146"/>
    <w:bookmarkEnd w:id="145"/>
    <w:p>
      <w:pPr>
        <w:jc w:val="right"/>
        <w:ind w:right="1779"/>
        <w:spacing w:after="0"/>
        <w:rPr>
          <w:sz w:val="20"/>
          <w:szCs w:val="20"/>
          <w:color w:val="auto"/>
        </w:rPr>
      </w:pPr>
      <w:r>
        <w:rPr>
          <w:rFonts w:ascii="Courier New" w:cs="Courier New" w:eastAsia="Courier New" w:hAnsi="Courier New"/>
          <w:sz w:val="18"/>
          <w:szCs w:val="18"/>
          <w:color w:val="auto"/>
        </w:rPr>
        <w:t>EXHIBIT 13.2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CERTIFICATION PURSUANT TO 18 U.S.C. SECTION 1350,</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AS ADOPTED PURSUANT TO</w:t>
      </w:r>
    </w:p>
    <w:p>
      <w:pPr>
        <w:jc w:val="center"/>
        <w:ind w:right="187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169"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In connection with the annual report on Form 20-F of Amdocs Limited (the "Company") for the period ended September 30, 2003 as filed with the Securities and Exchange Commission on the date hereof (the "Report"), the undersigned, Ron Moskovitz, Chief Financial Officer of the Company, hereby certifies, pursuant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 U.S.C. Section 1350, that to the best of his knowledge and belief:</w:t>
      </w:r>
    </w:p>
    <w:p>
      <w:pPr>
        <w:spacing w:after="0" w:line="169" w:lineRule="exact"/>
        <w:rPr>
          <w:sz w:val="20"/>
          <w:szCs w:val="20"/>
          <w:color w:val="auto"/>
        </w:rPr>
      </w:pPr>
    </w:p>
    <w:p>
      <w:pPr>
        <w:ind w:left="540" w:right="1999" w:firstLine="521"/>
        <w:spacing w:after="0" w:line="347" w:lineRule="auto"/>
        <w:tabs>
          <w:tab w:leader="none" w:pos="1488"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18" w:lineRule="exact"/>
        <w:rPr>
          <w:rFonts w:ascii="Courier New" w:cs="Courier New" w:eastAsia="Courier New" w:hAnsi="Courier New"/>
          <w:sz w:val="18"/>
          <w:szCs w:val="18"/>
          <w:color w:val="auto"/>
        </w:rPr>
      </w:pPr>
    </w:p>
    <w:p>
      <w:pPr>
        <w:ind w:left="540" w:right="1779" w:firstLine="521"/>
        <w:spacing w:after="0" w:line="292" w:lineRule="auto"/>
        <w:tabs>
          <w:tab w:leader="none" w:pos="1488"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September 21, 2004</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RON MOSKOVITZ</w:t>
      </w:r>
    </w:p>
    <w:p>
      <w:pPr>
        <w:spacing w:after="0" w:line="29" w:lineRule="exact"/>
        <w:rPr>
          <w:sz w:val="20"/>
          <w:szCs w:val="20"/>
          <w:color w:val="auto"/>
        </w:rPr>
      </w:pPr>
    </w:p>
    <w:p>
      <w:pPr>
        <w:ind w:left="220" w:hanging="212"/>
        <w:spacing w:after="0"/>
        <w:tabs>
          <w:tab w:leader="none" w:pos="2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 Moskovitz,</w:t>
      </w:r>
    </w:p>
    <w:p>
      <w:pPr>
        <w:ind w:right="757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Financial Officer, Amdocs Management Limited</w:t>
      </w:r>
    </w:p>
    <w:p>
      <w:pPr>
        <w:sectPr>
          <w:pgSz w:w="11900" w:h="16838" w:orient="portrait"/>
          <w:cols w:equalWidth="0" w:num="1">
            <w:col w:w="10219"/>
          </w:cols>
          <w:pgMar w:left="240" w:top="515" w:right="1440" w:bottom="1440" w:gutter="0" w:footer="0" w:header="0"/>
        </w:sectPr>
      </w:pPr>
    </w:p>
    <w:bookmarkStart w:id="146" w:name="page147"/>
    <w:bookmarkEnd w:id="146"/>
    <w:p>
      <w:pPr>
        <w:jc w:val="right"/>
        <w:ind w:right="1779"/>
        <w:spacing w:after="0"/>
        <w:rPr>
          <w:sz w:val="20"/>
          <w:szCs w:val="20"/>
          <w:color w:val="auto"/>
        </w:rPr>
      </w:pPr>
      <w:r>
        <w:rPr>
          <w:rFonts w:ascii="Courier New" w:cs="Courier New" w:eastAsia="Courier New" w:hAnsi="Courier New"/>
          <w:sz w:val="18"/>
          <w:szCs w:val="18"/>
          <w:color w:val="auto"/>
        </w:rPr>
        <w:t>EXHIBIT 14.1</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CONSENT OF INDEPENDENT REGISTERED PUBLIC ACCOUNTANTS</w:t>
      </w:r>
    </w:p>
    <w:p>
      <w:pPr>
        <w:spacing w:after="0" w:line="20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We consent to the use of our report dated October 30, 2003, except for paragraphs 4 and 5 of Note 12, as to which the dates are June 1, 2004 and March 5, 2004, respectively, with respect to the consolidated financial statements and financial statement schedule of Amdocs Limited included in this Annual Report, as amended on Form 20-F/A for the year ended September 30, 2003 filed with the Securities and Exchange Commission and incorporated by reference in the following registration statements:</w:t>
      </w:r>
    </w:p>
    <w:p>
      <w:pPr>
        <w:spacing w:after="0" w:line="9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COMMISSION FILE NO.</w:t>
      </w:r>
    </w:p>
    <w:p>
      <w:pPr>
        <w:spacing w:after="0" w:line="200"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8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Form S-8,</w:t>
            </w:r>
          </w:p>
        </w:tc>
        <w:tc>
          <w:tcPr>
            <w:tcW w:w="2780" w:type="dxa"/>
            <w:vAlign w:val="bottom"/>
          </w:tcPr>
          <w:p>
            <w:pPr>
              <w:ind w:left="60"/>
              <w:spacing w:after="0"/>
              <w:rPr>
                <w:sz w:val="20"/>
                <w:szCs w:val="20"/>
                <w:color w:val="auto"/>
              </w:rPr>
            </w:pPr>
            <w:r>
              <w:rPr>
                <w:rFonts w:ascii="Courier New" w:cs="Courier New" w:eastAsia="Courier New" w:hAnsi="Courier New"/>
                <w:sz w:val="18"/>
                <w:szCs w:val="18"/>
                <w:color w:val="auto"/>
              </w:rPr>
              <w:t>No. 333-91847</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S-8,</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333-92705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S-8,</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333-31506</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S-8,</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333-34104</w:t>
            </w:r>
          </w:p>
        </w:tc>
        <w:tc>
          <w:tcPr>
            <w:tcW w:w="0" w:type="dxa"/>
            <w:vAlign w:val="bottom"/>
          </w:tcPr>
          <w:p>
            <w:pPr>
              <w:spacing w:after="0"/>
              <w:rPr>
                <w:sz w:val="1"/>
                <w:szCs w:val="1"/>
                <w:color w:val="auto"/>
              </w:rPr>
            </w:pPr>
          </w:p>
        </w:tc>
      </w:tr>
      <w:tr>
        <w:trPr>
          <w:trHeight w:val="203"/>
        </w:trPr>
        <w:tc>
          <w:tcPr>
            <w:tcW w:w="88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Form F-3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S-8,</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333-58454</w:t>
            </w:r>
          </w:p>
        </w:tc>
        <w:tc>
          <w:tcPr>
            <w:tcW w:w="0" w:type="dxa"/>
            <w:vAlign w:val="bottom"/>
          </w:tcPr>
          <w:p>
            <w:pPr>
              <w:spacing w:after="0"/>
              <w:rPr>
                <w:sz w:val="1"/>
                <w:szCs w:val="1"/>
                <w:color w:val="auto"/>
              </w:rPr>
            </w:pPr>
          </w:p>
        </w:tc>
      </w:tr>
      <w:tr>
        <w:trPr>
          <w:trHeight w:val="203"/>
        </w:trPr>
        <w:tc>
          <w:tcPr>
            <w:tcW w:w="880" w:type="dxa"/>
            <w:vAlign w:val="bottom"/>
            <w:vMerge w:val="continue"/>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related</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Prospectus), No. 333-39278</w:t>
            </w:r>
          </w:p>
        </w:tc>
        <w:tc>
          <w:tcPr>
            <w:tcW w:w="0" w:type="dxa"/>
            <w:vAlign w:val="bottom"/>
          </w:tcPr>
          <w:p>
            <w:pPr>
              <w:spacing w:after="0"/>
              <w:rPr>
                <w:sz w:val="1"/>
                <w:szCs w:val="1"/>
                <w:color w:val="auto"/>
              </w:rPr>
            </w:pPr>
          </w:p>
        </w:tc>
      </w:tr>
      <w:tr>
        <w:trPr>
          <w:trHeight w:val="203"/>
        </w:trPr>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Form F-3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related</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Prospectus), No. 333-44994</w:t>
            </w:r>
          </w:p>
        </w:tc>
        <w:tc>
          <w:tcPr>
            <w:tcW w:w="0" w:type="dxa"/>
            <w:vAlign w:val="bottom"/>
          </w:tcPr>
          <w:p>
            <w:pPr>
              <w:spacing w:after="0"/>
              <w:rPr>
                <w:sz w:val="1"/>
                <w:szCs w:val="1"/>
                <w:color w:val="auto"/>
              </w:rPr>
            </w:pPr>
          </w:p>
        </w:tc>
      </w:tr>
      <w:tr>
        <w:trPr>
          <w:trHeight w:val="203"/>
        </w:trPr>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Form F-3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related</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Prospectus), No. 333-57036</w:t>
            </w:r>
          </w:p>
        </w:tc>
        <w:tc>
          <w:tcPr>
            <w:tcW w:w="0" w:type="dxa"/>
            <w:vAlign w:val="bottom"/>
          </w:tcPr>
          <w:p>
            <w:pPr>
              <w:spacing w:after="0"/>
              <w:rPr>
                <w:sz w:val="1"/>
                <w:szCs w:val="1"/>
                <w:color w:val="auto"/>
              </w:rPr>
            </w:pPr>
          </w:p>
        </w:tc>
      </w:tr>
      <w:tr>
        <w:trPr>
          <w:trHeight w:val="296"/>
        </w:trPr>
        <w:tc>
          <w:tcPr>
            <w:tcW w:w="880" w:type="dxa"/>
            <w:vAlign w:val="bottom"/>
          </w:tcPr>
          <w:p>
            <w:pPr>
              <w:spacing w:after="0"/>
              <w:rPr>
                <w:sz w:val="20"/>
                <w:szCs w:val="20"/>
                <w:color w:val="auto"/>
              </w:rPr>
            </w:pPr>
            <w:r>
              <w:rPr>
                <w:rFonts w:ascii="Courier New" w:cs="Courier New" w:eastAsia="Courier New" w:hAnsi="Courier New"/>
                <w:sz w:val="18"/>
                <w:szCs w:val="18"/>
                <w:color w:val="auto"/>
                <w:w w:val="99"/>
              </w:rPr>
              <w:t>Form F-3</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(and related</w:t>
            </w:r>
          </w:p>
        </w:tc>
        <w:tc>
          <w:tcPr>
            <w:tcW w:w="2780" w:type="dxa"/>
            <w:vAlign w:val="bottom"/>
          </w:tcPr>
          <w:p>
            <w:pPr>
              <w:ind w:left="60"/>
              <w:spacing w:after="0"/>
              <w:rPr>
                <w:sz w:val="20"/>
                <w:szCs w:val="20"/>
                <w:color w:val="auto"/>
              </w:rPr>
            </w:pPr>
            <w:r>
              <w:rPr>
                <w:rFonts w:ascii="Courier New" w:cs="Courier New" w:eastAsia="Courier New" w:hAnsi="Courier New"/>
                <w:sz w:val="18"/>
                <w:szCs w:val="18"/>
                <w:color w:val="auto"/>
                <w:w w:val="96"/>
              </w:rPr>
              <w:t>Prospectus), No. 333-67572</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17, 2004</w:t>
      </w:r>
    </w:p>
    <w:p>
      <w:pPr>
        <w:sectPr>
          <w:pgSz w:w="11900" w:h="16838" w:orient="portrait"/>
          <w:cols w:equalWidth="0" w:num="1">
            <w:col w:w="10219"/>
          </w:cols>
          <w:pgMar w:left="240" w:top="515" w:right="1440" w:bottom="1440" w:gutter="0" w:footer="0" w:header="0"/>
        </w:sectPr>
      </w:pPr>
    </w:p>
    <w:bookmarkStart w:id="147" w:name="page148"/>
    <w:bookmarkEnd w:id="147"/>
    <w:p>
      <w:pPr>
        <w:jc w:val="right"/>
        <w:ind w:right="1779"/>
        <w:spacing w:after="0"/>
        <w:rPr>
          <w:sz w:val="20"/>
          <w:szCs w:val="20"/>
          <w:color w:val="auto"/>
        </w:rPr>
      </w:pPr>
      <w:r>
        <w:rPr>
          <w:rFonts w:ascii="Courier New" w:cs="Courier New" w:eastAsia="Courier New" w:hAnsi="Courier New"/>
          <w:sz w:val="18"/>
          <w:szCs w:val="18"/>
          <w:color w:val="auto"/>
        </w:rPr>
        <w:t>EXHIBIT 14.2</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CONSENT OF INDEPENDENT REGISTERED CHARTERED ACCOUNTANTS</w:t>
      </w:r>
    </w:p>
    <w:p>
      <w:pPr>
        <w:spacing w:after="0" w:line="201"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We consent to the incorporation by reference in the following Registration Statements of Amdocs Limited of our report dated March 19, 2003 (except for Note 17, which is as of July 2, 2003), related to the consolidated financial statements of Certen Inc., as of and for the years ended December 31, 2001 and 2002, appearing in this Annual Report of Amdocs Limited on Form 20-F/A (Amendment No. 1), for the year ended September 21, 2003:</w:t>
      </w:r>
    </w:p>
    <w:p>
      <w:pPr>
        <w:spacing w:after="0" w:line="9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COMMISSION</w:t>
      </w:r>
    </w:p>
    <w:p>
      <w:pPr>
        <w:spacing w:after="0" w:line="29"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FILE NO.</w:t>
      </w:r>
    </w:p>
    <w:p>
      <w:pPr>
        <w:jc w:val="center"/>
        <w:ind w:right="9059"/>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OF FILING</w:t>
      </w:r>
    </w:p>
    <w:p>
      <w:pPr>
        <w:jc w:val="center"/>
        <w:ind w:right="9059"/>
        <w:spacing w:after="0" w:line="238" w:lineRule="auto"/>
        <w:rPr>
          <w:sz w:val="20"/>
          <w:szCs w:val="20"/>
          <w:color w:val="auto"/>
        </w:rPr>
      </w:pPr>
      <w:r>
        <w:rPr>
          <w:rFonts w:ascii="Courier New" w:cs="Courier New" w:eastAsia="Courier New" w:hAnsi="Courier New"/>
          <w:sz w:val="18"/>
          <w:szCs w:val="18"/>
          <w:color w:val="auto"/>
        </w:rPr>
        <w:t>333-91847</w:t>
      </w:r>
    </w:p>
    <w:p>
      <w:pPr>
        <w:jc w:val="center"/>
        <w:ind w:right="9059"/>
        <w:spacing w:after="0"/>
        <w:rPr>
          <w:sz w:val="20"/>
          <w:szCs w:val="20"/>
          <w:color w:val="auto"/>
        </w:rPr>
      </w:pPr>
      <w:r>
        <w:rPr>
          <w:rFonts w:ascii="Courier New" w:cs="Courier New" w:eastAsia="Courier New" w:hAnsi="Courier New"/>
          <w:sz w:val="18"/>
          <w:szCs w:val="18"/>
          <w:color w:val="auto"/>
        </w:rPr>
        <w:t>Form S-8</w:t>
      </w:r>
    </w:p>
    <w:p>
      <w:pPr>
        <w:jc w:val="center"/>
        <w:ind w:right="9059"/>
        <w:spacing w:after="0" w:line="238" w:lineRule="auto"/>
        <w:rPr>
          <w:sz w:val="20"/>
          <w:szCs w:val="20"/>
          <w:color w:val="auto"/>
        </w:rPr>
      </w:pPr>
      <w:r>
        <w:rPr>
          <w:rFonts w:ascii="Courier New" w:cs="Courier New" w:eastAsia="Courier New" w:hAnsi="Courier New"/>
          <w:sz w:val="18"/>
          <w:szCs w:val="18"/>
          <w:color w:val="auto"/>
        </w:rPr>
        <w:t>333-92705</w:t>
      </w:r>
    </w:p>
    <w:p>
      <w:pPr>
        <w:jc w:val="center"/>
        <w:ind w:right="9059"/>
        <w:spacing w:after="0"/>
        <w:rPr>
          <w:sz w:val="20"/>
          <w:szCs w:val="20"/>
          <w:color w:val="auto"/>
        </w:rPr>
      </w:pPr>
      <w:r>
        <w:rPr>
          <w:rFonts w:ascii="Courier New" w:cs="Courier New" w:eastAsia="Courier New" w:hAnsi="Courier New"/>
          <w:sz w:val="18"/>
          <w:szCs w:val="18"/>
          <w:color w:val="auto"/>
        </w:rPr>
        <w:t>Form S-8</w:t>
      </w:r>
    </w:p>
    <w:p>
      <w:pPr>
        <w:jc w:val="center"/>
        <w:ind w:right="9059"/>
        <w:spacing w:after="0" w:line="238" w:lineRule="auto"/>
        <w:rPr>
          <w:sz w:val="20"/>
          <w:szCs w:val="20"/>
          <w:color w:val="auto"/>
        </w:rPr>
      </w:pPr>
      <w:r>
        <w:rPr>
          <w:rFonts w:ascii="Courier New" w:cs="Courier New" w:eastAsia="Courier New" w:hAnsi="Courier New"/>
          <w:sz w:val="18"/>
          <w:szCs w:val="18"/>
          <w:color w:val="auto"/>
        </w:rPr>
        <w:t>333-31506</w:t>
      </w:r>
    </w:p>
    <w:p>
      <w:pPr>
        <w:jc w:val="center"/>
        <w:ind w:right="9059"/>
        <w:spacing w:after="0"/>
        <w:rPr>
          <w:sz w:val="20"/>
          <w:szCs w:val="20"/>
          <w:color w:val="auto"/>
        </w:rPr>
      </w:pPr>
      <w:r>
        <w:rPr>
          <w:rFonts w:ascii="Courier New" w:cs="Courier New" w:eastAsia="Courier New" w:hAnsi="Courier New"/>
          <w:sz w:val="18"/>
          <w:szCs w:val="18"/>
          <w:color w:val="auto"/>
        </w:rPr>
        <w:t>Form S-8</w:t>
      </w:r>
    </w:p>
    <w:p>
      <w:pPr>
        <w:jc w:val="center"/>
        <w:ind w:right="9059"/>
        <w:spacing w:after="0" w:line="238" w:lineRule="auto"/>
        <w:rPr>
          <w:sz w:val="20"/>
          <w:szCs w:val="20"/>
          <w:color w:val="auto"/>
        </w:rPr>
      </w:pPr>
      <w:r>
        <w:rPr>
          <w:rFonts w:ascii="Courier New" w:cs="Courier New" w:eastAsia="Courier New" w:hAnsi="Courier New"/>
          <w:sz w:val="18"/>
          <w:szCs w:val="18"/>
          <w:color w:val="auto"/>
        </w:rPr>
        <w:t>333-34104</w:t>
      </w:r>
    </w:p>
    <w:p>
      <w:pPr>
        <w:jc w:val="center"/>
        <w:ind w:right="9059"/>
        <w:spacing w:after="0"/>
        <w:rPr>
          <w:sz w:val="20"/>
          <w:szCs w:val="20"/>
          <w:color w:val="auto"/>
        </w:rPr>
      </w:pPr>
      <w:r>
        <w:rPr>
          <w:rFonts w:ascii="Courier New" w:cs="Courier New" w:eastAsia="Courier New" w:hAnsi="Courier New"/>
          <w:sz w:val="18"/>
          <w:szCs w:val="18"/>
          <w:color w:val="auto"/>
        </w:rPr>
        <w:t>Form S-8</w:t>
      </w:r>
    </w:p>
    <w:p>
      <w:pPr>
        <w:jc w:val="center"/>
        <w:ind w:right="9059"/>
        <w:spacing w:after="0" w:line="238" w:lineRule="auto"/>
        <w:rPr>
          <w:sz w:val="20"/>
          <w:szCs w:val="20"/>
          <w:color w:val="auto"/>
        </w:rPr>
      </w:pPr>
      <w:r>
        <w:rPr>
          <w:rFonts w:ascii="Courier New" w:cs="Courier New" w:eastAsia="Courier New" w:hAnsi="Courier New"/>
          <w:sz w:val="18"/>
          <w:szCs w:val="18"/>
          <w:color w:val="auto"/>
        </w:rPr>
        <w:t>333-58454</w:t>
      </w:r>
    </w:p>
    <w:p>
      <w:pPr>
        <w:jc w:val="center"/>
        <w:ind w:right="9059"/>
        <w:spacing w:after="0"/>
        <w:rPr>
          <w:sz w:val="20"/>
          <w:szCs w:val="20"/>
          <w:color w:val="auto"/>
        </w:rPr>
      </w:pPr>
      <w:r>
        <w:rPr>
          <w:rFonts w:ascii="Courier New" w:cs="Courier New" w:eastAsia="Courier New" w:hAnsi="Courier New"/>
          <w:sz w:val="18"/>
          <w:szCs w:val="18"/>
          <w:color w:val="auto"/>
        </w:rPr>
        <w:t>Form S-8</w:t>
      </w:r>
    </w:p>
    <w:p>
      <w:pPr>
        <w:jc w:val="center"/>
        <w:ind w:right="9059"/>
        <w:spacing w:after="0" w:line="238" w:lineRule="auto"/>
        <w:rPr>
          <w:sz w:val="20"/>
          <w:szCs w:val="20"/>
          <w:color w:val="auto"/>
        </w:rPr>
      </w:pPr>
      <w:r>
        <w:rPr>
          <w:rFonts w:ascii="Courier New" w:cs="Courier New" w:eastAsia="Courier New" w:hAnsi="Courier New"/>
          <w:sz w:val="18"/>
          <w:szCs w:val="18"/>
          <w:color w:val="auto"/>
        </w:rPr>
        <w:t>333-39278</w:t>
      </w:r>
    </w:p>
    <w:p>
      <w:pPr>
        <w:jc w:val="center"/>
        <w:ind w:right="9059"/>
        <w:spacing w:after="0"/>
        <w:rPr>
          <w:sz w:val="20"/>
          <w:szCs w:val="20"/>
          <w:color w:val="auto"/>
        </w:rPr>
      </w:pPr>
      <w:r>
        <w:rPr>
          <w:rFonts w:ascii="Courier New" w:cs="Courier New" w:eastAsia="Courier New" w:hAnsi="Courier New"/>
          <w:sz w:val="18"/>
          <w:szCs w:val="18"/>
          <w:color w:val="auto"/>
        </w:rPr>
        <w:t>Form F-3</w:t>
      </w:r>
    </w:p>
    <w:p>
      <w:pPr>
        <w:jc w:val="center"/>
        <w:ind w:right="9059"/>
        <w:spacing w:after="0" w:line="238" w:lineRule="auto"/>
        <w:rPr>
          <w:sz w:val="20"/>
          <w:szCs w:val="20"/>
          <w:color w:val="auto"/>
        </w:rPr>
      </w:pPr>
      <w:r>
        <w:rPr>
          <w:rFonts w:ascii="Courier New" w:cs="Courier New" w:eastAsia="Courier New" w:hAnsi="Courier New"/>
          <w:sz w:val="18"/>
          <w:szCs w:val="18"/>
          <w:color w:val="auto"/>
        </w:rPr>
        <w:t>(and</w:t>
      </w:r>
    </w:p>
    <w:p>
      <w:pPr>
        <w:jc w:val="center"/>
        <w:ind w:right="9059"/>
        <w:spacing w:after="0"/>
        <w:rPr>
          <w:sz w:val="20"/>
          <w:szCs w:val="20"/>
          <w:color w:val="auto"/>
        </w:rPr>
      </w:pPr>
      <w:r>
        <w:rPr>
          <w:rFonts w:ascii="Courier New" w:cs="Courier New" w:eastAsia="Courier New" w:hAnsi="Courier New"/>
          <w:sz w:val="18"/>
          <w:szCs w:val="18"/>
          <w:color w:val="auto"/>
        </w:rPr>
        <w:t>related</w:t>
      </w:r>
    </w:p>
    <w:p>
      <w:pPr>
        <w:jc w:val="center"/>
        <w:ind w:right="9059"/>
        <w:spacing w:after="0"/>
        <w:rPr>
          <w:sz w:val="20"/>
          <w:szCs w:val="20"/>
          <w:color w:val="auto"/>
        </w:rPr>
      </w:pPr>
      <w:r>
        <w:rPr>
          <w:rFonts w:ascii="Courier New" w:cs="Courier New" w:eastAsia="Courier New" w:hAnsi="Courier New"/>
          <w:sz w:val="16"/>
          <w:szCs w:val="16"/>
          <w:color w:val="auto"/>
        </w:rPr>
        <w:t>Prospectus)</w:t>
      </w:r>
    </w:p>
    <w:p>
      <w:pPr>
        <w:spacing w:after="0" w:line="20"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333-44994</w:t>
      </w:r>
    </w:p>
    <w:p>
      <w:pPr>
        <w:jc w:val="center"/>
        <w:ind w:right="9059"/>
        <w:spacing w:after="0" w:line="238" w:lineRule="auto"/>
        <w:rPr>
          <w:sz w:val="20"/>
          <w:szCs w:val="20"/>
          <w:color w:val="auto"/>
        </w:rPr>
      </w:pPr>
      <w:r>
        <w:rPr>
          <w:rFonts w:ascii="Courier New" w:cs="Courier New" w:eastAsia="Courier New" w:hAnsi="Courier New"/>
          <w:sz w:val="18"/>
          <w:szCs w:val="18"/>
          <w:color w:val="auto"/>
        </w:rPr>
        <w:t>Form F-3</w:t>
      </w:r>
    </w:p>
    <w:p>
      <w:pPr>
        <w:jc w:val="center"/>
        <w:ind w:right="9059"/>
        <w:spacing w:after="0"/>
        <w:rPr>
          <w:sz w:val="20"/>
          <w:szCs w:val="20"/>
          <w:color w:val="auto"/>
        </w:rPr>
      </w:pPr>
      <w:r>
        <w:rPr>
          <w:rFonts w:ascii="Courier New" w:cs="Courier New" w:eastAsia="Courier New" w:hAnsi="Courier New"/>
          <w:sz w:val="18"/>
          <w:szCs w:val="18"/>
          <w:color w:val="auto"/>
        </w:rPr>
        <w:t>(and</w:t>
      </w:r>
    </w:p>
    <w:p>
      <w:pPr>
        <w:jc w:val="center"/>
        <w:ind w:right="9059"/>
        <w:spacing w:after="0" w:line="238" w:lineRule="auto"/>
        <w:rPr>
          <w:sz w:val="20"/>
          <w:szCs w:val="20"/>
          <w:color w:val="auto"/>
        </w:rPr>
      </w:pPr>
      <w:r>
        <w:rPr>
          <w:rFonts w:ascii="Courier New" w:cs="Courier New" w:eastAsia="Courier New" w:hAnsi="Courier New"/>
          <w:sz w:val="18"/>
          <w:szCs w:val="18"/>
          <w:color w:val="auto"/>
        </w:rPr>
        <w:t>related</w:t>
      </w:r>
    </w:p>
    <w:p>
      <w:pPr>
        <w:jc w:val="center"/>
        <w:ind w:right="9059"/>
        <w:spacing w:after="0"/>
        <w:rPr>
          <w:sz w:val="20"/>
          <w:szCs w:val="20"/>
          <w:color w:val="auto"/>
        </w:rPr>
      </w:pPr>
      <w:r>
        <w:rPr>
          <w:rFonts w:ascii="Courier New" w:cs="Courier New" w:eastAsia="Courier New" w:hAnsi="Courier New"/>
          <w:sz w:val="16"/>
          <w:szCs w:val="16"/>
          <w:color w:val="auto"/>
        </w:rPr>
        <w:t>Prospectus)</w:t>
      </w:r>
    </w:p>
    <w:p>
      <w:pPr>
        <w:spacing w:after="0" w:line="20"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333-57036</w:t>
      </w:r>
    </w:p>
    <w:p>
      <w:pPr>
        <w:jc w:val="center"/>
        <w:ind w:right="9059"/>
        <w:spacing w:after="0" w:line="238" w:lineRule="auto"/>
        <w:rPr>
          <w:sz w:val="20"/>
          <w:szCs w:val="20"/>
          <w:color w:val="auto"/>
        </w:rPr>
      </w:pPr>
      <w:r>
        <w:rPr>
          <w:rFonts w:ascii="Courier New" w:cs="Courier New" w:eastAsia="Courier New" w:hAnsi="Courier New"/>
          <w:sz w:val="18"/>
          <w:szCs w:val="18"/>
          <w:color w:val="auto"/>
        </w:rPr>
        <w:t>Form F-3</w:t>
      </w:r>
    </w:p>
    <w:p>
      <w:pPr>
        <w:jc w:val="center"/>
        <w:ind w:right="9059"/>
        <w:spacing w:after="0"/>
        <w:rPr>
          <w:sz w:val="20"/>
          <w:szCs w:val="20"/>
          <w:color w:val="auto"/>
        </w:rPr>
      </w:pPr>
      <w:r>
        <w:rPr>
          <w:rFonts w:ascii="Courier New" w:cs="Courier New" w:eastAsia="Courier New" w:hAnsi="Courier New"/>
          <w:sz w:val="18"/>
          <w:szCs w:val="18"/>
          <w:color w:val="auto"/>
        </w:rPr>
        <w:t>(and</w:t>
      </w:r>
    </w:p>
    <w:p>
      <w:pPr>
        <w:jc w:val="center"/>
        <w:ind w:right="9059"/>
        <w:spacing w:after="0" w:line="238" w:lineRule="auto"/>
        <w:rPr>
          <w:sz w:val="20"/>
          <w:szCs w:val="20"/>
          <w:color w:val="auto"/>
        </w:rPr>
      </w:pPr>
      <w:r>
        <w:rPr>
          <w:rFonts w:ascii="Courier New" w:cs="Courier New" w:eastAsia="Courier New" w:hAnsi="Courier New"/>
          <w:sz w:val="18"/>
          <w:szCs w:val="18"/>
          <w:color w:val="auto"/>
        </w:rPr>
        <w:t>related</w:t>
      </w:r>
    </w:p>
    <w:p>
      <w:pPr>
        <w:jc w:val="center"/>
        <w:ind w:right="9059"/>
        <w:spacing w:after="0"/>
        <w:rPr>
          <w:sz w:val="20"/>
          <w:szCs w:val="20"/>
          <w:color w:val="auto"/>
        </w:rPr>
      </w:pPr>
      <w:r>
        <w:rPr>
          <w:rFonts w:ascii="Courier New" w:cs="Courier New" w:eastAsia="Courier New" w:hAnsi="Courier New"/>
          <w:sz w:val="16"/>
          <w:szCs w:val="16"/>
          <w:color w:val="auto"/>
        </w:rPr>
        <w:t>Prospectus)</w:t>
      </w:r>
    </w:p>
    <w:p>
      <w:pPr>
        <w:spacing w:after="0" w:line="20"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333-67572</w:t>
      </w:r>
    </w:p>
    <w:p>
      <w:pPr>
        <w:jc w:val="center"/>
        <w:ind w:right="9059"/>
        <w:spacing w:after="0" w:line="238" w:lineRule="auto"/>
        <w:rPr>
          <w:sz w:val="20"/>
          <w:szCs w:val="20"/>
          <w:color w:val="auto"/>
        </w:rPr>
      </w:pPr>
      <w:r>
        <w:rPr>
          <w:rFonts w:ascii="Courier New" w:cs="Courier New" w:eastAsia="Courier New" w:hAnsi="Courier New"/>
          <w:sz w:val="18"/>
          <w:szCs w:val="18"/>
          <w:color w:val="auto"/>
        </w:rPr>
        <w:t>Form F-3</w:t>
      </w:r>
    </w:p>
    <w:p>
      <w:pPr>
        <w:jc w:val="center"/>
        <w:ind w:right="9059"/>
        <w:spacing w:after="0"/>
        <w:rPr>
          <w:sz w:val="20"/>
          <w:szCs w:val="20"/>
          <w:color w:val="auto"/>
        </w:rPr>
      </w:pPr>
      <w:r>
        <w:rPr>
          <w:rFonts w:ascii="Courier New" w:cs="Courier New" w:eastAsia="Courier New" w:hAnsi="Courier New"/>
          <w:sz w:val="18"/>
          <w:szCs w:val="18"/>
          <w:color w:val="auto"/>
        </w:rPr>
        <w:t>(and</w:t>
      </w:r>
    </w:p>
    <w:p>
      <w:pPr>
        <w:jc w:val="center"/>
        <w:ind w:right="9059"/>
        <w:spacing w:after="0" w:line="238" w:lineRule="auto"/>
        <w:rPr>
          <w:sz w:val="20"/>
          <w:szCs w:val="20"/>
          <w:color w:val="auto"/>
        </w:rPr>
      </w:pPr>
      <w:r>
        <w:rPr>
          <w:rFonts w:ascii="Courier New" w:cs="Courier New" w:eastAsia="Courier New" w:hAnsi="Courier New"/>
          <w:sz w:val="18"/>
          <w:szCs w:val="18"/>
          <w:color w:val="auto"/>
        </w:rPr>
        <w:t>related</w:t>
      </w:r>
    </w:p>
    <w:p>
      <w:pPr>
        <w:jc w:val="center"/>
        <w:ind w:right="9059"/>
        <w:spacing w:after="0"/>
        <w:rPr>
          <w:sz w:val="20"/>
          <w:szCs w:val="20"/>
          <w:color w:val="auto"/>
        </w:rPr>
      </w:pPr>
      <w:r>
        <w:rPr>
          <w:rFonts w:ascii="Courier New" w:cs="Courier New" w:eastAsia="Courier New" w:hAnsi="Courier New"/>
          <w:sz w:val="16"/>
          <w:szCs w:val="16"/>
          <w:color w:val="auto"/>
        </w:rPr>
        <w:t>Prospectus)</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Montreal, Quebec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17, 2004</w:t>
      </w:r>
    </w:p>
    <w:sectPr>
      <w:pgSz w:w="11900" w:h="16838" w:orient="portrait"/>
      <w:cols w:equalWidth="0" w:num="1">
        <w:col w:w="10219"/>
      </w:cols>
      <w:pgMar w:left="24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1]"/>
      <w:numFmt w:val="upperLetter"/>
      <w:start w:val="24"/>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1)"/>
      <w:numFmt w:val="decimal"/>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lvl w:ilvl="1">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lvl w:ilvl="1">
      <w:lvlJc w:val="left"/>
      <w:lvlText w:val="--"/>
      <w:numFmt w:val="bullet"/>
      <w:start w:val="1"/>
    </w:lvl>
  </w:abstractNum>
  <w:abstractNum w:abstractNumId="8">
    <w:nsid w:val="168E121F"/>
    <w:multiLevelType w:val="hybridMultilevel"/>
    <w:lvl w:ilvl="0">
      <w:lvlJc w:val="left"/>
      <w:lvlText w:val="--"/>
      <w:numFmt w:val="bullet"/>
      <w:start w:val="1"/>
    </w:lvl>
    <w:lvl w:ilvl="1">
      <w:lvlJc w:val="left"/>
      <w:lvlText w:val="--"/>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1)"/>
      <w:numFmt w:val="decimal"/>
      <w:start w:val="1"/>
    </w:lvl>
  </w:abstractNum>
  <w:abstractNum w:abstractNumId="12">
    <w:nsid w:val="540A471C"/>
    <w:multiLevelType w:val="hybridMultilevel"/>
    <w:lvl w:ilvl="0">
      <w:lvlJc w:val="left"/>
      <w:lvlText w:val="(%1)"/>
      <w:numFmt w:val="decimal"/>
      <w:start w:val="3"/>
    </w:lvl>
  </w:abstractNum>
  <w:abstractNum w:abstractNumId="13">
    <w:nsid w:val="7BD3EE7B"/>
    <w:multiLevelType w:val="hybridMultilevel"/>
    <w:lvl w:ilvl="0">
      <w:lvlJc w:val="left"/>
      <w:lvlText w:val="(%1)"/>
      <w:numFmt w:val="decimal"/>
      <w:start w:val="5"/>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abstractNum>
  <w:abstractNum w:abstractNumId="25">
    <w:nsid w:val="60B6DF70"/>
    <w:multiLevelType w:val="hybridMultilevel"/>
    <w:lvl w:ilvl="0">
      <w:lvlJc w:val="left"/>
      <w:lvlText w:val="-"/>
      <w:numFmt w:val="bullet"/>
      <w:start w:val="1"/>
    </w:lvl>
  </w:abstractNum>
  <w:abstractNum w:abstractNumId="26">
    <w:nsid w:val="6A5EE64"/>
    <w:multiLevelType w:val="hybridMultilevel"/>
    <w:lvl w:ilvl="0">
      <w:lvlJc w:val="left"/>
      <w:lvlText w:val="-"/>
      <w:numFmt w:val="bullet"/>
      <w:start w:val="1"/>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
      <w:numFmt w:val="bullet"/>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
      <w:numFmt w:val="bullet"/>
      <w:start w:val="1"/>
    </w:lvl>
    <w:lvl w:ilvl="1">
      <w:lvlJc w:val="left"/>
      <w:lvlText w:val="(*)"/>
      <w:numFmt w:val="bullet"/>
      <w:start w:val="1"/>
    </w:lvl>
  </w:abstractNum>
  <w:abstractNum w:abstractNumId="32">
    <w:nsid w:val="7FB7E0AA"/>
    <w:multiLevelType w:val="hybridMultilevel"/>
    <w:lvl w:ilvl="0">
      <w:lvlJc w:val="left"/>
      <w:lvlText w:val="(**)"/>
      <w:numFmt w:val="bullet"/>
      <w:start w:val="1"/>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
      <w:numFmt w:val="bullet"/>
      <w:start w:val="1"/>
    </w:lvl>
  </w:abstractNum>
  <w:abstractNum w:abstractNumId="35">
    <w:nsid w:val="94211F2"/>
    <w:multiLevelType w:val="hybridMultilevel"/>
    <w:lvl w:ilvl="0">
      <w:lvlJc w:val="left"/>
      <w:lvlText w:val="-"/>
      <w:numFmt w:val="bullet"/>
      <w:start w:val="1"/>
    </w:lvl>
  </w:abstractNum>
  <w:abstractNum w:abstractNumId="36">
    <w:nsid w:val="885E1B"/>
    <w:multiLevelType w:val="hybridMultilevel"/>
    <w:lvl w:ilvl="0">
      <w:lvlJc w:val="left"/>
      <w:lvlText w:val="$"/>
      <w:numFmt w:val="bullet"/>
      <w:start w:val="1"/>
    </w:lvl>
  </w:abstractNum>
  <w:abstractNum w:abstractNumId="37">
    <w:nsid w:val="76272110"/>
    <w:multiLevelType w:val="hybridMultilevel"/>
    <w:lvl w:ilvl="0">
      <w:lvlJc w:val="left"/>
      <w:lvlText w:val="$"/>
      <w:numFmt w:val="bullet"/>
      <w:start w:val="1"/>
    </w:lvl>
  </w:abstractNum>
  <w:abstractNum w:abstractNumId="38">
    <w:nsid w:val="4C04A8AF"/>
    <w:multiLevelType w:val="hybridMultilevel"/>
    <w:lvl w:ilvl="0">
      <w:lvlJc w:val="left"/>
      <w:lvlText w:val="---"/>
      <w:numFmt w:val="bullet"/>
      <w:start w:val="1"/>
    </w:lvl>
  </w:abstractNum>
  <w:abstractNum w:abstractNumId="39">
    <w:nsid w:val="1716703B"/>
    <w:multiLevelType w:val="hybridMultilevel"/>
    <w:lvl w:ilvl="0">
      <w:lvlJc w:val="left"/>
      <w:lvlText w:val="$"/>
      <w:numFmt w:val="bullet"/>
      <w:start w:val="1"/>
    </w:lvl>
  </w:abstractNum>
  <w:abstractNum w:abstractNumId="40">
    <w:nsid w:val="14E17E3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1">
    <w:nsid w:val="3222E7CD"/>
    <w:multiLevelType w:val="hybridMultilevel"/>
    <w:lvl w:ilvl="0">
      <w:lvlJc w:val="left"/>
      <w:lvlText w:val="%1."/>
      <w:numFmt w:val="decimal"/>
      <w:start w:val="142"/>
    </w:lvl>
  </w:abstractNum>
  <w:abstractNum w:abstractNumId="42">
    <w:nsid w:val="74DE0EE3"/>
    <w:multiLevelType w:val="hybridMultilevel"/>
    <w:lvl w:ilvl="0">
      <w:lvlJc w:val="left"/>
      <w:lvlText w:val="-"/>
      <w:numFmt w:val="bullet"/>
      <w:start w:val="1"/>
    </w:lvl>
  </w:abstractNum>
  <w:abstractNum w:abstractNumId="43">
    <w:nsid w:val="68EBC550"/>
    <w:multiLevelType w:val="hybridMultilevel"/>
    <w:lvl w:ilvl="0">
      <w:lvlJc w:val="left"/>
      <w:lvlText w:val="-"/>
      <w:numFmt w:val="bullet"/>
      <w:start w:val="1"/>
    </w:lvl>
    <w:lvl w:ilvl="1">
      <w:lvlJc w:val="left"/>
      <w:lvlText w:val="(%2)"/>
      <w:numFmt w:val="decimal"/>
      <w:start w:val="1"/>
    </w:lvl>
  </w:abstractNum>
  <w:abstractNum w:abstractNumId="44">
    <w:nsid w:val="2DF6D648"/>
    <w:multiLevelType w:val="hybridMultilevel"/>
    <w:lvl w:ilvl="0">
      <w:lvlJc w:val="left"/>
      <w:lvlText w:val="(%1)"/>
      <w:numFmt w:val="decimal"/>
      <w:start w:val="1"/>
    </w:lvl>
  </w:abstractNum>
  <w:abstractNum w:abstractNumId="45">
    <w:nsid w:val="46B7D447"/>
    <w:multiLevelType w:val="hybridMultilevel"/>
    <w:lvl w:ilvl="0">
      <w:lvlJc w:val="left"/>
      <w:lvlText w:val="-"/>
      <w:numFmt w:val="bullet"/>
      <w:start w:val="1"/>
    </w:lvl>
    <w:lvl w:ilvl="1">
      <w:lvlJc w:val="left"/>
      <w:lvlText w:val="----"/>
      <w:numFmt w:val="bullet"/>
      <w:start w:val="1"/>
    </w:lvl>
  </w:abstractNum>
  <w:abstractNum w:abstractNumId="46">
    <w:nsid w:val="4A2AC315"/>
    <w:multiLevelType w:val="hybridMultilevel"/>
    <w:lvl w:ilvl="0">
      <w:lvlJc w:val="left"/>
      <w:lvlText w:val="(*)"/>
      <w:numFmt w:val="bullet"/>
      <w:start w:val="1"/>
    </w:lvl>
  </w:abstractNum>
  <w:abstractNum w:abstractNumId="47">
    <w:nsid w:val="39EE015C"/>
    <w:multiLevelType w:val="hybridMultilevel"/>
    <w:lvl w:ilvl="0">
      <w:lvlJc w:val="left"/>
      <w:lvlText w:val="-----"/>
      <w:numFmt w:val="bullet"/>
      <w:start w:val="1"/>
    </w:lvl>
  </w:abstractNum>
  <w:abstractNum w:abstractNumId="48">
    <w:nsid w:val="57FC4FBB"/>
    <w:multiLevelType w:val="hybridMultilevel"/>
    <w:lvl w:ilvl="0">
      <w:lvlJc w:val="left"/>
      <w:lvlText w:val="-"/>
      <w:numFmt w:val="bullet"/>
      <w:start w:val="1"/>
    </w:lvl>
    <w:lvl w:ilvl="1">
      <w:lvlJc w:val="left"/>
      <w:lvlText w:val="&amp;"/>
      <w:numFmt w:val="bullet"/>
      <w:start w:val="1"/>
    </w:lvl>
  </w:abstractNum>
  <w:abstractNum w:abstractNumId="49">
    <w:nsid w:val="CC1016F"/>
    <w:multiLevelType w:val="hybridMultilevel"/>
    <w:lvl w:ilvl="0">
      <w:lvlJc w:val="left"/>
      <w:lvlText w:val="%1."/>
      <w:numFmt w:val="upperLetter"/>
      <w:start w:val="61"/>
    </w:lvl>
  </w:abstractNum>
  <w:abstractNum w:abstractNumId="50">
    <w:nsid w:val="43F18422"/>
    <w:multiLevelType w:val="hybridMultilevel"/>
    <w:lvl w:ilvl="0">
      <w:lvlJc w:val="left"/>
      <w:lvlText w:val="--"/>
      <w:numFmt w:val="bullet"/>
      <w:start w:val="1"/>
    </w:lvl>
  </w:abstractNum>
  <w:abstractNum w:abstractNumId="51">
    <w:nsid w:val="60EF0119"/>
    <w:multiLevelType w:val="hybridMultilevel"/>
    <w:lvl w:ilvl="0">
      <w:lvlJc w:val="left"/>
      <w:lvlText w:val="-"/>
      <w:numFmt w:val="bullet"/>
      <w:start w:val="1"/>
    </w:lvl>
  </w:abstractNum>
  <w:abstractNum w:abstractNumId="52">
    <w:nsid w:val="26F324BA"/>
    <w:multiLevelType w:val="hybridMultilevel"/>
    <w:lvl w:ilvl="0">
      <w:lvlJc w:val="left"/>
      <w:lvlText w:val="--"/>
      <w:numFmt w:val="bullet"/>
      <w:start w:val="1"/>
    </w:lvl>
  </w:abstractNum>
  <w:abstractNum w:abstractNumId="53">
    <w:nsid w:val="7F01579B"/>
    <w:multiLevelType w:val="hybridMultilevel"/>
    <w:lvl w:ilvl="0">
      <w:lvlJc w:val="left"/>
      <w:lvlText w:val="--"/>
      <w:numFmt w:val="bullet"/>
      <w:start w:val="1"/>
    </w:lvl>
  </w:abstractNum>
  <w:abstractNum w:abstractNumId="54">
    <w:nsid w:val="49DA307D"/>
    <w:multiLevelType w:val="hybridMultilevel"/>
    <w:lvl w:ilvl="0">
      <w:lvlJc w:val="left"/>
      <w:lvlText w:val="-"/>
      <w:numFmt w:val="bullet"/>
      <w:start w:val="1"/>
    </w:lvl>
  </w:abstractNum>
  <w:abstractNum w:abstractNumId="55">
    <w:nsid w:val="7055A5F5"/>
    <w:multiLevelType w:val="hybridMultilevel"/>
    <w:lvl w:ilvl="0">
      <w:lvlJc w:val="left"/>
      <w:lvlText w:val="-"/>
      <w:numFmt w:val="bullet"/>
      <w:start w:val="1"/>
    </w:lvl>
  </w:abstractNum>
  <w:abstractNum w:abstractNumId="56">
    <w:nsid w:val="5FB8370B"/>
    <w:multiLevelType w:val="hybridMultilevel"/>
    <w:lvl w:ilvl="0">
      <w:lvlJc w:val="left"/>
      <w:lvlText w:val="-"/>
      <w:numFmt w:val="bullet"/>
      <w:start w:val="1"/>
    </w:lvl>
  </w:abstractNum>
  <w:abstractNum w:abstractNumId="57">
    <w:nsid w:val="50801EE1"/>
    <w:multiLevelType w:val="hybridMultilevel"/>
    <w:lvl w:ilvl="0">
      <w:lvlJc w:val="left"/>
      <w:lvlText w:val="-"/>
      <w:numFmt w:val="bullet"/>
      <w:start w:val="1"/>
    </w:lvl>
  </w:abstractNum>
  <w:abstractNum w:abstractNumId="58">
    <w:nsid w:val="488AC1A"/>
    <w:multiLevelType w:val="hybridMultilevel"/>
    <w:lvl w:ilvl="0">
      <w:lvlJc w:val="left"/>
      <w:lvlText w:val="--"/>
      <w:numFmt w:val="bullet"/>
      <w:start w:val="1"/>
    </w:lvl>
  </w:abstractNum>
  <w:abstractNum w:abstractNumId="59">
    <w:nsid w:val="5FB8011C"/>
    <w:multiLevelType w:val="hybridMultilevel"/>
    <w:lvl w:ilvl="0">
      <w:lvlJc w:val="left"/>
      <w:lvlText w:val="--"/>
      <w:numFmt w:val="bullet"/>
      <w:start w:val="1"/>
    </w:lvl>
  </w:abstractNum>
  <w:abstractNum w:abstractNumId="60">
    <w:nsid w:val="6AA78F7F"/>
    <w:multiLevelType w:val="hybridMultilevel"/>
    <w:lvl w:ilvl="0">
      <w:lvlJc w:val="left"/>
      <w:lvlText w:val="-"/>
      <w:numFmt w:val="bullet"/>
      <w:start w:val="1"/>
    </w:lvl>
  </w:abstractNum>
  <w:abstractNum w:abstractNumId="61">
    <w:nsid w:val="7672BD23"/>
    <w:multiLevelType w:val="hybridMultilevel"/>
    <w:lvl w:ilvl="0">
      <w:lvlJc w:val="left"/>
      <w:lvlText w:val="----"/>
      <w:numFmt w:val="bullet"/>
      <w:start w:val="1"/>
    </w:lvl>
  </w:abstractNum>
  <w:abstractNum w:abstractNumId="62">
    <w:nsid w:val="6FC75AF8"/>
    <w:multiLevelType w:val="hybridMultilevel"/>
    <w:lvl w:ilvl="0">
      <w:lvlJc w:val="left"/>
      <w:lvlText w:val="-"/>
      <w:numFmt w:val="bullet"/>
      <w:start w:val="1"/>
    </w:lvl>
  </w:abstractNum>
  <w:abstractNum w:abstractNumId="63">
    <w:nsid w:val="6A5F7029"/>
    <w:multiLevelType w:val="hybridMultilevel"/>
    <w:lvl w:ilvl="0">
      <w:lvlJc w:val="left"/>
      <w:lvlText w:val="--"/>
      <w:numFmt w:val="bullet"/>
      <w:start w:val="1"/>
    </w:lvl>
  </w:abstractNum>
  <w:abstractNum w:abstractNumId="64">
    <w:nsid w:val="7D5E18F8"/>
    <w:multiLevelType w:val="hybridMultilevel"/>
    <w:lvl w:ilvl="0">
      <w:lvlJc w:val="left"/>
      <w:lvlText w:val="-"/>
      <w:numFmt w:val="bullet"/>
      <w:start w:val="1"/>
    </w:lvl>
  </w:abstractNum>
  <w:abstractNum w:abstractNumId="65">
    <w:nsid w:val="5F3534A4"/>
    <w:multiLevelType w:val="hybridMultilevel"/>
    <w:lvl w:ilvl="0">
      <w:lvlJc w:val="left"/>
      <w:lvlText w:val="--"/>
      <w:numFmt w:val="bullet"/>
      <w:start w:val="1"/>
    </w:lvl>
    <w:lvl w:ilvl="1">
      <w:lvlJc w:val="left"/>
      <w:lvlText w:val="--"/>
      <w:numFmt w:val="bullet"/>
      <w:start w:val="1"/>
    </w:lvl>
  </w:abstractNum>
  <w:abstractNum w:abstractNumId="66">
    <w:nsid w:val="73A1821B"/>
    <w:multiLevelType w:val="hybridMultilevel"/>
    <w:lvl w:ilvl="0">
      <w:lvlJc w:val="left"/>
      <w:lvlText w:val="-"/>
      <w:numFmt w:val="bullet"/>
      <w:start w:val="1"/>
    </w:lvl>
  </w:abstractNum>
  <w:abstractNum w:abstractNumId="67">
    <w:nsid w:val="7DE67713"/>
    <w:multiLevelType w:val="hybridMultilevel"/>
    <w:lvl w:ilvl="0">
      <w:lvlJc w:val="left"/>
      <w:lvlText w:val="--"/>
      <w:numFmt w:val="bullet"/>
      <w:start w:val="1"/>
    </w:lvl>
    <w:lvl w:ilvl="1">
      <w:lvlJc w:val="left"/>
      <w:lvlText w:val="---"/>
      <w:numFmt w:val="bullet"/>
      <w:start w:val="1"/>
    </w:lvl>
  </w:abstractNum>
  <w:abstractNum w:abstractNumId="68">
    <w:nsid w:val="555C55B5"/>
    <w:multiLevelType w:val="hybridMultilevel"/>
    <w:lvl w:ilvl="0">
      <w:lvlJc w:val="left"/>
      <w:lvlText w:val="-"/>
      <w:numFmt w:val="bullet"/>
      <w:start w:val="1"/>
    </w:lvl>
  </w:abstractNum>
  <w:abstractNum w:abstractNumId="69">
    <w:nsid w:val="3FA62ACA"/>
    <w:multiLevelType w:val="hybridMultilevel"/>
    <w:lvl w:ilvl="0">
      <w:lvlJc w:val="left"/>
      <w:lvlText w:val="(%1)"/>
      <w:numFmt w:val="decimal"/>
      <w:start w:val="1"/>
    </w:lvl>
  </w:abstractNum>
  <w:abstractNum w:abstractNumId="70">
    <w:nsid w:val="14FCE74E"/>
    <w:multiLevelType w:val="hybridMultilevel"/>
    <w:lvl w:ilvl="0">
      <w:lvlJc w:val="left"/>
      <w:lvlText w:val="-----"/>
      <w:numFmt w:val="bullet"/>
      <w:start w:val="1"/>
    </w:lvl>
  </w:abstractNum>
  <w:abstractNum w:abstractNumId="71">
    <w:nsid w:val="6A3DD3E8"/>
    <w:multiLevelType w:val="hybridMultilevel"/>
    <w:lvl w:ilvl="0">
      <w:lvlJc w:val="left"/>
      <w:lvlText w:val="(%1)"/>
      <w:numFmt w:val="decimal"/>
      <w:start w:val="1"/>
    </w:lvl>
  </w:abstractNum>
  <w:abstractNum w:abstractNumId="72">
    <w:nsid w:val="71C91298"/>
    <w:multiLevelType w:val="hybridMultilevel"/>
    <w:lvl w:ilvl="0">
      <w:lvlJc w:val="left"/>
      <w:lvlText w:val="----"/>
      <w:numFmt w:val="bullet"/>
      <w:start w:val="1"/>
    </w:lvl>
  </w:abstractNum>
  <w:abstractNum w:abstractNumId="73">
    <w:nsid w:val="9DAF632"/>
    <w:multiLevelType w:val="hybridMultilevel"/>
    <w:lvl w:ilvl="0">
      <w:lvlJc w:val="left"/>
      <w:lvlText w:val="(%1)"/>
      <w:numFmt w:val="decimal"/>
      <w:start w:val="1"/>
    </w:lvl>
  </w:abstractNum>
  <w:abstractNum w:abstractNumId="74">
    <w:nsid w:val="53299938"/>
    <w:multiLevelType w:val="hybridMultilevel"/>
    <w:lvl w:ilvl="0">
      <w:lvlJc w:val="left"/>
      <w:lvlText w:val="-"/>
      <w:numFmt w:val="bullet"/>
      <w:start w:val="1"/>
    </w:lvl>
  </w:abstractNum>
  <w:abstractNum w:abstractNumId="75">
    <w:nsid w:val="1FBFE8E0"/>
    <w:multiLevelType w:val="hybridMultilevel"/>
    <w:lvl w:ilvl="0">
      <w:lvlJc w:val="left"/>
      <w:lvlText w:val="(%1)"/>
      <w:numFmt w:val="decimal"/>
      <w:start w:val="2"/>
    </w:lvl>
  </w:abstractNum>
  <w:abstractNum w:abstractNumId="76">
    <w:nsid w:val="5092CA79"/>
    <w:multiLevelType w:val="hybridMultilevel"/>
    <w:lvl w:ilvl="0">
      <w:lvlJc w:val="left"/>
      <w:lvlText w:val="(%1)"/>
      <w:numFmt w:val="decimal"/>
      <w:start w:val="5"/>
    </w:lvl>
  </w:abstractNum>
  <w:abstractNum w:abstractNumId="77">
    <w:nsid w:val="1D545C4D"/>
    <w:multiLevelType w:val="hybridMultilevel"/>
    <w:lvl w:ilvl="0">
      <w:lvlJc w:val="left"/>
      <w:lvlText w:val="(%1)"/>
      <w:numFmt w:val="decimal"/>
      <w:start w:val="5"/>
    </w:lvl>
  </w:abstractNum>
  <w:abstractNum w:abstractNumId="78">
    <w:nsid w:val="59ADEA3D"/>
    <w:multiLevelType w:val="hybridMultilevel"/>
    <w:lvl w:ilvl="0">
      <w:lvlJc w:val="left"/>
      <w:lvlText w:val="-"/>
      <w:numFmt w:val="bullet"/>
      <w:start w:val="1"/>
    </w:lvl>
  </w:abstractNum>
  <w:abstractNum w:abstractNumId="79">
    <w:nsid w:val="288F1A34"/>
    <w:multiLevelType w:val="hybridMultilevel"/>
    <w:lvl w:ilvl="0">
      <w:lvlJc w:val="left"/>
      <w:lvlText w:val="--"/>
      <w:numFmt w:val="bullet"/>
      <w:start w:val="1"/>
    </w:lvl>
  </w:abstractNum>
  <w:abstractNum w:abstractNumId="80">
    <w:nsid w:val="2A155DBC"/>
    <w:multiLevelType w:val="hybridMultilevel"/>
    <w:lvl w:ilvl="0">
      <w:lvlJc w:val="left"/>
      <w:lvlText w:val="-"/>
      <w:numFmt w:val="bullet"/>
      <w:start w:val="1"/>
    </w:lvl>
    <w:lvl w:ilvl="1">
      <w:lvlJc w:val="left"/>
      <w:lvlText w:val="(%2)"/>
      <w:numFmt w:val="decimal"/>
      <w:start w:val="844"/>
    </w:lvl>
  </w:abstractNum>
  <w:abstractNum w:abstractNumId="81">
    <w:nsid w:val="1D9F6E5F"/>
    <w:multiLevelType w:val="hybridMultilevel"/>
    <w:lvl w:ilvl="0">
      <w:lvlJc w:val="left"/>
      <w:lvlText w:val="-"/>
      <w:numFmt w:val="bullet"/>
      <w:start w:val="1"/>
    </w:lvl>
  </w:abstractNum>
  <w:abstractNum w:abstractNumId="82">
    <w:nsid w:val="97E1B4E"/>
    <w:multiLevelType w:val="hybridMultilevel"/>
    <w:lvl w:ilvl="0">
      <w:lvlJc w:val="left"/>
      <w:lvlText w:val="-"/>
      <w:numFmt w:val="bullet"/>
      <w:start w:val="1"/>
    </w:lvl>
  </w:abstractNum>
  <w:abstractNum w:abstractNumId="83">
    <w:nsid w:val="51088277"/>
    <w:multiLevelType w:val="hybridMultilevel"/>
    <w:lvl w:ilvl="0">
      <w:lvlJc w:val="left"/>
      <w:lvlText w:val="-"/>
      <w:numFmt w:val="bullet"/>
      <w:start w:val="1"/>
    </w:lvl>
  </w:abstractNum>
  <w:abstractNum w:abstractNumId="84">
    <w:nsid w:val="1CA0C5FA"/>
    <w:multiLevelType w:val="hybridMultilevel"/>
    <w:lvl w:ilvl="0">
      <w:lvlJc w:val="left"/>
      <w:lvlText w:val="--"/>
      <w:numFmt w:val="bullet"/>
      <w:start w:val="1"/>
    </w:lvl>
  </w:abstractNum>
  <w:abstractNum w:abstractNumId="85">
    <w:nsid w:val="53584BCB"/>
    <w:multiLevelType w:val="hybridMultilevel"/>
    <w:lvl w:ilvl="0">
      <w:lvlJc w:val="left"/>
      <w:lvlText w:val="(%1)"/>
      <w:numFmt w:val="decimal"/>
      <w:start w:val="1"/>
    </w:lvl>
  </w:abstractNum>
  <w:abstractNum w:abstractNumId="86">
    <w:nsid w:val="415E286C"/>
    <w:multiLevelType w:val="hybridMultilevel"/>
    <w:lvl w:ilvl="0">
      <w:lvlJc w:val="left"/>
      <w:lvlText w:val="(%1)"/>
      <w:numFmt w:val="decimal"/>
      <w:start w:val="1"/>
    </w:lvl>
  </w:abstractNum>
  <w:abstractNum w:abstractNumId="87">
    <w:nsid w:val="7C58FD05"/>
    <w:multiLevelType w:val="hybridMultilevel"/>
    <w:lvl w:ilvl="0">
      <w:lvlJc w:val="left"/>
      <w:lvlText w:val="(%1)"/>
      <w:numFmt w:val="decimal"/>
      <w:start w:val="1"/>
    </w:lvl>
  </w:abstractNum>
  <w:abstractNum w:abstractNumId="88">
    <w:nsid w:val="23D86AAC"/>
    <w:multiLevelType w:val="hybridMultilevel"/>
    <w:lvl w:ilvl="0">
      <w:lvlJc w:val="left"/>
      <w:lvlText w:val="----"/>
      <w:numFmt w:val="bullet"/>
      <w:start w:val="1"/>
    </w:lvl>
  </w:abstractNum>
  <w:abstractNum w:abstractNumId="89">
    <w:nsid w:val="45E6D48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0">
    <w:nsid w:val="5C10FE21"/>
    <w:multiLevelType w:val="hybridMultilevel"/>
    <w:lvl w:ilvl="0">
      <w:lvlJc w:val="left"/>
      <w:lvlText w:val="(%1)"/>
      <w:numFmt w:val="decimal"/>
      <w:start w:val="1"/>
    </w:lvl>
  </w:abstractNum>
  <w:abstractNum w:abstractNumId="91">
    <w:nsid w:val="E7FFA2B"/>
    <w:multiLevelType w:val="hybridMultilevel"/>
    <w:lvl w:ilvl="0">
      <w:lvlJc w:val="left"/>
      <w:lvlText w:val="-"/>
      <w:numFmt w:val="bullet"/>
      <w:start w:val="1"/>
    </w:lvl>
    <w:lvl w:ilvl="1">
      <w:lvlJc w:val="left"/>
      <w:lvlText w:val="$"/>
      <w:numFmt w:val="bullet"/>
      <w:start w:val="1"/>
    </w:lvl>
  </w:abstractNum>
  <w:abstractNum w:abstractNumId="92">
    <w:nsid w:val="3C5991AA"/>
    <w:multiLevelType w:val="hybridMultilevel"/>
    <w:lvl w:ilvl="0">
      <w:lvlJc w:val="left"/>
      <w:lvlText w:val="(%1)"/>
      <w:numFmt w:val="decimal"/>
      <w:start w:val="1"/>
    </w:lvl>
  </w:abstractNum>
  <w:abstractNum w:abstractNumId="93">
    <w:nsid w:val="4BD8591A"/>
    <w:multiLevelType w:val="hybridMultilevel"/>
    <w:lvl w:ilvl="0">
      <w:lvlJc w:val="left"/>
      <w:lvlText w:val="--"/>
      <w:numFmt w:val="bullet"/>
      <w:start w:val="1"/>
    </w:lvl>
    <w:lvl w:ilvl="1">
      <w:lvlJc w:val="left"/>
      <w:lvlText w:val="--"/>
      <w:numFmt w:val="bullet"/>
      <w:start w:val="1"/>
    </w:lvl>
  </w:abstractNum>
  <w:abstractNum w:abstractNumId="94">
    <w:nsid w:val="78DF6A55"/>
    <w:multiLevelType w:val="hybridMultilevel"/>
    <w:lvl w:ilvl="0">
      <w:lvlJc w:val="left"/>
      <w:lvlText w:val="-"/>
      <w:numFmt w:val="bullet"/>
      <w:start w:val="1"/>
    </w:lvl>
    <w:lvl w:ilvl="1">
      <w:lvlJc w:val="left"/>
      <w:lvlText w:val="%2"/>
      <w:numFmt w:val="decimal"/>
      <w:start w:val="1"/>
    </w:lvl>
    <w:lvl w:ilvl="2">
      <w:lvlJc w:val="left"/>
      <w:lvlText w:val="-----"/>
      <w:numFmt w:val="bullet"/>
      <w:start w:val="1"/>
    </w:lvl>
    <w:lvl w:ilvl="3">
      <w:lvlJc w:val="left"/>
      <w:lvlText w:val="(%4)"/>
      <w:numFmt w:val="decimal"/>
      <w:start w:val="785"/>
    </w:lvl>
  </w:abstractNum>
  <w:abstractNum w:abstractNumId="95">
    <w:nsid w:val="39B7AAA2"/>
    <w:multiLevelType w:val="hybridMultilevel"/>
    <w:lvl w:ilvl="0">
      <w:lvlJc w:val="left"/>
      <w:lvlText w:val="-"/>
      <w:numFmt w:val="bullet"/>
      <w:start w:val="1"/>
    </w:lvl>
    <w:lvl w:ilvl="1">
      <w:lvlJc w:val="left"/>
      <w:lvlText w:val="(%2)"/>
      <w:numFmt w:val="decimal"/>
      <w:start w:val="57"/>
    </w:lvl>
    <w:lvl w:ilvl="2">
      <w:lvlJc w:val="left"/>
      <w:lvlText w:val="-----"/>
      <w:numFmt w:val="bullet"/>
      <w:start w:val="1"/>
    </w:lvl>
    <w:lvl w:ilvl="3">
      <w:lvlJc w:val="left"/>
      <w:lvlText w:val="%4"/>
      <w:numFmt w:val="decimal"/>
      <w:start w:val="1"/>
    </w:lvl>
  </w:abstractNum>
  <w:abstractNum w:abstractNumId="96">
    <w:nsid w:val="2B0D8DBE"/>
    <w:multiLevelType w:val="hybridMultilevel"/>
    <w:lvl w:ilvl="0">
      <w:lvlJc w:val="left"/>
      <w:lvlText w:val="(%1)"/>
      <w:numFmt w:val="decimal"/>
      <w:start w:val="1"/>
    </w:lvl>
  </w:abstractNum>
  <w:abstractNum w:abstractNumId="97">
    <w:nsid w:val="6C80EC70"/>
    <w:multiLevelType w:val="hybridMultilevel"/>
    <w:lvl w:ilvl="0">
      <w:lvlJc w:val="left"/>
      <w:lvlText w:val="$"/>
      <w:numFmt w:val="bullet"/>
      <w:start w:val="1"/>
    </w:lvl>
  </w:abstractNum>
  <w:abstractNum w:abstractNumId="98">
    <w:nsid w:val="379E21B5"/>
    <w:multiLevelType w:val="hybridMultilevel"/>
    <w:lvl w:ilvl="0">
      <w:lvlJc w:val="left"/>
      <w:lvlText w:val="(%1)"/>
      <w:numFmt w:val="decimal"/>
      <w:start w:val="1"/>
    </w:lvl>
  </w:abstractNum>
  <w:abstractNum w:abstractNumId="99">
    <w:nsid w:val="69E373"/>
    <w:multiLevelType w:val="hybridMultilevel"/>
    <w:lvl w:ilvl="0">
      <w:lvlJc w:val="left"/>
      <w:lvlText w:val="(%1)"/>
      <w:numFmt w:val="decimal"/>
      <w:start w:val="1"/>
    </w:lvl>
  </w:abstractNum>
  <w:abstractNum w:abstractNumId="100">
    <w:nsid w:val="2C27173B"/>
    <w:multiLevelType w:val="hybridMultilevel"/>
    <w:lvl w:ilvl="0">
      <w:lvlJc w:val="left"/>
      <w:lvlText w:val="---"/>
      <w:numFmt w:val="bullet"/>
      <w:start w:val="1"/>
    </w:lvl>
  </w:abstractNum>
  <w:abstractNum w:abstractNumId="101">
    <w:nsid w:val="4C9B0904"/>
    <w:multiLevelType w:val="hybridMultilevel"/>
    <w:lvl w:ilvl="0">
      <w:lvlJc w:val="left"/>
      <w:lvlText w:val="-"/>
      <w:numFmt w:val="bullet"/>
      <w:start w:val="1"/>
    </w:lvl>
  </w:abstractNum>
  <w:abstractNum w:abstractNumId="102">
    <w:nsid w:val="6AA7B75C"/>
    <w:multiLevelType w:val="hybridMultilevel"/>
    <w:lvl w:ilvl="0">
      <w:lvlJc w:val="left"/>
      <w:lvlText w:val="%1."/>
      <w:numFmt w:val="decimal"/>
      <w:start w:val="1"/>
    </w:lvl>
  </w:abstractNum>
  <w:abstractNum w:abstractNumId="103">
    <w:nsid w:val="1DF029D3"/>
    <w:multiLevelType w:val="hybridMultilevel"/>
    <w:lvl w:ilvl="0">
      <w:lvlJc w:val="left"/>
      <w:lvlText w:val="%1."/>
      <w:numFmt w:val="decimal"/>
      <w:start w:val="2"/>
    </w:lvl>
  </w:abstractNum>
  <w:abstractNum w:abstractNumId="104">
    <w:nsid w:val="5675FF36"/>
    <w:multiLevelType w:val="hybridMultilevel"/>
    <w:lvl w:ilvl="0">
      <w:lvlJc w:val="left"/>
      <w:lvlText w:val="%1."/>
      <w:numFmt w:val="decimal"/>
      <w:start w:val="3"/>
    </w:lvl>
  </w:abstractNum>
  <w:abstractNum w:abstractNumId="105">
    <w:nsid w:val="3DD15094"/>
    <w:multiLevelType w:val="hybridMultilevel"/>
    <w:lvl w:ilvl="0">
      <w:lvlJc w:val="left"/>
      <w:lvlText w:val="%1."/>
      <w:numFmt w:val="decimal"/>
      <w:start w:val="4"/>
    </w:lvl>
  </w:abstractNum>
  <w:abstractNum w:abstractNumId="106">
    <w:nsid w:val="3DB012B3"/>
    <w:multiLevelType w:val="hybridMultilevel"/>
    <w:lvl w:ilvl="0">
      <w:lvlJc w:val="left"/>
      <w:lvlText w:val="-"/>
      <w:numFmt w:val="bullet"/>
      <w:start w:val="1"/>
    </w:lvl>
  </w:abstractNum>
  <w:abstractNum w:abstractNumId="107">
    <w:nsid w:val="2708C9AF"/>
    <w:multiLevelType w:val="hybridMultilevel"/>
    <w:lvl w:ilvl="0">
      <w:lvlJc w:val="left"/>
      <w:lvlText w:val="---"/>
      <w:numFmt w:val="bullet"/>
      <w:start w:val="1"/>
    </w:lvl>
  </w:abstractNum>
  <w:abstractNum w:abstractNumId="108">
    <w:nsid w:val="5B25ACE2"/>
    <w:multiLevelType w:val="hybridMultilevel"/>
    <w:lvl w:ilvl="0">
      <w:lvlJc w:val="left"/>
      <w:lvlText w:val="%1."/>
      <w:numFmt w:val="decimal"/>
      <w:start w:val="5"/>
    </w:lvl>
  </w:abstractNum>
  <w:abstractNum w:abstractNumId="109">
    <w:nsid w:val="175DFCF0"/>
    <w:multiLevelType w:val="hybridMultilevel"/>
    <w:lvl w:ilvl="0">
      <w:lvlJc w:val="left"/>
      <w:lvlText w:val="---"/>
      <w:numFmt w:val="bullet"/>
      <w:start w:val="1"/>
    </w:lvl>
  </w:abstractNum>
  <w:abstractNum w:abstractNumId="110">
    <w:nsid w:val="4F97E3E4"/>
    <w:multiLevelType w:val="hybridMultilevel"/>
    <w:lvl w:ilvl="0">
      <w:lvlJc w:val="left"/>
      <w:lvlText w:val="----"/>
      <w:numFmt w:val="bullet"/>
      <w:start w:val="1"/>
    </w:lvl>
  </w:abstractNum>
  <w:abstractNum w:abstractNumId="111">
    <w:nsid w:val="53B0A9E"/>
    <w:multiLevelType w:val="hybridMultilevel"/>
    <w:lvl w:ilvl="0">
      <w:lvlJc w:val="left"/>
      <w:lvlText w:val="%1."/>
      <w:numFmt w:val="decimal"/>
      <w:start w:val="6"/>
    </w:lvl>
  </w:abstractNum>
  <w:abstractNum w:abstractNumId="112">
    <w:nsid w:val="34FD6B4F"/>
    <w:multiLevelType w:val="hybridMultilevel"/>
    <w:lvl w:ilvl="0">
      <w:lvlJc w:val="left"/>
      <w:lvlText w:val="%1."/>
      <w:numFmt w:val="decimal"/>
      <w:start w:val="7"/>
    </w:lvl>
  </w:abstractNum>
  <w:abstractNum w:abstractNumId="113">
    <w:nsid w:val="5915FF32"/>
    <w:multiLevelType w:val="hybridMultilevel"/>
    <w:lvl w:ilvl="0">
      <w:lvlJc w:val="left"/>
      <w:lvlText w:val="%1."/>
      <w:numFmt w:val="decimal"/>
      <w:start w:val="8"/>
    </w:lvl>
  </w:abstractNum>
  <w:abstractNum w:abstractNumId="114">
    <w:nsid w:val="56438D15"/>
    <w:multiLevelType w:val="hybridMultilevel"/>
    <w:lvl w:ilvl="0">
      <w:lvlJc w:val="left"/>
      <w:lvlText w:val="%1."/>
      <w:numFmt w:val="decimal"/>
      <w:start w:val="8"/>
    </w:lvl>
    <w:lvl w:ilvl="1">
      <w:lvlJc w:val="left"/>
      <w:lvlText w:val="-----"/>
      <w:numFmt w:val="bullet"/>
      <w:start w:val="1"/>
    </w:lvl>
  </w:abstractNum>
  <w:abstractNum w:abstractNumId="115">
    <w:nsid w:val="519E3149"/>
    <w:multiLevelType w:val="hybridMultilevel"/>
    <w:lvl w:ilvl="0">
      <w:lvlJc w:val="left"/>
      <w:lvlText w:val="%1."/>
      <w:numFmt w:val="decimal"/>
      <w:start w:val="10"/>
    </w:lvl>
  </w:abstractNum>
  <w:abstractNum w:abstractNumId="116">
    <w:nsid w:val="2C6E4AFD"/>
    <w:multiLevelType w:val="hybridMultilevel"/>
    <w:lvl w:ilvl="0">
      <w:lvlJc w:val="left"/>
      <w:lvlText w:val="%1."/>
      <w:numFmt w:val="decimal"/>
      <w:start w:val="11"/>
    </w:lvl>
  </w:abstractNum>
  <w:abstractNum w:abstractNumId="117">
    <w:nsid w:val="17A1B582"/>
    <w:multiLevelType w:val="hybridMultilevel"/>
    <w:lvl w:ilvl="0">
      <w:lvlJc w:val="left"/>
      <w:lvlText w:val="%1."/>
      <w:numFmt w:val="decimal"/>
      <w:start w:val="12"/>
    </w:lvl>
  </w:abstractNum>
  <w:abstractNum w:abstractNumId="118">
    <w:nsid w:val="4DF72E4E"/>
    <w:multiLevelType w:val="hybridMultilevel"/>
    <w:lvl w:ilvl="0">
      <w:lvlJc w:val="left"/>
      <w:lvlText w:val="--"/>
      <w:numFmt w:val="bullet"/>
      <w:start w:val="1"/>
    </w:lvl>
  </w:abstractNum>
  <w:abstractNum w:abstractNumId="119">
    <w:nsid w:val="5046B5A9"/>
    <w:multiLevelType w:val="hybridMultilevel"/>
    <w:lvl w:ilvl="0">
      <w:lvlJc w:val="left"/>
      <w:lvlText w:val="--"/>
      <w:numFmt w:val="bullet"/>
      <w:start w:val="1"/>
    </w:lvl>
  </w:abstractNum>
  <w:abstractNum w:abstractNumId="120">
    <w:nsid w:val="5D888A08"/>
    <w:multiLevelType w:val="hybridMultilevel"/>
    <w:lvl w:ilvl="0">
      <w:lvlJc w:val="left"/>
      <w:lvlText w:val="-"/>
      <w:numFmt w:val="bullet"/>
      <w:start w:val="1"/>
    </w:lvl>
  </w:abstractNum>
  <w:abstractNum w:abstractNumId="121">
    <w:nsid w:val="2A082C70"/>
    <w:multiLevelType w:val="hybridMultilevel"/>
    <w:lvl w:ilvl="0">
      <w:lvlJc w:val="left"/>
      <w:lvlText w:val="---"/>
      <w:numFmt w:val="bullet"/>
      <w:start w:val="1"/>
    </w:lvl>
  </w:abstractNum>
  <w:abstractNum w:abstractNumId="122">
    <w:nsid w:val="5EC6AFD4"/>
    <w:multiLevelType w:val="hybridMultilevel"/>
    <w:lvl w:ilvl="0">
      <w:lvlJc w:val="left"/>
      <w:lvlText w:val="%1."/>
      <w:numFmt w:val="decimal"/>
      <w:start w:val="14"/>
    </w:lvl>
  </w:abstractNum>
  <w:abstractNum w:abstractNumId="123">
    <w:nsid w:val="19E21BB2"/>
    <w:multiLevelType w:val="hybridMultilevel"/>
    <w:lvl w:ilvl="0">
      <w:lvlJc w:val="left"/>
      <w:lvlText w:val="%1."/>
      <w:numFmt w:val="decimal"/>
      <w:start w:val="15"/>
    </w:lvl>
  </w:abstractNum>
  <w:abstractNum w:abstractNumId="124">
    <w:nsid w:val="75E0858A"/>
    <w:multiLevelType w:val="hybridMultilevel"/>
    <w:lvl w:ilvl="0">
      <w:lvlJc w:val="left"/>
      <w:lvlText w:val="%1."/>
      <w:numFmt w:val="decimal"/>
      <w:start w:val="16"/>
    </w:lvl>
  </w:abstractNum>
  <w:abstractNum w:abstractNumId="125">
    <w:nsid w:val="57A61A29"/>
    <w:multiLevelType w:val="hybridMultilevel"/>
    <w:lvl w:ilvl="0">
      <w:lvlJc w:val="left"/>
      <w:lvlText w:val="%1."/>
      <w:numFmt w:val="decimal"/>
      <w:start w:val="17"/>
    </w:lvl>
  </w:abstractNum>
  <w:abstractNum w:abstractNumId="126">
    <w:nsid w:val="5399C654"/>
    <w:multiLevelType w:val="hybridMultilevel"/>
    <w:lvl w:ilvl="0">
      <w:lvlJc w:val="left"/>
      <w:lvlText w:val="-"/>
      <w:numFmt w:val="bullet"/>
      <w:start w:val="1"/>
    </w:lvl>
  </w:abstractNum>
  <w:abstractNum w:abstractNumId="127">
    <w:nsid w:val="20EE1348"/>
    <w:multiLevelType w:val="hybridMultilevel"/>
    <w:lvl w:ilvl="0">
      <w:lvlJc w:val="left"/>
      <w:lvlText w:val="$"/>
      <w:numFmt w:val="bullet"/>
      <w:start w:val="1"/>
    </w:lvl>
  </w:abstractNum>
  <w:abstractNum w:abstractNumId="128">
    <w:nsid w:val="4427069A"/>
    <w:multiLevelType w:val="hybridMultilevel"/>
    <w:lvl w:ilvl="0">
      <w:lvlJc w:val="left"/>
      <w:lvlText w:val="%1."/>
      <w:numFmt w:val="decimal"/>
      <w:start w:val="1"/>
    </w:lvl>
    <w:lvl w:ilvl="1">
      <w:lvlJc w:val="left"/>
      <w:lvlText w:val="(%2)"/>
      <w:numFmt w:val="lowerLetter"/>
      <w:start w:val="1"/>
    </w:lvl>
  </w:abstractNum>
  <w:abstractNum w:abstractNumId="129">
    <w:nsid w:val="B37E80A"/>
    <w:multiLevelType w:val="hybridMultilevel"/>
    <w:lvl w:ilvl="0">
      <w:lvlJc w:val="left"/>
      <w:lvlText w:val="-"/>
      <w:numFmt w:val="bullet"/>
      <w:start w:val="1"/>
    </w:lvl>
  </w:abstractNum>
  <w:abstractNum w:abstractNumId="130">
    <w:nsid w:val="2157F6BC"/>
    <w:multiLevelType w:val="hybridMultilevel"/>
    <w:lvl w:ilvl="0">
      <w:lvlJc w:val="left"/>
      <w:lvlText w:val="%1."/>
      <w:numFmt w:val="decimal"/>
      <w:start w:val="1"/>
    </w:lvl>
    <w:lvl w:ilvl="1">
      <w:lvlJc w:val="left"/>
      <w:lvlText w:val="(%2)"/>
      <w:numFmt w:val="lowerLetter"/>
      <w:start w:val="1"/>
    </w:lvl>
  </w:abstractNum>
  <w:abstractNum w:abstractNumId="131">
    <w:nsid w:val="704E1DD5"/>
    <w:multiLevelType w:val="hybridMultilevel"/>
    <w:lvl w:ilvl="0">
      <w:lvlJc w:val="left"/>
      <w:lvlText w:val="-"/>
      <w:numFmt w:val="bullet"/>
      <w:start w:val="1"/>
    </w:lvl>
  </w:abstractNum>
  <w:abstractNum w:abstractNumId="132">
    <w:nsid w:val="57D2F10E"/>
    <w:multiLevelType w:val="hybridMultilevel"/>
    <w:lvl w:ilvl="0">
      <w:lvlJc w:val="left"/>
      <w:lvlText w:val="(%1)"/>
      <w:numFmt w:val="decimal"/>
      <w:start w:val="1"/>
    </w:lvl>
  </w:abstractNum>
  <w:abstractNum w:abstractNumId="133">
    <w:nsid w:val="BFFAE18"/>
    <w:multiLevelType w:val="hybridMultilevel"/>
    <w:lvl w:ilvl="0">
      <w:lvlJc w:val="left"/>
      <w:lvlText w:val="-"/>
      <w:numFmt w:val="bullet"/>
      <w:start w:val="1"/>
    </w:lvl>
  </w:abstractNum>
  <w:abstractNum w:abstractNumId="134">
    <w:nsid w:val="E3E47A8"/>
    <w:multiLevelType w:val="hybridMultilevel"/>
    <w:lvl w:ilvl="0">
      <w:lvlJc w:val="left"/>
      <w:lvlText w:val="(%1)"/>
      <w:numFmt w:val="decimal"/>
      <w:start w:val="1"/>
    </w:lvl>
  </w:abstractNum>
  <w:abstractNum w:abstractNumId="135">
    <w:nsid w:val="2E48F04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2019-12-14T20:56:41Z</dcterms:created>
  <dcterms:modified xsi:type="dcterms:W3CDTF">2019-12-14T20:56:41Z</dcterms:modified>
</cp:coreProperties>
</file>