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2009</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2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 6-K</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REPORT OF FOREIGN PRIVATE ISSUER</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QUARTER ENDED JUNE 30, 2009</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Unaudited Consolidated Financial Statements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 of Changes in Shareholders’ Equity</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Notes to Unaudited Consolidated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2. Operating and Financial Review and Prospects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 Changes in Securities, Use of Proceeds and Issuer Purchases of Equity Securities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2. Reports on Form 6-K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62"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718,850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595,388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525,528</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573,764</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106,906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84,515</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102,930</w:t>
            </w: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1,989,926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2,005,587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317,081</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160,009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187,173</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1,541,751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1,526,371</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248,821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270,551</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272,300</w:t>
            </w: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4,498,849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4,579,063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111,936</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157,357</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151,056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224,699</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218,229</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Short-term portion of financing arrangements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197,851</w:t>
            </w: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830,024</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Convertible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financing arrangements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274,903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266,548</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227,300</w:t>
            </w: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1,424,180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1,773,872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Ordinary Shares — Authorized 700,000 and 550,000 shares, respectively; £0.01 par value; 241,353 and 240,836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203,966 and 203,916 outstanding,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2,298,179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2,264,800</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—37,387 and 36,920 Ordinary Shares, respectively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(919,874)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(907,280)</w:t>
            </w: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(14,834)</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1,700,813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1,458,605</w:t>
            </w: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3,074,669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2,805,191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4,498,849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4,579,063</w:t>
            </w: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26,075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35,244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107,879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664,190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785,044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2,047,309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2,243,249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690,265</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820,288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2,155,188</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2,336,819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441,777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528,437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1,381,825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51,134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56,137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160,113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104,632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63,594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597,019</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714,337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1,884,714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2,032,686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105,951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270,474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income (expense) and other,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112,110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10,212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29,035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100,672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296,195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202,750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206,329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203,515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219,120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2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Treasury</w:t>
            </w:r>
          </w:p>
        </w:tc>
        <w:tc>
          <w:tcPr>
            <w:tcW w:w="14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3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26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Stock</w:t>
            </w:r>
          </w:p>
        </w:tc>
        <w:tc>
          <w:tcPr>
            <w:tcW w:w="146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(Loss) Income</w:t>
            </w:r>
          </w:p>
        </w:tc>
        <w:tc>
          <w:tcPr>
            <w:tcW w:w="13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3"/>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203,916</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$ 2,264,800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 (907,280)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(14,834)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$ 1,458,605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$ 2,805,191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240,425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foreign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currency hedging</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contracts, net of $(751) tax</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4,852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short-term</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interest-bearing</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$42 tax</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 on defined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benefit plan, net of $1,232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tax</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2,391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Cumulative effect from</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adoption of FSP No. 115-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2/124-2 at April 1, 2009</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(1,783)</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1,783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Repurchase of shares</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(12,594)</w:t>
            </w:r>
          </w:p>
        </w:tc>
        <w:tc>
          <w:tcPr>
            <w:tcW w:w="2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of stock options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(1,967)</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418"/>
        </w:trPr>
        <w:tc>
          <w:tcPr>
            <w:tcW w:w="2760" w:type="dxa"/>
            <w:vAlign w:val="bottom"/>
            <w:gridSpan w:val="2"/>
          </w:tcPr>
          <w:p>
            <w:pPr>
              <w:spacing w:after="0"/>
              <w:rPr>
                <w:sz w:val="20"/>
                <w:szCs w:val="20"/>
                <w:color w:val="auto"/>
              </w:rPr>
            </w:pPr>
            <w:r>
              <w:rPr>
                <w:rFonts w:ascii="Arial" w:cs="Arial" w:eastAsia="Arial" w:hAnsi="Arial"/>
                <w:sz w:val="18"/>
                <w:szCs w:val="18"/>
                <w:color w:val="auto"/>
              </w:rPr>
              <w:t>Issuance of restricted stock, net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of forfeitures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related to employees</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33,331</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33,331</w:t>
            </w: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2009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203,966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$ 2,298,179</w:t>
            </w:r>
          </w:p>
        </w:tc>
        <w:tc>
          <w:tcPr>
            <w:tcW w:w="4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(919,874</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$ 1,700,813</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$ 3,074,669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June 30, 2009 and September 30, 2008, accumulated other comprehensive loss is comprised of unrealized loss on foreign currency hedging contracts, net of tax, of $(304) and $(5,156), respectively, and unrealized loss on short-term interest-bearing investments, net of tax, of $(10,231) and $(9,462), respectively, and unrealized gain (loss) on defined benefit plan assets, net of tax, of $2,175 and $(216),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02"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Nine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240,425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147,869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Loss (gain) on sale of equipment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13,097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(139,466)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(12,638)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26,590</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335,479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305,538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equipment and leasehold improvements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601,844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575,602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(676,472)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(513,462)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(61,890)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(56,970)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(201,563)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(95,257)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 under long-term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(330,780)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(116,015)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under capital lease and short-term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(3,632)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short-term financing arrangements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(167,865)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(138,549)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718,850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615,501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684,901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687,233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23,701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20" w:firstLine="215"/>
        <w:spacing w:after="0" w:line="297" w:lineRule="auto"/>
        <w:rPr>
          <w:sz w:val="20"/>
          <w:szCs w:val="20"/>
          <w:color w:val="auto"/>
        </w:rPr>
      </w:pPr>
      <w:r>
        <w:rPr>
          <w:rFonts w:ascii="Arial" w:cs="Arial" w:eastAsia="Arial" w:hAnsi="Arial"/>
          <w:sz w:val="16"/>
          <w:szCs w:val="16"/>
          <w:color w:val="auto"/>
        </w:rPr>
        <w:t>Amdocs Limited (“Amdocs” or the “Company”) is a leading provider of software products and services to the communication, media and entertainment industry. The Company and its subsidiaries operate in one segment, providing integrated products and services. The Company designs, develops, markets, supports, implements and operates customer experience systems, including revenue, customer and information management, digital commerce and service delivery, service and resource management, and consulting and managed services, primarily to leading wireless, wireline, broadband cable and satellite service providers throughout the world. Amdocs also offers a full range of directory sales and publishing systems.</w:t>
      </w:r>
    </w:p>
    <w:p>
      <w:pPr>
        <w:spacing w:after="0" w:line="5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2008, set forth in the Company’s Annual Report on Form 20-F filed on December 8, 2008 with the U.S. Securities and Exchange Commission (the “SEC”). Subsequent events were evaluated through August 10, 2009, the date these financial statements were issued.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December 2007, the Financial Accounting Standards Board (“FASB”) issued Statement of Financial Accounting Standards (“SFAS”) No. 141 (revised), “Business Combinations” (“SFAS No. 141(R)”). SFAS No.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the Company prospectively for business combinations for which the acquisition date is on or after October 1, 2009.</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The Company does not expect that the application of SFAS No.160 will have a material impact on its consolidated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April 2009, the FASB issued FASB Staff Position (“FSP”) FAS No. 157-4, “Determining Fair Value When the Volume and Level of Activity for the Asset or Liability Have Significantly Decreased and Identifying Transactions That Are Not Orderly” (“FSP No. 157-4”). FSP No. 157-4 provides guidance on how to determine the fair value of assets and liabilities when the volume and level of activity for the asset or liability has significantly decreased in relation to normal market activity for the asset or liability. FSP No. 157-4 also provides guidance on identifying circumstances that indicate a transaction is not orderly and when the use of multiple (or different) valuation techniques may be warranted and considered. In addition, FSP No. 157-4 requires disclosure in interim and annual periods of the inputs and valuation techniques used to measure fair value and a discussion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changes in valuation techniques. The Company adopted FSP No. 157-4 on April 1, 2009, which did not have a material impact on the Company’s financial statements.</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April 2009, the FASB issued FSP FAS No. 115-2 and FAS No. 124-2, “Recognition and Presentation of Other-Than-Temporary Impairments” (“FSP No. 115-2/124-2”). FSP No. 115-2/124-2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FSP No. 115-2/124-2 requires an entity to assess whether it intends to sell, or it is more likely than not that it will be required to sell a security before recovery of its amortized cost basis. If either of those criteria is met,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The Company adopted FSP No. 115-2/124-2 on April 1, 2009, and reclassified the $1,783 noncredit related portion of other than temporary impairment losses recognized in prior period earnings, as a cumulative effect adjustment that increased retained earnings and decreased accumulated other comprehensive income at April 1, 2009. Please see Note 5.</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April 2009, the FASB issued FSP FAS No. 107-1 and APB No. 28-1, “Interim Disclosures about Fair Value of Financial Instruments” (“FSP No. 107-1/APB 28-1”). FSP No. 107-1/APB 28-1 requires interim disclosures regarding the fair value of financial instruments that are within the scope of FAS 107, “Disclosures about Fair Value of Financial Instruments.” Additionally, FSP No. 107-1/APB 28-1 requires disclosure of the methods and significant assumptions used to estimate the fair value of financial instruments on an interim basis as well as changes of the methods and significant assumptions from prior periods. FSP No. 107-1/APB 28-1 does not change the accounting treatment for these financial instruments. The Company adopted FSP No. 107-1/APB 28-1 on April 1, 2009. Please see Note 4.</w:t>
      </w:r>
    </w:p>
    <w:p>
      <w:pPr>
        <w:spacing w:after="0" w:line="85"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May 2009, the FASB issued SFAS No. 165, “Subsequent Events” (“SFAS No. 165”). The provisions of SFAS No. 165 set forth the period after the balance sheet date during which management of a reporting entity should evaluate events or transactions that may have occurred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The Company adopted SFAS No. 165 on April 1, 2009. Please see Note 1.</w:t>
      </w:r>
    </w:p>
    <w:p>
      <w:pPr>
        <w:spacing w:after="0" w:line="80"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January 1, 2009, the Company adopted SFAS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 No. 133. SFAS No. 161 requires entities to provide greater transparency through additional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results of operations, and cash flows. The Company’s adoption of SFAS No. 161 did not impact the consolidated financial results as it requires additional disclosure, rather than a change in accounting. Please see Note 6.</w:t>
      </w:r>
    </w:p>
    <w:p>
      <w:pPr>
        <w:spacing w:after="0" w:line="7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No. 157”),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No.157-3”). FSP 157-3 clarifies the application of SFAS No. 157 in a market that is not active, and provides guidance on the key considerations in determining the fair value of a financial asset when the market for that financial asset is not active. Effective October 1, 2008, the Company adopted the measurement and disclosure requirements related to financial assets and financial liabilities. The adoption of SFAS No.157 for financial assets and financial liabilities did not have a material impact on its results of operations or the fair values of its financial assets and liabilities. Please see Note 4.</w:t>
      </w:r>
    </w:p>
    <w:p>
      <w:pPr>
        <w:spacing w:after="0" w:line="59"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February 2008, the FASB issued FSP No. SFAS No. 157-2, “Effective Date of FASB Statement No. 157” (“FSP No. 157-2”) which provides a one-year deferral of the effective date of SFAS No. 157 for non-financial assets and non-financial liabilities, except those that are recognized or disclosed in the financial statements at fair value on a recurring basis (at least annually). The Company is currently assessing the impact that SFAS No.157-2 will have on its results of operations and financial position when it is applied to nonfinancial assets and nonfinancial liabilities beginning in the first quarter of fiscal 2010.</w:t>
      </w:r>
    </w:p>
    <w:p>
      <w:pPr>
        <w:spacing w:after="0" w:line="46" w:lineRule="exact"/>
        <w:rPr>
          <w:sz w:val="20"/>
          <w:szCs w:val="20"/>
          <w:color w:val="auto"/>
        </w:rPr>
      </w:pPr>
    </w:p>
    <w:p>
      <w:pPr>
        <w:jc w:val="both"/>
        <w:ind w:right="380" w:firstLine="225"/>
        <w:spacing w:after="0" w:line="259"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earnings. Effective October 1, 2008, the Company adopted SFAS No. 159, but it has not elected the fair value option for any eligible financial instruments as of June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680" w:firstLine="225"/>
        <w:spacing w:after="0" w:line="259" w:lineRule="auto"/>
        <w:rPr>
          <w:sz w:val="20"/>
          <w:szCs w:val="20"/>
          <w:color w:val="auto"/>
        </w:rPr>
      </w:pPr>
      <w:r>
        <w:rPr>
          <w:rFonts w:ascii="Arial" w:cs="Arial" w:eastAsia="Arial" w:hAnsi="Arial"/>
          <w:sz w:val="18"/>
          <w:szCs w:val="18"/>
          <w:color w:val="auto"/>
        </w:rPr>
        <w:t>SFAS No. 157 defines fair value as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SFAS No. 157 establishes a three level fair value hierarchy that prioritizes the inputs used to measure fair value. The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 as follows: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June 30,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$ 428,869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428,869</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269,040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269,040</w:t>
            </w: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2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220,112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220,112</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2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69,260</w:t>
            </w: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2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22,202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22,202</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46,481</w:t>
            </w: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2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28,557</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2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Commercial paper/ certificates of deposits</w:t>
            </w:r>
          </w:p>
        </w:tc>
        <w:tc>
          <w:tcPr>
            <w:tcW w:w="2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269,040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424,510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693,550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$ 697,909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419,727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1,117,636</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15"/>
        <w:spacing w:after="0" w:line="279"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and option contracts valued primarily based on observable inputs including both forward and spot prices for currencies.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financial instruments of the Company consist mainly of cash and cash equivalents, short-term interest-bearing investments, accounts receivable, accounts payable, foreign currency forward exchange contracts and options, debt under short-term financing arrangements and a credit facility. The fair value of the financial instruments included in the accounts of the Company does not significantly vary from their carrying amount.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6"/>
              </w:rPr>
              <w:t>As of June 30, 2009</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32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Amortized cost</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gains</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color w:val="auto"/>
              </w:rPr>
              <w:t>losses</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267,615</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1,628</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U.S. agencies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218,368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220,112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22,142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Asset backed obligations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32,573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4,482</w:t>
            </w:r>
          </w:p>
        </w:tc>
        <w:tc>
          <w:tcPr>
            <w:tcW w:w="3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Commercial paper/ certificates of deposits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(1)</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704,140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5,372</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$ 693,550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Available-for-sale securities are classified as short term interest-bearing investments on the Company’s balance sheet, except for $98,162 of securities with original maturities of 90 days or less which are included in cash and cash equivalents as of June 30, 2009.</w:t>
      </w:r>
    </w:p>
    <w:p>
      <w:pPr>
        <w:spacing w:after="0" w:line="62" w:lineRule="exact"/>
        <w:rPr>
          <w:sz w:val="20"/>
          <w:szCs w:val="20"/>
          <w:color w:val="auto"/>
        </w:rPr>
      </w:pPr>
    </w:p>
    <w:p>
      <w:pPr>
        <w:ind w:right="40" w:firstLine="215"/>
        <w:spacing w:after="0" w:line="270" w:lineRule="auto"/>
        <w:rPr>
          <w:sz w:val="20"/>
          <w:szCs w:val="20"/>
          <w:color w:val="auto"/>
        </w:rPr>
      </w:pPr>
      <w:r>
        <w:rPr>
          <w:rFonts w:ascii="Arial" w:cs="Arial" w:eastAsia="Arial" w:hAnsi="Arial"/>
          <w:sz w:val="17"/>
          <w:szCs w:val="17"/>
          <w:color w:val="auto"/>
        </w:rPr>
        <w:t>As of June 30, 2009, the unrealized losses were primarily due to the credit market conditions and yield curve movements. A significant portion of the unrealized losses have been in continuous loss positions for 12 months or greater. In the quarter ended June 30, 2009, the Company adopted FSP No. 115-2/124-2 and assessed whether the unrealized losses for the investments in its portfolio were other-than-temporary under this guidance. For securities that the Company does not intend to sell and it is not more likely than not that the Company will be required to sell, the Company used a discounted cash flow analysis to determine the portion of the impairment that relates to credit loss.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expected cash flows were discounted using the effective interest rate implicit in the security at the date of acquisition. Based on this assessment the Company recognized a credit loss of $746 in the three months ended June 30, 2009. As of June 30, 2009, unrealized losses of $4,038 related to other-than-temporarily impaired securities are included in accumulated other comprehensive loss.</w:t>
      </w:r>
    </w:p>
    <w:p>
      <w:pPr>
        <w:spacing w:after="0" w:line="70"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accordance with FSP No. 115-2/124-2, the $1,783 non-credit related amount of other- than - -temporary impairment losses recognized in prior period earnings was reclassified as a cumulative effect adjustment that increased retained earnings and decreased accumulated other comprehensive income at April 1, 2009.</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June 30,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2009</w:t>
            </w:r>
          </w:p>
        </w:tc>
        <w:tc>
          <w:tcPr>
            <w:tcW w:w="1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other-than-temporary-impairment was not previously recognized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Balance as of June 30, 2009</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4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color w:val="auto"/>
        </w:rPr>
        <w:t>As of June 30, 2009, the Company’s available-for-sale securities had the following maturity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Market Value</w:t>
            </w:r>
          </w:p>
        </w:tc>
      </w:tr>
      <w:tr>
        <w:trPr>
          <w:trHeight w:val="210"/>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357,444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Due within two years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159,979</w:t>
            </w:r>
          </w:p>
        </w:tc>
        <w:tc>
          <w:tcPr>
            <w:tcW w:w="80" w:type="dxa"/>
            <w:vAlign w:val="bottom"/>
          </w:tcPr>
          <w:p>
            <w:pPr>
              <w:spacing w:after="0"/>
              <w:rPr>
                <w:sz w:val="18"/>
                <w:szCs w:val="18"/>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Due within three years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94,685</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Due within four years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18,267</w:t>
            </w:r>
          </w:p>
        </w:tc>
        <w:tc>
          <w:tcPr>
            <w:tcW w:w="80" w:type="dxa"/>
            <w:vAlign w:val="bottom"/>
          </w:tcPr>
          <w:p>
            <w:pPr>
              <w:spacing w:after="0"/>
              <w:rPr>
                <w:sz w:val="18"/>
                <w:szCs w:val="18"/>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63,175</w:t>
            </w:r>
          </w:p>
        </w:tc>
        <w:tc>
          <w:tcPr>
            <w:tcW w:w="80" w:type="dxa"/>
            <w:vAlign w:val="bottom"/>
            <w:shd w:val="clear" w:color="auto" w:fill="CCEEFF"/>
          </w:tcPr>
          <w:p>
            <w:pPr>
              <w:spacing w:after="0"/>
              <w:rPr>
                <w:sz w:val="18"/>
                <w:szCs w:val="18"/>
                <w:color w:val="auto"/>
              </w:rPr>
            </w:pPr>
          </w:p>
        </w:tc>
      </w:tr>
      <w:tr>
        <w:trPr>
          <w:trHeight w:val="223"/>
        </w:trPr>
        <w:tc>
          <w:tcPr>
            <w:tcW w:w="10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693,550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$9,000 as of June 30, 2009.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2009. Notional values are calculated based on forward rates as of June 30, 2009, U.S. dollar translated.</w:t>
      </w:r>
    </w:p>
    <w:p>
      <w:pPr>
        <w:spacing w:after="0" w:line="162" w:lineRule="exact"/>
        <w:rPr>
          <w:sz w:val="20"/>
          <w:szCs w:val="20"/>
          <w:color w:val="auto"/>
        </w:rPr>
      </w:pPr>
    </w:p>
    <w:p>
      <w:pPr>
        <w:ind w:left="103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5" w:lineRule="exact"/>
        <w:rPr>
          <w:sz w:val="20"/>
          <w:szCs w:val="20"/>
          <w:color w:val="auto"/>
        </w:rPr>
      </w:pPr>
    </w:p>
    <w:p>
      <w:pPr>
        <w:spacing w:after="0"/>
        <w:tabs>
          <w:tab w:leader="none" w:pos="10320" w:val="left"/>
          <w:tab w:leader="none" w:pos="1070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595,159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1" w:lineRule="exact"/>
        <w:rPr>
          <w:sz w:val="20"/>
          <w:szCs w:val="20"/>
          <w:color w:val="auto"/>
        </w:rPr>
      </w:pPr>
    </w:p>
    <w:p>
      <w:pPr>
        <w:ind w:left="460" w:right="3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62"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In accordance with SFAS 133, the Company records all derivative instruments on the balance sheet at fair value (Please see Note 4). The fair value of the open foreign exchange contracts recorded by the Company on its consolidated balance sheets as of June 30, 2009, as an asset or a liability is as follows:</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Accrued expenses and other current liabilities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jc w:val="right"/>
        <w:ind w:right="411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97"/>
        <w:spacing w:after="0"/>
        <w:rPr>
          <w:sz w:val="20"/>
          <w:szCs w:val="20"/>
          <w:color w:val="auto"/>
        </w:rPr>
      </w:pPr>
      <w:r>
        <w:rPr>
          <w:rFonts w:ascii="Arial" w:cs="Arial" w:eastAsia="Arial" w:hAnsi="Arial"/>
          <w:sz w:val="14"/>
          <w:szCs w:val="14"/>
          <w:b w:val="1"/>
          <w:bCs w:val="1"/>
          <w:color w:val="auto"/>
        </w:rPr>
        <w:t>As of</w:t>
      </w:r>
    </w:p>
    <w:p>
      <w:pPr>
        <w:jc w:val="center"/>
        <w:ind w:right="97"/>
        <w:spacing w:after="0" w:line="22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p>
      <w:pPr>
        <w:jc w:val="center"/>
        <w:ind w:right="97"/>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90" w:lineRule="exact"/>
        <w:rPr>
          <w:sz w:val="20"/>
          <w:szCs w:val="20"/>
          <w:color w:val="auto"/>
        </w:rPr>
      </w:pPr>
    </w:p>
    <w:p>
      <w:pPr>
        <w:ind w:left="263" w:hanging="263"/>
        <w:spacing w:after="0"/>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7,169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1,416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(9,647)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(1,160)</w:t>
      </w:r>
    </w:p>
    <w:p>
      <w:pPr>
        <w:spacing w:after="0" w:line="200" w:lineRule="exact"/>
        <w:rPr>
          <w:sz w:val="20"/>
          <w:szCs w:val="20"/>
          <w:color w:val="auto"/>
        </w:rPr>
      </w:pPr>
    </w:p>
    <w:p>
      <w:pPr>
        <w:spacing w:after="0" w:line="24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8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(3,623)</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7"/>
          <w:szCs w:val="17"/>
          <w:u w:val="single" w:color="auto"/>
          <w:color w:val="auto"/>
        </w:rPr>
        <w:t>$  (4,783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428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ectPr>
          <w:pgSz w:w="11900" w:h="16838" w:orient="portrait"/>
          <w:cols w:equalWidth="0" w:num="2">
            <w:col w:w="9917" w:space="720"/>
            <w:col w:w="783"/>
          </w:cols>
          <w:pgMar w:left="240" w:top="935" w:right="239" w:bottom="1440" w:gutter="0" w:footer="0" w:header="0"/>
          <w:type w:val="continuous"/>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300" w:firstLine="225"/>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forward contracts and options to purchase and sell foreign currencies to hedge a significant portion of its foreign currency net exposure resulting from revenue and expense transactions denominated in the major foreign currencies in which it operates. The Company designates these contracts for accounting purposes as cash flow hedges in accordance with SFAS No. 133. The Company currently hedges its exposure to the variability in future cash flows for a maximum period of two years (a significant portion of the forward contracts and options outstanding as of June 30, 2009 are expected to mature within the next 12 months).</w:t>
      </w:r>
    </w:p>
    <w:p>
      <w:pPr>
        <w:spacing w:after="0" w:line="50"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(loss),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income (expense) and other, net.</w:t>
      </w:r>
    </w:p>
    <w:p>
      <w:pPr>
        <w:spacing w:after="0" w:line="7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Gain or loss on the derivative instruments, which partially offset the foreign currency impact from the underlying exposures, reclassified from other comprehensive loss into revenue, cost of service, research and development and selling general and administrative for the three and six months ended June 30, 2009 were $549, $(5,651), $(854) and $(934) and $3,589, $(15,358), $(2,933) and $(2,652), respectively (an aggregate of $(6,710) and $(16,678), net of taxes). The ineffective portion of the change in fair value of a cash flow hedge, including the time value portion excluded from effectiveness testing for the three and six months ended June 30, 2009, was not material.</w:t>
      </w:r>
    </w:p>
    <w:p>
      <w:pPr>
        <w:spacing w:after="0" w:line="80" w:lineRule="exact"/>
        <w:rPr>
          <w:sz w:val="20"/>
          <w:szCs w:val="20"/>
          <w:color w:val="auto"/>
        </w:rPr>
      </w:pPr>
    </w:p>
    <w:p>
      <w:pPr>
        <w:ind w:right="220" w:firstLine="215"/>
        <w:spacing w:after="0" w:line="297" w:lineRule="auto"/>
        <w:rPr>
          <w:sz w:val="20"/>
          <w:szCs w:val="20"/>
          <w:color w:val="auto"/>
        </w:rPr>
      </w:pPr>
      <w:r>
        <w:rPr>
          <w:rFonts w:ascii="Arial" w:cs="Arial" w:eastAsia="Arial" w:hAnsi="Arial"/>
          <w:sz w:val="16"/>
          <w:szCs w:val="16"/>
          <w:color w:val="auto"/>
        </w:rPr>
        <w:t>As of June 30, 2009, amounts related to derivatives designated as cash flow hedges and recorded in accumulated other comprehensive loss totaled $304. The Company estimates that $1,087 of the net loss related to these cash flow hedges included in other comprehensive loss as of June 30, 2009 will be reclassified into earnings within the next 12 months and will partially offset the foreign currency impact from the underlying exposures. The amount ultimately realized in earnings will likely differ due to future changes in foreign exchange rates. Gains (losses) from cash flow hedges recognized in other comprehensive loss during the three and six months ended June 30, 2009 were $13,903 and $(7,883), respectively ($12,754 and $(6,463) net of taxes).</w:t>
      </w:r>
    </w:p>
    <w:p>
      <w:pPr>
        <w:spacing w:after="0" w:line="50"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 did not discontinue cash flow hedges during any of the periods presented because it was probable that the original forecasted transaction would not occur, nor are there any anticipated in the normal course of business.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as of December 31, 2008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(10,519)</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 $(1,420)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(6,463)</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 $676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losses on cash flow hedges, net of tax, as of June 30, 2009</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0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 also enters into forward contracts that are not designated as hedging instruments under SFAS No. 133 and are used to reduce the impact of foreign currency on certain balance sheet exposures and certain revenue and expense.</w:t>
      </w:r>
    </w:p>
    <w:p>
      <w:pPr>
        <w:spacing w:after="0" w:line="62"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These instruments are generally short term in nature, with typical maturities of less than one year, and are subject to fluctuations in foreign exchange rates. Gains or losses on these derivatives, which partially offset the foreign currency impact from the underlying exposures, classified into revenue, cost of service, research and development, selling general and administrative, interest income (expense) and other, net and income taxes for the three and six months ended June 30, 2009 were $(2,334), $4,501, $0, $788, $(8,432) and $(805), and $(2,334), $(916), $(1,204), $437, $(5,699) and $(385),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$ 472,430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560,064</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44,439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48,264</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 (1)</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(9,362)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(34,564)</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$ 507,507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573,764</w:t>
            </w:r>
          </w:p>
        </w:tc>
        <w:tc>
          <w:tcPr>
            <w:tcW w:w="10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decrease in accounts receivable allowances in the nine months ended June 30, 2009, was primarily attributable to a settlement with a customer in which the allowances were written-off against the related accounts receivable and had no impact on revenue or net income in the nine months ended June 30,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1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96"/>
              </w:rPr>
              <w:t>2009</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6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85,548</w:t>
            </w:r>
          </w:p>
        </w:tc>
        <w:tc>
          <w:tcPr>
            <w:tcW w:w="13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$ 100,672</w:t>
            </w:r>
          </w:p>
        </w:tc>
        <w:tc>
          <w:tcPr>
            <w:tcW w:w="6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$ 240,425</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gain (loss) on foreign currency hedging contracts, net of tax</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19,464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(4,812)</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Unrealized gain (loss) on short-term interest-bearing investments, net of tax</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(4,890)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$ 107,332</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90,970</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$ 248,682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292,375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w w:val="97"/>
              </w:rPr>
              <w:t>The provision for income taxes for the following periods consisted of:</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21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5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1,160</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$ 13,602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10,278</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15,433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11,438</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$ 29,035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40" w:type="dxa"/>
            <w:vAlign w:val="bottom"/>
            <w:vMerge w:val="restart"/>
          </w:tcPr>
          <w:p>
            <w:pPr>
              <w:jc w:val="right"/>
              <w:ind w:right="59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840" w:type="dxa"/>
            <w:vAlign w:val="bottom"/>
            <w:tcBorders>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0%</w:t>
            </w: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Foreign taxes</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340" w:type="dxa"/>
            <w:vAlign w:val="bottom"/>
          </w:tcPr>
          <w:p>
            <w:pPr>
              <w:spacing w:after="0"/>
              <w:rPr>
                <w:sz w:val="18"/>
                <w:szCs w:val="18"/>
                <w:color w:val="auto"/>
              </w:rPr>
            </w:pPr>
          </w:p>
        </w:tc>
        <w:tc>
          <w:tcPr>
            <w:tcW w:w="1400" w:type="dxa"/>
            <w:vAlign w:val="bottom"/>
            <w:gridSpan w:val="4"/>
          </w:tcPr>
          <w:p>
            <w:pPr>
              <w:jc w:val="right"/>
              <w:ind w:right="248"/>
              <w:spacing w:after="0"/>
              <w:rPr>
                <w:sz w:val="20"/>
                <w:szCs w:val="20"/>
                <w:color w:val="auto"/>
              </w:rPr>
            </w:pPr>
            <w:r>
              <w:rPr>
                <w:rFonts w:ascii="Arial" w:cs="Arial" w:eastAsia="Arial" w:hAnsi="Arial"/>
                <w:sz w:val="18"/>
                <w:szCs w:val="18"/>
                <w:color w:val="auto"/>
              </w:rPr>
              <w:t>11</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w:t>
            </w:r>
          </w:p>
        </w:tc>
        <w:tc>
          <w:tcPr>
            <w:tcW w:w="1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11%</w:t>
            </w: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As of June 30, 2009, deferred tax assets of $74,806, derived primarily from net capital and operating loss carry forwards related to some of the Company’s subsidiaries, were offset by valuation allowances related to the uncertainty of realizing tax benefit for such losses. Prior to the adoption of SFAS No. 141(R) on October 1, 2009, realization of the tax benefits related to such losses and associated with business combinations is recorded as an adjustment of goodwill and amounts not associated with business combinations are recognized as part of income tax expense. Subsequent to the adoption of SFAS No. 141(R), when realization of the tax benefits associated with such losses is deemed more likely than not, all of the valuation allowance will be recognized as part of income tax expense. As of June 30, 2009, $37,506 of the valuation allowance related to assets obtained from business combinations.</w:t>
      </w:r>
    </w:p>
    <w:p>
      <w:pPr>
        <w:spacing w:after="0" w:line="5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$96,688 as of June 30, 2009, of which $92,642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2009, the Company has accrued $14,856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85,548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100,672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240,425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296,195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Numerator for diluted earnings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85,548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101,657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241,911</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220"/>
              <w:spacing w:after="0" w:line="201" w:lineRule="exact"/>
              <w:rPr>
                <w:sz w:val="20"/>
                <w:szCs w:val="20"/>
                <w:color w:val="auto"/>
              </w:rPr>
            </w:pPr>
            <w:r>
              <w:rPr>
                <w:rFonts w:ascii="Arial" w:cs="Arial" w:eastAsia="Arial" w:hAnsi="Arial"/>
                <w:sz w:val="18"/>
                <w:szCs w:val="18"/>
                <w:color w:val="auto"/>
              </w:rPr>
              <w:t>Denominator for basic earnings per share — weighted average number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202,750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206,329</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202,624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207,069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restricted stock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Arial" w:cs="Arial" w:eastAsia="Arial" w:hAnsi="Arial"/>
                <w:sz w:val="18"/>
                <w:szCs w:val="18"/>
                <w:color w:val="auto"/>
              </w:rPr>
              <w:t>Denominator for diluted earnings per share — adjusted weighted average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420"/>
              <w:spacing w:after="0"/>
              <w:rPr>
                <w:sz w:val="20"/>
                <w:szCs w:val="20"/>
                <w:color w:val="auto"/>
              </w:rPr>
            </w:pPr>
            <w:r>
              <w:rPr>
                <w:rFonts w:ascii="Arial" w:cs="Arial" w:eastAsia="Arial" w:hAnsi="Arial"/>
                <w:sz w:val="18"/>
                <w:szCs w:val="18"/>
                <w:color w:val="auto"/>
              </w:rPr>
              <w:t>shares and assumed conversions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203,515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219,120</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208,514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220,315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2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firstLine="225"/>
        <w:spacing w:after="0" w:line="381" w:lineRule="auto"/>
        <w:rPr>
          <w:sz w:val="20"/>
          <w:szCs w:val="20"/>
          <w:color w:val="auto"/>
        </w:rPr>
      </w:pPr>
      <w:r>
        <w:rPr>
          <w:rFonts w:ascii="Arial" w:cs="Arial" w:eastAsia="Arial" w:hAnsi="Arial"/>
          <w:sz w:val="15"/>
          <w:szCs w:val="15"/>
          <w:color w:val="auto"/>
        </w:rPr>
        <w:t>For the three and nine months ended June 30, 2009 and the three and nine months ended June 30, 2008, 21,657, 22,024, 15,406 and 12,733 shares, respectively were attributable to antdilutive outstanding stock options and therefore were not included in the calculation of diluted earning per share.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Securities</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August 2007, the Company announced that its board of directors had authorized a share repurchase plan allowing the repurchase of up to $400,000 of its outstanding ordinary shares. The authorization permitted the Company to purchase its ordinary shares in open market or privately negotiated transactions at times and prices that it considers appropriate. During the nine months ended June 30, 2009, the Company repurchased 468 ordinary shares under this repurchase program, at an average price of $26.90 per share (excluding broker and transaction fees). The Company had remaining authority, as of June 30, 2009, to repurchase up to $82,723 of its ordinary shares under this plan. The Company did not conduct any repurchases under the plan subsequent to June 30, 2009, and as of August 2009, its authority to conduct repurchases of its ordinary shares expired.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firstLine="225"/>
        <w:spacing w:after="0" w:line="293" w:lineRule="auto"/>
        <w:rPr>
          <w:sz w:val="20"/>
          <w:szCs w:val="20"/>
          <w:color w:val="auto"/>
        </w:rPr>
      </w:pPr>
      <w:r>
        <w:rPr>
          <w:rFonts w:ascii="Arial" w:cs="Arial" w:eastAsia="Arial" w:hAnsi="Arial"/>
          <w:sz w:val="16"/>
          <w:szCs w:val="16"/>
          <w:color w:val="auto"/>
        </w:rPr>
        <w:t>During the first quarter of fiscal 2009, the Company purchased $100,000 aggregate principal amount of its 0.50% convertible notes at an average price of 98% of the principal amount, excluding accrued interest and transaction fees. During the second quarter of fiscal 2009, the Company purchased $18,200 aggregate principal amount of the notes at an average price of 99.6% of the principal amount, excluding accrued interest and transaction fees. In March 2009, holders of the notes tendered to the Company for repurchase $330,780 aggregate principal amount of notes and the Company purchased the tendered notes for cash. The Company funded these purchases using proceeds from its five-year revolving credit facility as described in Note 12. As of June 30, 2009, $1,020 aggregate principal amount of the notes remained as obligations of the Company, due 2024, in accordance with their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November 2007, the Company entered into an unsecured $500,000 five-year revolving credit facility with a syndicate of banks, which is available for general corporate purposes, including acquisitions and repurchases of the Company’s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June 30, 2009, the Company was in compliance with financial covenants under the revolving credit facility. During the first and second quarters of fiscal 2009, the Company borrowed an aggregate of $450,000 under the facility and used the proceeds to repurchase its outstanding notes as described in Note 11. During the third quarter of fiscal 2009, the Company repaid $150,000 of such $450,000 borrowings. The $300,000 remaining balance of the credit facility accrues interest at rate equal to LIBOR plus a 42.5 basis points margin.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5"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summarizes information about options to purchase the Company’s ordinary shares, as well as changes during the nine-month period ended June 30,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22,387.7</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3,466.4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18.41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(2,961.1)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34.22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2009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14,059.5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nine-month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553.5</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2009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As of June 30, 2009, there was $49,531 of unrecognized compensation expense related to unvested stock options and unvested restricted stock awards. The Company recognizes compensation costs using the graded vesting attribution method which results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weighted average period of approximately one year over which the unrecognized compensation expense is expected to be recognized.</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 in accordance with SFAS No. 123 (revised 2004), “Share-Based Payment,” a revision of SFAS No. 123 (“SFAS No. 123(R)”) and Staff Accounting Bulletin No. 107 (“SAB No. 107”), which provides supplemental implementation guidance on SFAS No. 123(R).</w:t>
      </w:r>
    </w:p>
    <w:p>
      <w:pPr>
        <w:spacing w:after="0" w:line="7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Employee equity-based compensation pre-tax expense under SFAS No. 123(R) for the three and nine months ended June 30, 2009 and 2008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16,776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17,712</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1,238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3,277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3,626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22,372</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16,081</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33,331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43,710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June 30, 2009 and 2008 was $1,274 and $1,395, respectively, and for the nine months ended June 30, 2009 and 2008 was $4,324 and $4,225, respectively.</w:t>
      </w:r>
    </w:p>
    <w:p>
      <w:pPr>
        <w:spacing w:after="0" w:line="16"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550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2.12%</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3.23%</w:t>
            </w:r>
          </w:p>
        </w:tc>
        <w:tc>
          <w:tcPr>
            <w:tcW w:w="15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1.93%</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3.23%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4.50</w:t>
            </w: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4.50</w:t>
            </w:r>
          </w:p>
        </w:tc>
        <w:tc>
          <w:tcPr>
            <w:tcW w:w="1560" w:type="dxa"/>
            <w:vAlign w:val="bottom"/>
            <w:gridSpan w:val="2"/>
          </w:tcPr>
          <w:p>
            <w:pPr>
              <w:jc w:val="right"/>
              <w:ind w:right="262"/>
              <w:spacing w:after="0"/>
              <w:rPr>
                <w:sz w:val="20"/>
                <w:szCs w:val="20"/>
                <w:color w:val="auto"/>
              </w:rPr>
            </w:pPr>
            <w:r>
              <w:rPr>
                <w:rFonts w:ascii="Arial" w:cs="Arial" w:eastAsia="Arial" w:hAnsi="Arial"/>
                <w:sz w:val="18"/>
                <w:szCs w:val="18"/>
                <w:color w:val="auto"/>
              </w:rPr>
              <w:t>4.46</w:t>
            </w: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4.30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0.351</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0.347</w:t>
            </w:r>
          </w:p>
        </w:tc>
        <w:tc>
          <w:tcPr>
            <w:tcW w:w="15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0.488</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0.333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080" w:type="dxa"/>
            <w:vAlign w:val="bottom"/>
          </w:tcPr>
          <w:p>
            <w:pPr>
              <w:jc w:val="right"/>
              <w:ind w:right="255"/>
              <w:spacing w:after="0"/>
              <w:rPr>
                <w:sz w:val="20"/>
                <w:szCs w:val="20"/>
                <w:color w:val="auto"/>
              </w:rPr>
            </w:pPr>
            <w:r>
              <w:rPr>
                <w:rFonts w:ascii="Arial" w:cs="Arial" w:eastAsia="Arial" w:hAnsi="Arial"/>
                <w:sz w:val="18"/>
                <w:szCs w:val="18"/>
                <w:color w:val="auto"/>
              </w:rPr>
              <w:t>None</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18"/>
                <w:szCs w:val="18"/>
                <w:color w:val="auto"/>
              </w:rPr>
            </w:pP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None</w:t>
            </w:r>
          </w:p>
        </w:tc>
        <w:tc>
          <w:tcPr>
            <w:tcW w:w="56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8"/>
                <w:szCs w:val="18"/>
                <w:color w:val="auto"/>
              </w:rPr>
              <w:t>None</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0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$ 6.81</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$ 9.95</w:t>
            </w:r>
          </w:p>
        </w:tc>
        <w:tc>
          <w:tcPr>
            <w:tcW w:w="15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$ 7.57</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Operational Efficiency and Cost Reduction Programs</w:t>
      </w:r>
    </w:p>
    <w:p>
      <w:pPr>
        <w:spacing w:after="0" w:line="121"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In accordance with SFAS No.112 “Employers’ Accounting for Post Employment Benefits” (“SFAS No. 112”) and SFAS No.146, “Accounting for Costs Associated with Exit or Disposal Activities” (“SFAS No. 146”), the Company recognized a total of $0 and $15,140 in restructuring charges in the three and nine months ended June 30, 2009, respectively, as described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20" w:firstLine="225"/>
        <w:spacing w:after="0" w:line="259" w:lineRule="auto"/>
        <w:rPr>
          <w:sz w:val="20"/>
          <w:szCs w:val="20"/>
          <w:color w:val="auto"/>
        </w:rPr>
      </w:pPr>
      <w:r>
        <w:rPr>
          <w:rFonts w:ascii="Arial" w:cs="Arial" w:eastAsia="Arial" w:hAnsi="Arial"/>
          <w:sz w:val="18"/>
          <w:szCs w:val="18"/>
          <w:color w:val="auto"/>
        </w:rPr>
        <w:t>In the three months ended December 31, 2008, the Company commenced a series of measures designed to align its operational structure to its expected future activities and to improve efficiency. As part of this plan, the Company recorded a charge of $14,187 consisting primarily of employee separation costs in connection with the termination of the employment of software and information technology specialists and administrative professionals at various locations around the world.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restructuring accrual for this cost reduction program is comprised of the following as of June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Employee</w:t>
            </w:r>
          </w:p>
        </w:tc>
      </w:t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Separation Costs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Charge in first quarter of fiscal 2009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14,187</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(11,852)</w:t>
            </w:r>
          </w:p>
        </w:tc>
      </w:tr>
      <w:tr>
        <w:trPr>
          <w:trHeight w:val="223"/>
        </w:trPr>
        <w:tc>
          <w:tcPr>
            <w:tcW w:w="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Adjustment (*)</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2009</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relates to foreign exchange impacts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addition, the Company recorded in the first quarter of fiscal 2009 a charge of $953 related to the cost reduction program commenced in the fourth quarter of fiscal 2008, consisting primarily of employee separation costs. As of June 30, 2009, $11,384 of the costs associated with this plan had been paid in cash.</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restructuring accrual for this cost reduction program is comprised of the following as of June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Employee</w:t>
            </w:r>
          </w:p>
        </w:tc>
      </w:t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Separation Costs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w:t>
            </w: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Charge in first quarter of fiscal 2009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(9,458)</w:t>
            </w:r>
          </w:p>
        </w:tc>
      </w:tr>
      <w:tr>
        <w:trPr>
          <w:trHeight w:val="223"/>
        </w:trPr>
        <w:tc>
          <w:tcPr>
            <w:tcW w:w="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2009</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relates to foreign exchange impacts</w:t>
      </w:r>
    </w:p>
    <w:p>
      <w:pPr>
        <w:spacing w:after="0" w:line="11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expenses related to the Company’s operational efficiency and cost reduction programs are included in the restructuring charges and in-process research and developments caption of the income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charges have been required and, as a result, the Company did not accrue any amounts for product warranty liability during the nine months ended June 30, 2009 and 2008.</w:t>
      </w:r>
    </w:p>
    <w:p>
      <w:pPr>
        <w:spacing w:after="0" w:line="57"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and in its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2008 that we filed on December 8, 2008 with the U.S.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Amdocs is a leading provider of software and services for providers of communications, media and entertainment services. Although our market focus has traditionally been primarily Tier 1 and Tier 2 service providers in developed markets, we also focus on Tier 3 and 4 providers in these markets, and on providers in emerging markets, such as the Commonwealth of Independent States, Asia-Pacific and Latin America.</w:t>
      </w:r>
    </w:p>
    <w:p>
      <w:pPr>
        <w:spacing w:after="0" w:line="73"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the business-support systems and operational-support systems (BSS and OSS) that enable service providers to deliver a better customer experience, by, for example, introducing products quickly, understanding their customers more deeply, processing orders efficiently and solving problems productively. We refer to these systems collectively as “customer experience systems” because of the crucial impact and increasing importance these systems have on the service providers’ end-user experience.</w:t>
      </w:r>
    </w:p>
    <w:p>
      <w:pPr>
        <w:spacing w:after="0" w:line="63"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We believe the demand for our customer experience systems is primarily driven by the need for service providers to anticipate and respond to market dynamics. In established markets, service providers are transforming their businesses as they attempt to derive revenue and profit from Internet protocol (IP)-based digital content and commerce services, while confronting increased competition from non-traditional competitors, including major Internet companies, handset manufacturers and network equipment providers. In emerging markets, many startup operations are introducing communications services to markets for the first time, coping with massive scale and relatively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by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software products and services that provide functionality and flexibility to service providers as they — and their markets — grow and change.</w:t>
      </w:r>
    </w:p>
    <w:p>
      <w:pPr>
        <w:spacing w:after="0" w:line="75"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also offer a full range of directory sales and publishing systems and related services, which we refer to as “directory systems,” for publishers of both traditional printed yellow and white page directories and electronic Internet directories. We believe that we are a leading provider of directory systems in most of the markets we serve.</w:t>
      </w:r>
    </w:p>
    <w:p>
      <w:pPr>
        <w:spacing w:after="0" w:line="73"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As was the case in the second quarter of fiscal 2009, difficult economic conditions continued to impact our customers’ buying decisions during the third quarter. Our customers remain cautious in committing to new projects, especially for large transformational projects, which continues to impact the pace at which we are able to close new deals and, therefore our revenue. We had previously anticipated operating in this difficult environment during the quarter, and were able to protect our profitability and adjust our cost structure to current business conditions.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firstLine="222"/>
        <w:spacing w:after="0" w:line="257" w:lineRule="auto"/>
        <w:rPr>
          <w:sz w:val="20"/>
          <w:szCs w:val="20"/>
          <w:color w:val="auto"/>
        </w:rPr>
      </w:pPr>
      <w:r>
        <w:rPr>
          <w:rFonts w:ascii="Arial" w:cs="Arial" w:eastAsia="Arial" w:hAnsi="Arial"/>
          <w:sz w:val="18"/>
          <w:szCs w:val="18"/>
          <w:color w:val="auto"/>
        </w:rPr>
        <w:t>The prospects for the balance of fiscal 2009 still remain uncertain and customer activity levels remain modest. As a result, we anticipate that our revenue may continue to trend down as compared to the third fiscal quarter, albeit at a moderating pace, until we see demand improve. In addition, we continue to focus on our profitability by carefully managing our cost structure in a year when we expect revenue to decline from the previous year, as well as invest in our future, including in research and development, so that we can continue to provide the best products and services to our industry. We believe we are well-positioned for growth when economic conditions improve.</w:t>
      </w:r>
    </w:p>
    <w:p>
      <w:pPr>
        <w:spacing w:after="0" w:line="80"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We believe that, in these challenging economic times, service providers will seek to work with large, stable, well-capitalized vendors, creating an advantage for Amdocs against smaller vendors. In addition, by combining an integrated product offering and domain expertise with a track record of success in large-scale system delivery, we strive to reduce project risk for our customers. We believe that this is a competitive differentiator for Amdocs versus systems integrators and enterprise software vendors. In the meantime, we are conducting our business with discipline to protect margins and cash flow, and continue to invest in growth drivers, such as broadband cable and satellite, OSS, managed services, emerging markets and the digital lifestyle (through our Amdocs Interactive offerings), that we believe will strengthen our market-leading position when the economy recovers.</w:t>
      </w:r>
    </w:p>
    <w:p>
      <w:pPr>
        <w:spacing w:after="0" w:line="57" w:lineRule="exact"/>
        <w:rPr>
          <w:sz w:val="20"/>
          <w:szCs w:val="20"/>
          <w:color w:val="auto"/>
        </w:rPr>
      </w:pPr>
    </w:p>
    <w:p>
      <w:pPr>
        <w:jc w:val="both"/>
        <w:ind w:right="26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and nine months ended June 30, 2009, customers in North America, Europe and the rest of the world accounted for 76.5%, 12.2% and 11.3% and 75.6%,14.0% and 10.4% of our revenue, respectively. We maintain development facilities in China, Cyprus, India, Ireland, Israel and the United States.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sale of high-level business consulting that includes services to advise on, transform, integrate and optimize technology and business processes,</w:t>
      </w:r>
    </w:p>
    <w:p>
      <w:pPr>
        <w:spacing w:after="0" w:line="153" w:lineRule="exact"/>
        <w:rPr>
          <w:rFonts w:ascii="Arial" w:cs="Arial" w:eastAsia="Arial" w:hAnsi="Arial"/>
          <w:sz w:val="16"/>
          <w:szCs w:val="16"/>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w:t>
      </w:r>
    </w:p>
    <w:p>
      <w:pPr>
        <w:spacing w:after="0" w:line="130"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pacing w:after="0" w:line="8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540" w:firstLine="215"/>
        <w:spacing w:after="0" w:line="308" w:lineRule="auto"/>
        <w:rPr>
          <w:sz w:val="20"/>
          <w:szCs w:val="20"/>
          <w:color w:val="auto"/>
        </w:rPr>
      </w:pPr>
      <w:r>
        <w:rPr>
          <w:rFonts w:ascii="Arial" w:cs="Arial" w:eastAsia="Arial" w:hAnsi="Arial"/>
          <w:sz w:val="17"/>
          <w:szCs w:val="17"/>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Revenue from managed services arrangements is included in both license and service revenue and includes data center and infrastructure management, application management and ongoing support, systems modernization and consolidation,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40"/>
        <w:spacing w:after="0" w:line="273" w:lineRule="auto"/>
        <w:rPr>
          <w:sz w:val="20"/>
          <w:szCs w:val="20"/>
          <w:color w:val="auto"/>
        </w:rPr>
      </w:pPr>
      <w:r>
        <w:rPr>
          <w:rFonts w:ascii="Arial" w:cs="Arial" w:eastAsia="Arial" w:hAnsi="Arial"/>
          <w:sz w:val="17"/>
          <w:szCs w:val="17"/>
          <w:color w:val="auto"/>
        </w:rPr>
        <w:t>process operations support and end-to-end transformational business process outsourcing. Revenue generated in connection with managed services arrangements is a significant part of our business, accounting for approximately 40% of our total revenue in the nine months ended June 30, 2009 and 2008, and these arrangements generate substantial, long-term revenue streams, cash flow and operating income. In the initial period of our managed services projects, we may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December 2007, the Financial Accounting Standards Board (“FASB”) issued Statement of Financial Accounting Standards (“SFAS”) No. 141 (revised), Business Combinations (“SFAS No. 141(R)”). SFAS No.141(R) significantly changes the accounting for business combinations and establishes principles and requirement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No. 141(R) applies to us prospectively for business combinations for which the acquisition date is on or after October 1, 2009.</w:t>
      </w:r>
    </w:p>
    <w:p>
      <w:pPr>
        <w:spacing w:after="0" w:line="5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No. 160”). SFAS No.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No. 160 is effective for fiscal years beginning after December 15, 2008, and early adoption is prohibited. We do not expect that the application of SFAS No. 160 will have a material impact on our consolidated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Adoption of New Accounting Standard</w:t>
      </w:r>
      <w:r>
        <w:rPr>
          <w:rFonts w:ascii="Arial" w:cs="Arial" w:eastAsia="Arial" w:hAnsi="Arial"/>
          <w:sz w:val="18"/>
          <w:szCs w:val="18"/>
          <w:color w:val="auto"/>
        </w:rPr>
        <w:t>s</w:t>
      </w:r>
    </w:p>
    <w:p>
      <w:pPr>
        <w:spacing w:after="0" w:line="12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In April 2009, FASB issued FASB Staff Position (“FSP”) FAS No. 157-4, “Determining Fair Value When the Volume and Level of Activity for the Asset or Liability Have Significantly Decreased and Identifying Transactions That Are Not Orderly” (“FSP No. 157-4”). FSP No. 157-4 provides guidance on how to determine the fair value of assets and liabilities when the volume and level of activity for the asset or liability has significantly decreased in relation to normal market activity for the asset or liability. FSP No. 157-4 also provides guidance on identifying circumstances that indicate a transaction is not orderly and when the use of multiple (or different) valuation techniques may be warranted and considered. In addition, FSP No. 157-4 requires disclosure in interim and annual periods of the inputs and valuation techniques used to measure fair value and a discussion of changes in valuation techniques. We adopted FSP No. 157-4 on April 1, 2009, which did not have a material impact on our financial statements.</w:t>
      </w:r>
    </w:p>
    <w:p>
      <w:pPr>
        <w:spacing w:after="0" w:line="7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April 2009, the FASB issued FSP FAS No. 115-2 and FAS No. 124-2, “Recognition and Presentation of Other-Than-Temporary Impairments” (“FSP No. 115-2/124-2”). FSP No. 115-2/124-2 clarifies the interaction of the factors that should be considered when determining whether a debt security is other than temporarily impaired; provides guidance on the amount of an other-than-temporary impairment recognized in earnings and other comprehensive income; and expands the disclosures required for other-than-temporary impairments for debt and equity securities. FSP No. 115-2/124-2 requires an entity to assess whether it intends to sell, or it is more likely than not that it will be required to sell a security before recovery of its amortized cost basis. If either of those criteria is met,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We adopted FSP No. 115-2/124-2 on April 1, 2009, and reclassified the $1,783 noncredit related portion of other than temporary impairment losses recognized in prior period earnings as a cumulative effect adjustment that increased retained earnings and decreased accumulated other comprehensive income at April 1, 2009. Please see Note 5 to our unaudited Consolidated Financial Statements.</w:t>
      </w:r>
    </w:p>
    <w:p>
      <w:pPr>
        <w:spacing w:after="0" w:line="6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In April 2009, the FASB issued FSP FAS No. 107-1 and APB No. 28-1, “Interim Disclosures about Fair Value of Financial Instruments” (“FSP No. 107-1/APB 28-1”). FSP No. 107-1/APB 28-1 requires interim disclosures regarding the fair value of financial instruments that are within the scope of FAS 107, “Disclosures about Fair Value of Financial Instruments.” Additionally, FSP No. 107-1/APB 28-1 requires disclosure of the methods and significant assumptions used to estimate the fair value of financial instruments on an interim basis as well as changes of the methods and significant assumptions from prior periods. FSP No. 107-1/APB 28-1 does not change the accounting treatment for these financial instruments. We adopted FSP No. 107-1/APB 28-1 on April 1, 2009. Please see Note 4 to our unaudited Consolidated Financial Statements.</w:t>
      </w:r>
    </w:p>
    <w:p>
      <w:pPr>
        <w:spacing w:after="0" w:line="70"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May 2009, the FASB issued SFAS No. 165, “Subsequent Events” (“SFAS No. 165”). The provisions of SFAS No. 165 set forth the period after the balance sheet date during which management of a reporting entity should evaluate events or transactions that may have occurred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We adopted SFAS No. 165 on April 1, 2009. Please see Note 1 to our unaudited Consolidated Financial Statements.</w:t>
      </w:r>
    </w:p>
    <w:p>
      <w:pPr>
        <w:spacing w:after="0" w:line="64"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January 1, 2009, the Company adopted SFAS No. 161, “Disclosures about Derivative Instruments and Hedging Activities, an amendment of FASB Statement No. 133” (“SFAS No. 161”). SFAS No. 161 applies to all derivative instruments and non-derivative instruments that are designated and qualify as hedging instruments and related hedged items accounted for under SFAS No. 133. SFAS No. 161 requires entities to provide greater transparency through additional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results of operations, and cash flows. Our adoption of SFAS No. 161 did not impact our consolidated financial results as it requires additional disclosure, rather than a change in accounting. Please see Note 6 to our unaudited Consolidated Financial Statements.</w:t>
      </w:r>
    </w:p>
    <w:p>
      <w:pPr>
        <w:spacing w:after="0" w:line="70"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In September 2006, the FASB issued SFAS No. 157, “Fair Value Measurements,” which defines fair value, establishes a framework for measuring fair value in generally accepted accounting principles, and expands disclosures about fair value measurements. In October 2008, the FASB issued FASB Staff Position (“FSP”) No. 157-3 “Determining the Fair Value of a Financial Asset When the Market for That Asset Is Not Active” (“FSP No. 157-3”). FSP No.157-3 clarifies the application of SFAS No. 157 in a market that is not active, and provides guidance on the key considerations in determining the fair value of a financial asset when the market for that financial asset is not active. Effective October 1, 2008, we adopted the measurement and disclosure requirements related to financial assets and financial liabilities. The adoption of SFAS No. 157 for financial assets and financial liabilities did not have a material impact on our results of operations or the fair values of our financial assets and liabilities. Please see Note 4 to our unaudited Consolidated Financial Statements.</w:t>
      </w:r>
    </w:p>
    <w:p>
      <w:pPr>
        <w:spacing w:after="0" w:line="8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February 2008, the FASB issued FSP No. SFAS No. 157-2, Effective Date of SFAS No. 157, which provides a one-year deferral of the effective date of SFAS No. 157 for non-financial assets and non-financial liabilities, except those that are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 w:name="page22"/>
    <w:bookmarkEnd w:id="21"/>
    <w:p>
      <w:pPr>
        <w:ind w:right="260"/>
        <w:spacing w:after="0" w:line="264" w:lineRule="auto"/>
        <w:rPr>
          <w:sz w:val="20"/>
          <w:szCs w:val="20"/>
          <w:color w:val="auto"/>
        </w:rPr>
      </w:pPr>
      <w:r>
        <w:rPr>
          <w:rFonts w:ascii="Arial" w:cs="Arial" w:eastAsia="Arial" w:hAnsi="Arial"/>
          <w:sz w:val="18"/>
          <w:szCs w:val="18"/>
          <w:color w:val="auto"/>
        </w:rPr>
        <w:t>recognized or disclosed in the financial statements at fair value on a recurring basis (at least annually). We are currently assessing the impact that SFAS No. 157-2 will have on our results of operations and financial position when it is applied to nonfinancial assets and nonfinancial liabilities beginning in the first quarter of fiscal 2010.</w:t>
      </w:r>
    </w:p>
    <w:p>
      <w:pPr>
        <w:spacing w:after="0" w:line="73"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No. 115 (“SFAS No.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Effective October 1, 2008, we adopted SFAS No. 159, but we have not elected the fair value option for any eligible financial instruments as of June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Efficiency and Cost Reduction Program</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the first quarter of fiscal 2009, we commenced a series of measures designed to align our operational structure to our expected future activities and to improve efficiency, including reductions in headcount and restrictions on travel expenses and other discretionary costs. As part of this plan, we recorded a charge of $14.2 million consisting primarily of employee separation costs in connection with the termination of the employment of software and information technology specialists and administrative professionals at various locations around the world.</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the first quarter of fiscal 2009, we recorded an additional charge of $0.9 million related our cost reduction program commenced in the fourth quarter of fiscal 2008, consisting primarily of employee separation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2009 and 2008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License</w:t>
            </w: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30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96.2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95.0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50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3060" w:type="dxa"/>
            <w:vAlign w:val="bottom"/>
            <w:gridSpan w:val="4"/>
          </w:tcPr>
          <w:p>
            <w:pPr>
              <w:jc w:val="right"/>
              <w:ind w:right="88"/>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30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4"/>
          </w:tcPr>
          <w:p>
            <w:pPr>
              <w:jc w:val="right"/>
              <w:ind w:right="88"/>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3060" w:type="dxa"/>
            <w:vAlign w:val="bottom"/>
            <w:gridSpan w:val="4"/>
          </w:tcPr>
          <w:p>
            <w:pPr>
              <w:jc w:val="right"/>
              <w:ind w:right="88"/>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Restructuring charges, in-process research and development and other</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50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30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income (expense) and other, net</w:t>
            </w:r>
          </w:p>
        </w:tc>
        <w:tc>
          <w:tcPr>
            <w:tcW w:w="2500" w:type="dxa"/>
            <w:vAlign w:val="bottom"/>
            <w:gridSpan w:val="2"/>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50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500" w:type="dxa"/>
            <w:vAlign w:val="bottom"/>
            <w:gridSpan w:val="2"/>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50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380" w:type="dxa"/>
            <w:vAlign w:val="bottom"/>
            <w:vMerge w:val="restart"/>
          </w:tcPr>
          <w:p>
            <w:pPr>
              <w:jc w:val="right"/>
              <w:ind w:right="19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Nine Months Ended June 30, 2009 and 2008</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nine months ended June 30, 2009 compared to the nine months ended June 30, 2008.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Amount</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107,879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93,570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14,309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2,047,309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2,243,249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(195,940)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2,155,188</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2,336,819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(181,631)</w:t>
            </w:r>
          </w:p>
        </w:tc>
        <w:tc>
          <w:tcPr>
            <w:tcW w:w="6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2,097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(170)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1,381,825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1,493,134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(111,309)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160,113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168,240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(8,127)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300,963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(44,658)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63,594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66,302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(2,708)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1,884,714</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2,032,686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(147,972)</w:t>
            </w:r>
          </w:p>
        </w:tc>
        <w:tc>
          <w:tcPr>
            <w:tcW w:w="6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270,474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(33,659)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23,797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(24,811)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269,460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(58,470)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29,035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(2,700)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(55,770)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25"/>
        <w:spacing w:after="0" w:line="29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by $181.6 million, or 7.8%, to $2,155.2 million in the nine months ended June 30, 2009, from $2,336.8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2008. Revenue in the nine months ended June 30, 2009 was affected by the continuing downturn in macroeconomic conditions, which resulted in slow pace of new project signings across our business. The decrease in revenue was primarily attributable to foreign exchange impacts, the decrease in project revenue primarily from customers in Europe and a decrease in revenue from directory customers. These revenue decreases were partially offset by increases in revenue from cable and satellite customers and in revenue from managed services telecommunications customers.</w:t>
      </w:r>
    </w:p>
    <w:p>
      <w:pPr>
        <w:spacing w:after="0" w:line="50" w:lineRule="exact"/>
        <w:rPr>
          <w:sz w:val="20"/>
          <w:szCs w:val="20"/>
          <w:color w:val="auto"/>
        </w:rPr>
      </w:pPr>
    </w:p>
    <w:p>
      <w:pPr>
        <w:jc w:val="both"/>
        <w:ind w:right="100" w:firstLine="225"/>
        <w:spacing w:after="0" w:line="342" w:lineRule="auto"/>
        <w:rPr>
          <w:sz w:val="20"/>
          <w:szCs w:val="20"/>
          <w:color w:val="auto"/>
        </w:rPr>
      </w:pPr>
      <w:r>
        <w:rPr>
          <w:rFonts w:ascii="Arial" w:cs="Arial" w:eastAsia="Arial" w:hAnsi="Arial"/>
          <w:sz w:val="16"/>
          <w:szCs w:val="16"/>
          <w:color w:val="auto"/>
        </w:rPr>
        <w:t>License revenue in the nine months ended June 30, 2009 increased by $14.3 million, or 15.3%, to $107.9 million in the nine months ended June 30, 2009, from $93.6 million in the nine months ended June 30, 2008, primarily due to progress on projects with relatively higher portions of license fees.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right="160" w:firstLine="225"/>
        <w:spacing w:after="0" w:line="297" w:lineRule="auto"/>
        <w:rPr>
          <w:sz w:val="20"/>
          <w:szCs w:val="20"/>
          <w:color w:val="auto"/>
        </w:rPr>
      </w:pPr>
      <w:r>
        <w:rPr>
          <w:rFonts w:ascii="Arial" w:cs="Arial" w:eastAsia="Arial" w:hAnsi="Arial"/>
          <w:sz w:val="16"/>
          <w:szCs w:val="16"/>
          <w:color w:val="auto"/>
        </w:rPr>
        <w:t>License and service revenue attributable to the sale of customer experience systems decreased by $121.0 million, or 5.7%, to $2,016.8 million in the nine months ended June 30, 2009, from $2,137.8 million in the nine months ended June 30, 2008. The decrease was primarily attributable to foreign exchange impacts and to a decrease in project revenue primarily from customers in Europe, partially offset by an increase in revenue attributable to cable and satellite customers and in revenue from managed services arrangements. License and service revenue resulting from the sale of customer experience systems represented 93.6% and 91.5% of our total revenue in the nine months ended June 30, 2009 and 2008, respectively.</w:t>
      </w:r>
    </w:p>
    <w:p>
      <w:pPr>
        <w:spacing w:after="0" w:line="50"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decreased by $60.7 million, or 30.5%, to $138.3 million in the nine months ended June 30, 2009, from $199.0 million in the nine months ended June 30, 2008. The decrease was primarily attributable to a decrease in projects for our existing customers. License and service revenue from the sale of directory systems represented 6.4% and 8.5% of our total revenue in the nine months ended June 30, 2009 and 2008, respectively.</w:t>
      </w:r>
    </w:p>
    <w:p>
      <w:pPr>
        <w:spacing w:after="0" w:line="7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the nine months ended June 30, 2009, revenue from customers in North America, Europe and the rest of the world accounted for 75.6%, 14.0% and 10.4%, respectively, of total revenue compared to 69.0%,17.0% and 14.0%, respectively, in the nine months ended June 30, 2008. The increase in revenue in absolute amounts contributed from customers in North America was primarily attributable to revenue from cable and satellite customers partially offset by foreign exchange impacts. The decrease in revenue contributed from customers in Europe was primarily attributable to completion of projects, a decrease in the pace of new project commitments and foreign exchange impacts. The decrease in revenue contributed from customers in the rest of the world was primarily attributable to completion of projects, a decrease in the pace of new project commitments, a decrease in revenue attributable to the sale of directory systems and foreign exchange impacts.</w:t>
      </w:r>
    </w:p>
    <w:p>
      <w:pPr>
        <w:spacing w:after="0" w:line="8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b w:val="1"/>
          <w:bCs w:val="1"/>
          <w:i w:val="1"/>
          <w:iCs w:val="1"/>
          <w:color w:val="auto"/>
        </w:rPr>
        <w:t xml:space="preserve">Cost of License and Service. </w:t>
      </w:r>
      <w:r>
        <w:rPr>
          <w:rFonts w:ascii="Arial" w:cs="Arial" w:eastAsia="Arial" w:hAnsi="Arial"/>
          <w:sz w:val="16"/>
          <w:szCs w:val="16"/>
          <w:color w:val="auto"/>
        </w:rPr>
        <w:t>Cost of license mainly includes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decreased by</w:t>
      </w:r>
    </w:p>
    <w:p>
      <w:pPr>
        <w:ind w:right="120"/>
        <w:spacing w:after="0" w:line="252" w:lineRule="auto"/>
        <w:rPr>
          <w:sz w:val="20"/>
          <w:szCs w:val="20"/>
          <w:color w:val="auto"/>
        </w:rPr>
      </w:pPr>
      <w:r>
        <w:rPr>
          <w:rFonts w:ascii="Arial" w:cs="Arial" w:eastAsia="Arial" w:hAnsi="Arial"/>
          <w:sz w:val="18"/>
          <w:szCs w:val="18"/>
          <w:color w:val="auto"/>
        </w:rPr>
        <w:t>$111.5 million, or 7.5 %, to $1,383.9 million in the nine months ended June 30, 2009, from $1,495.4 million in the nine months ended June 30, 2008. As a percentage of revenue, cost of license and service was 64.2% in the nine months ended June 30, 2009, compared to 64.0% in the nine months ended June 30, 2008. Our cost of service in the nine months ended June 30, 2009 was affected by the overall decrease in our revenue, the effects of our cost savings programs, our expansion into lower cost jurisdictions and foreign exchange impacts, partially offset by our managed services activities for customer experience system arrangements. Margins from existing managed services tend to improve over time as we realize synergies, create cost efficiencies and improve business processes.</w:t>
      </w:r>
    </w:p>
    <w:p>
      <w:pPr>
        <w:spacing w:after="0" w:line="86"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is primarily comprised of compensation expense. Research and development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$8.1 million, or 4.8%, to $160.1 million in the nine months ended June 30, 2009, from $168.2 million in the nine months ended June 30, 2008. As a percentage of revenue, research and development expense was 7.4% in the nine months ended June 30, 2009, compared to 7.2% in the nine months ended June 30, 2008. The decrease in research and development expense was primarily attributable to the effects of our cost savings programs, as well as to changes in the geographical mix of our research and development resources. We believe that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8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decreased by $44.7 million, or 14.8%, to $256.3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2009, from $301.0 million in the nine months ended June 30,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color w:val="auto"/>
        </w:rPr>
        <w:t>. Amortization of purchased intangible assets decreased by $2.7 million, or 4.1%, to $63.6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2009, from $66.3 million in the nine months ended June 30, 2008. The decrease in amortization of purchased intangible assets was primarily due to purchased intangible assets that were fully amortized, partially offset by amortization of intangible assets related to small acquisitions in fiscal 2008 and the first quarter of fiscal 2009.</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Restructuring Charges and In-Process 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charges and in-process research and development in the nine months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2009 consisted of a $15.1 million restructuring charge related primarily to our restructuring plan in the first quarter of fiscal 2009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charge for the write-off of purchased in-process research and development related to a small acquisition during the first quarter of fiscal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charges and in-process research and development in the nine months ended June 30, 2008 consisted of a $1.8 million write-off of purchased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research and development related to an immaterial fiscal 2008 acquisition.</w:t>
      </w:r>
    </w:p>
    <w:p>
      <w:pPr>
        <w:spacing w:after="0" w:line="103" w:lineRule="exact"/>
        <w:rPr>
          <w:sz w:val="20"/>
          <w:szCs w:val="20"/>
          <w:color w:val="auto"/>
        </w:rPr>
      </w:pPr>
    </w:p>
    <w:p>
      <w:pPr>
        <w:ind w:right="1040" w:firstLine="225"/>
        <w:spacing w:after="0" w:line="27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$33.6 million, or 11.1%, to $270.5 million in the nine months ended June 30, 2009,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$304.1 million in the nine months ended June 30, 2008. The decrease in operating income was primarily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jc w:val="both"/>
        <w:ind w:right="320"/>
        <w:spacing w:after="0" w:line="264" w:lineRule="auto"/>
        <w:rPr>
          <w:sz w:val="20"/>
          <w:szCs w:val="20"/>
          <w:color w:val="auto"/>
        </w:rPr>
      </w:pPr>
      <w:r>
        <w:rPr>
          <w:rFonts w:ascii="Arial" w:cs="Arial" w:eastAsia="Arial" w:hAnsi="Arial"/>
          <w:sz w:val="18"/>
          <w:szCs w:val="18"/>
          <w:color w:val="auto"/>
        </w:rPr>
        <w:t>attributable to the decrease in revenue, restructuring and in-process research and development charges in the first quarter of fiscal 2009, foreign exchange impacts and our managed services activities for customer experience system arrangements, partially offset by the effects of our cost savings programs and expansion into lower cost jurisdictions.</w:t>
      </w:r>
    </w:p>
    <w:p>
      <w:pPr>
        <w:spacing w:after="0" w:line="7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Income and Other, Net. </w:t>
      </w:r>
      <w:r>
        <w:rPr>
          <w:rFonts w:ascii="Arial" w:cs="Arial" w:eastAsia="Arial" w:hAnsi="Arial"/>
          <w:sz w:val="16"/>
          <w:szCs w:val="16"/>
          <w:color w:val="auto"/>
        </w:rPr>
        <w:t>Interest (expense) income and other, net decreased by $24.8 million to expense of $1.0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2009, from income of $23.8 million in the nine months ended June 30, 2008. The decrease in interest (expense) income and other, net, is primarily attributable to lower income on our short-term interest-bearing investments due to current market conditions and to foreign exchange impacts.</w:t>
      </w:r>
    </w:p>
    <w:p>
      <w:pPr>
        <w:spacing w:after="0" w:line="39"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nine months ended June 30, 2009 were $29.0 million on pretax income of $269.5 million, resulting in an effective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10.8%, compared to 9.7% in the nine months ended June 30, 2008. Of the increase in our effective tax rate, approximately 5.2% was attributable to changes in the tax reserves, approximately 2.3% was attributable to a tax benefit resulting from a lapse of statute of limitations in the nine months ended June 30, 2008, which was partially offset by approximately 3.8% attributable to the geographical distribution of earnings from global operations, approximately 1.9% attributable to changes in the valuation allowances, and the remaining difference was attributable to the net effect of acquisition-related costs (which include amortization of purchased intangible assets, and in-process research and development), restructuring charges and equity-based compensation expense. Our effective tax rate may fluctuate between quarters as a result of discrete items that may affect a specific quarter.</w:t>
      </w:r>
    </w:p>
    <w:p>
      <w:pPr>
        <w:spacing w:after="0" w:line="5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$55.8 million, or 18.8%, to $240.4 million in the nine months ended June 30, 2009, from $296.2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2008. The decrease in net income was attributable mainly to the decrease in operating income and the decrease in interest (expense) income and other, net.</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decreased by $0.2, or 14.7%, to $1.16 in the nine months ended June 30, 2009, from $1.36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June 30, 2008. The decrease in diluted earnings per share resulted primarily from the decrease in net income, partially offset by the decrease in diluted weighted average numbers of shares outstanding resulting primarily from the repurchase and redemption of our convertible notes and repurchase of our shares in fiscal 2008. Please see Note 10 to our unaudited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2009 and 2008</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2009 compared to the three months ended June 30, 2008.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License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26,075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35,244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(9,169)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664,190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785,044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(120,854)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690,265</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820,288</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(130,023)</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441,777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528,437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(86,660)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51,134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56,137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104,632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21,839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22,796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(957)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597,019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714,337</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(117,318)</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105,951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(12,705)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income (expense) and other, net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(3,645)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112,110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(16,350)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10,212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(1,226)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85,548</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100,672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decreased by $130.0 million, or 15.9%, to $690.3 million in the three months ended June 30, 2009, from $820.3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2008. Revenue in the three months ended June 30, 2009 was affected by the continuing downturn in macroeconomic conditions, which resulted in slow pace of new project signings across our business. The decrease in revenue was primarily attributable to a decrease in project revenue and foreign exchange impacts.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280" w:firstLine="225"/>
        <w:spacing w:after="0" w:line="277" w:lineRule="auto"/>
        <w:rPr>
          <w:sz w:val="20"/>
          <w:szCs w:val="20"/>
          <w:color w:val="auto"/>
        </w:rPr>
      </w:pPr>
      <w:r>
        <w:rPr>
          <w:rFonts w:ascii="Arial" w:cs="Arial" w:eastAsia="Arial" w:hAnsi="Arial"/>
          <w:sz w:val="18"/>
          <w:szCs w:val="18"/>
          <w:color w:val="auto"/>
        </w:rPr>
        <w:t>License revenue decreased by $9.2 million, or 26.0%, to $26.1 million in the three months ended June 30, 2009, from $35.2 million in the three months ended June 30, 2008. The decrease in revenue was primarily attributable to completion of projects.</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License and service revenue attributable to the sale of customer experience systems decreased by $109.0 million, or 14.4%, to $647.9 million in the three months ended June 30, 2009, from $756.9 million in the three months ended June 30, 2008. The decrease was primarily attributable to a decrease in project revenue and to foreign exchange impacts. License and service revenue resulted from the sale of customer experience systems represented 93.9% and 92.3% of our total revenue in the three months ended June 30, 2009 and 2008, respectively.</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decreased by $21.0 million, or 33.1%, to $42.4 million in the three months ended June 30, 2009, from $63.4 million in the three months ended June 30, 2008. The decrease was primarily attributable to a decrease in projects for our existing customers. License and service revenue from the sale of directory systems represented 6.1% and 7.7% of our total revenue in the three months ended June 30, 2009 and 2008, respectively.</w:t>
      </w:r>
    </w:p>
    <w:p>
      <w:pPr>
        <w:spacing w:after="0" w:line="7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the three months ended June 30, 2009, revenue from customers in North America, Europe and the rest of the world accounted for 76.5%, 12.2% and 11.3%, respectively, of total revenue compared to 69.5%, 16.2% and 14.3%, respectively, in the three months ended June 30, 2008. Revenue contributed from customers in North America, in absolute amounts, decreased, however, the decrease was less than the 15.9% decrease in our total revenue which resulted in an increase in revenue from customers in North America as a percentage of total revenue. The decrease in revenue from customers in North America, in absolute amounts, was primarily attributable to a decrease in project revenue and to foreign exchange impacts, which was partially offset by an increase in revenue attributable to cable and satellite customers. The decrease in revenue contributed from customers in Europe was primarily attributable to completion of projects, a decrease in the pace of new project commitments and foreign exchange impacts. The decrease in revenue contributed from customers in the rest of the world was primarily attributable to completion of projects, a decrease in the pace of new project commitments, a decrease in revenue attributable to the sale of directory systems and foreign exchange impacts.</w:t>
      </w:r>
    </w:p>
    <w:p>
      <w:pPr>
        <w:spacing w:after="0" w:line="74"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mainly includes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decreased by</w:t>
      </w:r>
    </w:p>
    <w:p>
      <w:pPr>
        <w:ind w:right="20"/>
        <w:spacing w:after="0" w:line="254" w:lineRule="auto"/>
        <w:rPr>
          <w:sz w:val="20"/>
          <w:szCs w:val="20"/>
          <w:color w:val="auto"/>
        </w:rPr>
      </w:pPr>
      <w:r>
        <w:rPr>
          <w:rFonts w:ascii="Arial" w:cs="Arial" w:eastAsia="Arial" w:hAnsi="Arial"/>
          <w:sz w:val="18"/>
          <w:szCs w:val="18"/>
          <w:color w:val="auto"/>
        </w:rPr>
        <w:t>$86.7 million, or 16.4%, to $442.3 million in the three months ended June 30, 2009, from $529.0 million in the three months ended June, 30, 2008. As a percentage of revenue, cost of license and service was 64.1% in the three months ended June 30, 2009, compared to 64.5% in the three months ended June 30, 2008. Our cost of service in the three months ended June 30, 2009 was affected by the overall decrease in our revenue, the effects of our cost savings programs, our expansion into lower cost jurisdictions and by foreign exchange impacts.</w:t>
      </w:r>
    </w:p>
    <w:p>
      <w:pPr>
        <w:spacing w:after="0" w:line="8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$5.0 million, or 8.9%, in the three months ended June 30, 2009 to $51.1 million from $56.1 million in the three months ended June 30, 2008. As a percentage of revenue, research and development expense was 7.4% in the three months ended June 30, 2009, compared to 6.8% in the three months ended June 30, 2008. The decrease in research and development expense, in absolute amounts, was less than the 15.9% decrease in our total revenue which resulted in an increase in research and development expense as a percentage of revenue. The decrease in research and development expense, in absolute amounts, was primarily attributable to the effects of our cost savings programs, as well as to changes in the geographical mix of our research and development resources.</w:t>
      </w:r>
    </w:p>
    <w:p>
      <w:pPr>
        <w:spacing w:after="0" w:line="5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$22.9 million, or 21.9%, to $81.7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2009, from $104.6 million in the three months ended June 30,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79"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color w:val="auto"/>
        </w:rPr>
        <w:t>. Amortization of purchased intangible assets in the three months ended June 30, 2009 was $21.8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$22.8 million in the three months ended June 30,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7"/>
          <w:szCs w:val="17"/>
          <w:b w:val="1"/>
          <w:bCs w:val="1"/>
          <w:i w:val="1"/>
          <w:iCs w:val="1"/>
          <w:color w:val="auto"/>
        </w:rPr>
        <w:t xml:space="preserve">Operating Income. </w:t>
      </w:r>
      <w:r>
        <w:rPr>
          <w:rFonts w:ascii="Arial" w:cs="Arial" w:eastAsia="Arial" w:hAnsi="Arial"/>
          <w:sz w:val="17"/>
          <w:szCs w:val="17"/>
          <w:color w:val="auto"/>
        </w:rPr>
        <w:t>Operating income decreased by $12.7 million, or 12.0%, in the three months ended June 30, 2009, to $93.2 million, from</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$105.9 million, in the three months ended June 30, 2008. Operating income, as a percentage of revenue increased to 13.5% in the three months ended June 30, 2009 from 12.9% in the three months ended June 30, 2008. The decrease in operating income, in absolute amounts, was primarily attributable to the decrease in revenue and foreign exchange impacts, partially offset by the effects of our cost savings programs and expansion into lower cost jurisdictions.</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Interest Income (Expense) and Other, Net. </w:t>
      </w:r>
      <w:r>
        <w:rPr>
          <w:rFonts w:ascii="Arial" w:cs="Arial" w:eastAsia="Arial" w:hAnsi="Arial"/>
          <w:sz w:val="16"/>
          <w:szCs w:val="16"/>
          <w:color w:val="auto"/>
        </w:rPr>
        <w:t>Interest income (expense) and other, net decreased by $3.6 million in the three months ended June 30, 2009, or</w:t>
      </w:r>
    </w:p>
    <w:p>
      <w:pPr>
        <w:spacing w:after="0" w:line="4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59.2%, to income of $2.5 million from income of $6.2 million in the three months ended June 30, 2008. The decrease in interest income and other, net, is primarily attributable to lower income on our short-term interest-bearing investments due to current market conditions.</w:t>
      </w:r>
    </w:p>
    <w:p>
      <w:pPr>
        <w:spacing w:after="0" w:line="76"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2009 were $10.2 million on pretax income of $95.8 million, resulting in an effective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of 10.7%, compared to 10.2% in the three months ended June 30, 2008. Of the increase in our effective tax rate, approximately 10.9% related to changes in our tax reserves, approximately 7.0% was attributable to a tax benefit resulting from a lapse of statute of limitations in the nine months ended June 30, 2008, which was partially offset by approximately 9.6% attributable to the geographical distribution of earnings from global operations, approximately 7.1% attributable to changes in the valuation allowances, and the remaining difference was attributable to the net effect of acquisition-related costs (which include amortization of purchased intangible assets, and in-process research and development), and equity-based compensation expense. Our effective tax rate may fluctuate between quarters as a result of discrete items that may affect a specific quarter.</w:t>
      </w:r>
    </w:p>
    <w:p>
      <w:pPr>
        <w:spacing w:after="0" w:line="70"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$85.5 million in the three months ended June 30, 2009, compared to net income of $100.7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2008. The decrease in net income was mainly attributable to the decrease in our operating income and the decrease in interest income (expense) and other, net.</w:t>
      </w:r>
    </w:p>
    <w:p>
      <w:pPr>
        <w:spacing w:after="0" w:line="73"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decreased by $0.04, or 8.7% to $0.42 in the three months ended June 30, 2009, from $0.46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June 30, 2008. The decrease in diluted earnings per share resulted from the decrease in net income, partially offset by the decrease in diluted weighted average numbers of shares outstanding resulting primarily from the repurchase and redemption of our convertible notes and repurchase of our shares in fiscal 2008. Please see Note 10 to our unaudited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Cash, cash equivalents and short-term interest-bearing investments totaled $1,280.3 million as of June 30, 2009, compared to $1,244.4 million as of September 30, 2008. The increase was mainly attributable to $335.5 million in positive cash flow from operations and our $300.0 million net borrowing under our revolving credit facility, partially offset by $446.8 million used for the redemption and repurchase of our convertible notes, $61.9 in net cash paid for acquisitions, $65.5 million for capital expenditures and $20.0 million used to repurchase our ordinary shares pursuant to our share repurchase program. Net cash provided by operating activities amounted to $335.5 million and $305.5 million for the nine months ended June 30, 2009 and 2008, respectively.</w:t>
      </w:r>
    </w:p>
    <w:p>
      <w:pPr>
        <w:spacing w:after="0" w:line="5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12 months.</w:t>
      </w:r>
    </w:p>
    <w:p>
      <w:pPr>
        <w:spacing w:after="0" w:line="62"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Our interest-bearing investments are classified as available-for-sale securities. Unrealized gains or losses are reported as a separate component of accumulated other comprehensive income, net of tax. Such short-term interest-bearing investments consist primarily of U.S. government treasuries, U.S. agency securities, government guaranteed debt and corporate bonds. We have conservative investment policy guidelines and, consistent with these guidelines, in prior years we also purchased AAA asset-backed obligations and mortgages. Our interest-bearing investments are stated at fair value. Our interest-bearing investments are priced by pricing vendors and are classified as Level 1 or Level 2 investments, as defined by under SFAS No.157, since these vendors either provide a quoted market price in an active market or use observable inputs. See Note 4 to our unaudited Consolidated Financial Statements. In the third quarter of fiscal 2009, we adopted FSP No. 115-2/124-2 and assessed whether the unrealized losses for the investments in our portfolio were other-than-temporary under this guidance. For securities that we do not intend to sell and it is not more likely than not that we will be required to sell, we used a discounted cash flow analysis to determine the portion of the impairment that relates to the credit loss. To the extent that the net present value of the projected cash flows was less than the amortized cost of the security, the difference is considered credit loss and is recorded through earnings. The inputs on the future performance of the underlying assets used in the cash flow models include prepayments, defaults and loss severity assumptions. The expected cash flows were discounted using the effective interest rate implicit in the security at the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80"/>
        <w:spacing w:after="0" w:line="308" w:lineRule="auto"/>
        <w:rPr>
          <w:sz w:val="20"/>
          <w:szCs w:val="20"/>
          <w:color w:val="auto"/>
        </w:rPr>
      </w:pPr>
      <w:r>
        <w:rPr>
          <w:rFonts w:ascii="Arial" w:cs="Arial" w:eastAsia="Arial" w:hAnsi="Arial"/>
          <w:sz w:val="17"/>
          <w:szCs w:val="17"/>
          <w:color w:val="auto"/>
        </w:rPr>
        <w:t>of acquisition. Based on this assessment we recognized a credit loss of $0.7 million in the three months ended June 30, 2009. As of June 30, 2009, unrealized losses of $4.0 million related to other-than-temporarily impaired securities are included in accumulated other comprehensive loss.</w:t>
      </w:r>
    </w:p>
    <w:p>
      <w:pPr>
        <w:spacing w:after="0" w:line="3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ratings. As of June 30, 2009, we were in compliance with the financial covenants under the revolving credit facility. During the six months ended March 31, 2009, we borrowed $450 million under the facility and used the proceeds to acquire our outstanding notes as described below. During the three months ended June 30, 2009, we repaid $150.0 million of the $450.0 million then outstanding under our credit facility. The $300.0 million remaining balance of the credit facility accrues interest at rate equal to LIBOR plus a 42.5 basis points margin.</w:t>
      </w:r>
    </w:p>
    <w:p>
      <w:pPr>
        <w:spacing w:after="0" w:line="7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the first quarter of fiscal 2009, using proceeds from our revolving credit facility, we purchased $100 million aggregate principal amount of our notes at an average price of 98% of the principal amount, excluding accrued interest and transaction fees. During the second quarter of fiscal 2009 we purchased $18.2 million aggregate principal amount of our 0.50% convertible notes at an average price of 99.6% of the principal amount, excluding accrued interest and transaction fees. In March 2009, the holders of the notes had tendered to us for repurchase of $330.8 million principal amount of 0.50% Notes of the $331.8 million then outstanding and we purchased the tendered 0.50% Notes for cash. We funded these purchases using proceeds from our five-year revolving credit facility as described above. As of June 30, 2009, $1.0 million principal amount of the 0.50% Notes remain as our obligations, due 2024, in accordance with their terms.</w:t>
      </w:r>
    </w:p>
    <w:p>
      <w:pPr>
        <w:spacing w:after="0" w:line="81"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As of June 30, 2009, we had outstanding letters of credit and bank guarantees from various banks totaling $17.5 million. As of June 30, 2009, we had outstanding obligations of $1.2 million in connection with leasing arrangements.</w:t>
      </w:r>
    </w:p>
    <w:p>
      <w:pPr>
        <w:spacing w:after="0" w:line="62" w:lineRule="exact"/>
        <w:rPr>
          <w:sz w:val="20"/>
          <w:szCs w:val="20"/>
          <w:color w:val="auto"/>
        </w:rPr>
      </w:pPr>
    </w:p>
    <w:p>
      <w:pPr>
        <w:jc w:val="both"/>
        <w:ind w:right="40" w:firstLine="222"/>
        <w:spacing w:after="0" w:line="302" w:lineRule="auto"/>
        <w:rPr>
          <w:sz w:val="20"/>
          <w:szCs w:val="20"/>
          <w:color w:val="auto"/>
        </w:rPr>
      </w:pPr>
      <w:r>
        <w:rPr>
          <w:rFonts w:ascii="Arial" w:cs="Arial" w:eastAsia="Arial" w:hAnsi="Arial"/>
          <w:sz w:val="16"/>
          <w:szCs w:val="16"/>
          <w:color w:val="auto"/>
        </w:rPr>
        <w:t>We have contractual obligations for our convertible notes, financing arrangements, non-cancelable operating leases and purchase obligations summarized in the tabular disclosure of contractual obligations in our Annual Report on Form 20-F for our fiscal year ended September 30, 2008. Other than our purchase in the six months ended March 31, 2009 of $449.0 million aggregate principal amount of our notes using proceeds from our credit facility as described above, since September 30, 2008, there have been no material changes in our contractual obligations other than in the ordinary course of our business.</w:t>
      </w:r>
    </w:p>
    <w:p>
      <w:pPr>
        <w:spacing w:after="0" w:line="46"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Our capital expenditures were approximately $65.5 million in the nine months ended June 30, 2009. Approximately 90% of these expenditures consisted of purchases of computer equipment, and the remainder to leasehold improvements and furniture and fixtures. The capital expenditures in the nine months ended June 30, 2009 were mainly attributable to investments in our operating facilities and our development centers around the world. We fund our capital expenditures principally from operating cash flows. We do not anticipate any changes to this policy in the foreseeable future.</w:t>
      </w:r>
    </w:p>
    <w:p>
      <w:pPr>
        <w:spacing w:after="0" w:line="4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From time to time, we have engaged in share repurchase programs in which we repurchase our shares in the open market or privately negotiated transactions and at times and prices we deem appropriate.</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August 2007, our board of directors authorized a share repurchase plan allowing the repurchase of up to $400 million of our outstanding ordinary shares. The authorization permitted us to purchase our ordinary shares in open market or privately negotiated transactions at times and prices that we consider appropriate. In the first quarter of fiscal 2009, we repurchased approximately 0.5 million ordinary shares at an average price of $26.90 per share (excluding broker and transaction fees). We had authority, as of June 30, 2009, to repurchase up to $82.7 million of our ordinary shares under this plan. We did not conduct any repurchases under the plan subsequent to June 30, 2009, and as of August 2009, our authority to conduct repurchases of our ordinary shares expired.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7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During the nine months ended June 30, 2009 and 2008, approximately 70% to 80% of our revenue and approximately 50% to 60% of our operating expenses were in U.S. dollars or linked to the U.S. dollar. As our customers may seek contracts that are denominated in currencies other than the U.S. dollar and as our operational activities outside of the United States increase, the percentage of our revenue and operating expenses in U.S. dollar or linked to the U.S. dollar may decrease over time, which may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Changes in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2009:</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April 22, 2009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12, 2009</w:t>
      </w:r>
    </w:p>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5" w:right="6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2019-12-10T16:43:29Z</dcterms:created>
  <dcterms:modified xsi:type="dcterms:W3CDTF">2019-12-10T16:43:29Z</dcterms:modified>
</cp:coreProperties>
</file>