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January 2008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8"/>
          <w:szCs w:val="18"/>
          <w:color w:val="auto"/>
        </w:rPr>
        <w:t>FORM 20-F [X] FORM 40-F [ ]</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 [ ]</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 [ ]</w:t>
      </w:r>
    </w:p>
    <w:p>
      <w:pPr>
        <w:spacing w:after="0" w:line="208"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YES [ ] NO [X]</w:t>
      </w:r>
    </w:p>
    <w:p>
      <w:pPr>
        <w:sectPr>
          <w:pgSz w:w="11900" w:h="16838" w:orient="portrait"/>
          <w:cols w:equalWidth="0" w:num="1">
            <w:col w:w="10219"/>
          </w:cols>
          <w:pgMar w:left="240" w:top="649" w:right="1440" w:bottom="1440" w:gutter="0" w:footer="0" w:header="0"/>
        </w:sectPr>
      </w:pPr>
    </w:p>
    <w:bookmarkStart w:id="1" w:name="page2"/>
    <w:bookmarkEnd w:id="1"/>
    <w:p>
      <w:pPr>
        <w:ind w:right="1779" w:firstLine="632"/>
        <w:spacing w:after="0" w:line="237" w:lineRule="auto"/>
        <w:rPr>
          <w:sz w:val="20"/>
          <w:szCs w:val="20"/>
          <w:color w:val="auto"/>
        </w:rPr>
      </w:pPr>
      <w:r>
        <w:rPr>
          <w:rFonts w:ascii="Courier New" w:cs="Courier New" w:eastAsia="Courier New" w:hAnsi="Courier New"/>
          <w:sz w:val="18"/>
          <w:szCs w:val="18"/>
          <w:color w:val="auto"/>
        </w:rPr>
        <w:t>On January 22, 2008, Amdocs Limited ("Amdocs") issued a press release announcing financial results for the quarter ended December 31, 2007. A copy of the press release is furnished as Exhibit 99.1 to this Report of Foreign Private Issuer on Form 6-K.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Thomas G. O'Brien</w:t>
      </w:r>
    </w:p>
    <w:p>
      <w:pPr>
        <w:ind w:left="5280"/>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Authorized U.S. Representative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22, 2008</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380" w:space="320"/>
            <w:col w:w="8519"/>
          </w:cols>
          <w:pgMar w:left="240" w:top="723" w:right="1440" w:bottom="1440" w:gutter="0" w:footer="0" w:header="0"/>
          <w:type w:val="continuous"/>
        </w:sectPr>
      </w:pPr>
    </w:p>
    <w:p>
      <w:pPr>
        <w:spacing w:after="0"/>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Limited Press Release dated January 22, 2008.</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AMDOCS LIMITED REPORTS RECORD QUARTERLY REVENUE</w:t>
      </w:r>
    </w:p>
    <w:p>
      <w:pPr>
        <w:spacing w:after="0" w:line="207"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AMDOCS REPORTS GROWTH IN QUARTERLY DILUTED NON-GAAP EARNINGS PER SHARE TO $0.56; DILUTED GAAP EARNINGS PER SHARE OF $0.44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w:t>
      </w:r>
    </w:p>
    <w:p>
      <w:pPr>
        <w:spacing w:after="0" w:line="207"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revenue increased to $742 million, in line with guidance</w:t>
      </w:r>
    </w:p>
    <w:p>
      <w:pPr>
        <w:spacing w:after="0" w:line="223" w:lineRule="exact"/>
        <w:rPr>
          <w:rFonts w:ascii="Courier New" w:cs="Courier New" w:eastAsia="Courier New" w:hAnsi="Courier New"/>
          <w:sz w:val="16"/>
          <w:szCs w:val="16"/>
          <w:color w:val="auto"/>
        </w:rPr>
      </w:pPr>
    </w:p>
    <w:p>
      <w:pPr>
        <w:ind w:left="1060" w:right="231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diluted non-GAAP EPS, excluding acquisition-related costs and equity-based compensation expense, net of related tax effects, increased to $0.56, in line with guidance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$0.44 for the quarter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$59 million for the quarter</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sales activity across geographies and product portfolio, highlighted by a significant expansion of managed services activities at AT&amp;T</w:t>
      </w:r>
    </w:p>
    <w:p>
      <w:pPr>
        <w:spacing w:after="0" w:line="208"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quarter fiscal 2008 guidance: Expected revenue of approximately $757-$767 million and diluted non-GAAP EPS of $0.57-$0.59, excluding acquisition-related costs and approximately $0.05-$0.06 per share of equity-based compensation expense, net of related tax effects. Diluted GAAP EPS is expected to be approximately $0.44-$0.47</w:t>
      </w:r>
    </w:p>
    <w:p>
      <w:pPr>
        <w:spacing w:after="0" w:line="17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Reiterating fiscal 2008 guidance: Expected revenue of approximately</w:t>
      </w:r>
    </w:p>
    <w:p>
      <w:pPr>
        <w:spacing w:after="0" w:line="4" w:lineRule="exact"/>
        <w:rPr>
          <w:rFonts w:ascii="Courier New" w:cs="Courier New" w:eastAsia="Courier New" w:hAnsi="Courier New"/>
          <w:sz w:val="18"/>
          <w:szCs w:val="18"/>
          <w:color w:val="auto"/>
        </w:rPr>
      </w:pPr>
    </w:p>
    <w:p>
      <w:pPr>
        <w:ind w:left="1060"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$3.05-$3.15 billion and diluted non-GAAP EPS of $2.29-$2.39, excluding acquisition-related costs and approximately $0.20-$0.23 per share of equity-based compensation expense, net of related tax effects. Diluted GAAP EPS is expected to be approximately $1.82-$1.95</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 LOUIS, MO - JANUARY 22, 2008 - Amdocs Limited (NYSE: DOX) today reported that for the quarter ended December 31, 2007, revenue was $742.3 million, an increase of 7.4% from last year's first quarter. Net income on a non-GAAP basis was $123.3 million, or</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$0.56 per diluted share (excluding acquisition-related costs, which include amortization of purchased intangible assets, and excluding equity-based compensation expense, net of related tax effects, of $27.6 million), compared to non-GAAP net income of $118.1 million, or $0.53 per diluted share, in the first quarter of fiscal 2007 (excluding acquisition-related costs, which include amortization of purchased intangible assets, and excluding equity-based compensation expense, net of related tax effects, of $24.8 million). The Company's GAAP net income was $95.7 million, or $0.44 per diluted share, compared to GAAP net income of $93.3 million, or $0.42 per diluted share, in the first quarter of fiscal 2007. Free cash flow for the quarter was $59.0 million, comprised of cash flow from operations of $93.1 million less $34.1 million in net capital expenditures and other.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with our results for the first quarter of fiscal 2008 and believe that we are positioned to achieve our goals for this fiscal year," said Dov Baharav, chief executive officer of Amdocs Management Limited. "This was a very good quarter in terms of new sales, highlighted by the significant expansion of our managed services activities at AT&amp;T and our win at Sprint. We are seeing service providers continue to introduce new products and services over next-generation networks, driven by the increase in data and content activities and by industry consolidation. While we recognize that there are some macro economic indicators that cause uncertainty, we continue to see demand for Amdocs products and services and expect that we will continue to expand our business in 2008."</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had numerous wins across lines of business and geographies in the first quarter. These wins include a significant extension and expansion of an existing AT&amp;T seven-year managed services agreement under which Amdocs will now support existing customer care and billing platforms. The Company also signed an agreement with Sprint to provide and support customer experience systems for Xohm, Sprint's WiMAX initiative. In addition, the Company continued to expand its presence in emerging markets around the world with a number of new wins, including new logos.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Amdocs expects that revenue for the second quarter of fiscal 2008 will be approximately $757-$767 million. Diluted earnings per share on a non-GAAP basis for the second quarter</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are expected to be $0.57-$0.59, excluding acquisition-related costs and approximately $0.05-$0.06 per share of equity-based compensation expense, net of related tax effects. Diluted GAAP EPS is expected to be approximately $0.44-$0.47.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Reiterating fiscal 2008 guidance: Expected revenue of approximately $3.05-$3.15 billion and diluted non-GAAP EPS of $2.29-$2.39, excluding acquisition-related costs and approximately $0.20-$0.23 per share of equity-based compensation expense, net of related tax effects. Diluted GAAP EPS is expected to be approximately $1.82-$1.95.</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will host a conference call on January 22, 2008 at 5 p.m. Eastern Time to discuss the Company's first quarter results. The call will be carried live on the Internet via www.InvestorCalendar.com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NON-GAAP FINANCIAL MEASURES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203"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purchased intangible assets;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effects related to the above.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71" w:lineRule="auto"/>
        <w:rPr>
          <w:sz w:val="20"/>
          <w:szCs w:val="20"/>
          <w:color w:val="auto"/>
        </w:rPr>
      </w:pPr>
      <w:r>
        <w:rPr>
          <w:rFonts w:ascii="Courier New" w:cs="Courier New" w:eastAsia="Courier New" w:hAnsi="Courier New"/>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its internal budgeting process and in monitoring the results of the business, Amdocs' management uses financial statements that do not include amortization of purchased intangible assets,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Please refer to the Reconciliation of Selected Financial Metrics from GAAP to Non-GAAP tables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Amdocs is the market leader in customer experience systems innovation, enabling world-leading service providers to deliver an integrated, innovative and the intentional customer</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experience(TM)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$2.84 billion in fiscal 2007, Amdocs has over 16,000 employees and serves customers in more than 50 countries around the world. For more information, visit Amdocs at www.amdocs.com.</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2007 filed on December 3, 2007.</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723"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5"/>
              </w:rPr>
              <w:t>THREE MONTHS ENDED</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74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2007</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License</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$ 26,217</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$ 31,744</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716,033</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659,288</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742,250</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691,032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license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774</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470,741</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435,121</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56,015</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60,468</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97,665</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89,170</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purchased intangible assets</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21,753</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17,698</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646,948</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603,526</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95,302</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and other, net</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8,816</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11,739</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104,118</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99,245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8,454</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5,903</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$ 95,664</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$ 93,342</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 (1)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0.44</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weighted average number of shares outstanding</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208,109</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206,450</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weighted average number of shares outstanding</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222,039</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222,718</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impact of assumed conversion of the convertible notes, $985, representing interest expense and amortization of issuance costs, were added back to net income for the three months ended December 31, 2007 and 2006, for the purpose of computing diluted earnings per share.</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SELECTED FINANCIAL METRICS</w:t>
      </w:r>
    </w:p>
    <w:tbl>
      <w:tblPr>
        <w:tblLayout w:type="fixed"/>
        <w:tblInd w:w="0" w:type="dxa"/>
        <w:tblCellMar>
          <w:top w:w="0" w:type="dxa"/>
          <w:left w:w="0" w:type="dxa"/>
          <w:bottom w:w="0" w:type="dxa"/>
          <w:right w:w="0" w:type="dxa"/>
        </w:tblCellMar>
      </w:tblPr>
      <w:tr>
        <w:trPr>
          <w:trHeight w:val="203"/>
        </w:trPr>
        <w:tc>
          <w:tcPr>
            <w:tcW w:w="690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(IN THOUSANDS, EXCEPT PER SHARE DATA)</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810"/>
        </w:trPr>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5"/>
              </w:rPr>
              <w:t>THREE MONTHS ENDED</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74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2007</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57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742,250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691,032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operating income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131,271</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120,529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net income</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123,290</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118,116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Non-GAAP diluted earnings per share (1)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Diluted weighted average number of shares outstanding</w:t>
            </w:r>
          </w:p>
        </w:tc>
        <w:tc>
          <w:tcPr>
            <w:tcW w:w="2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222,039</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222,718</w:t>
            </w: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impact of assumed conversion of the convertible notes, $985, representing interest expense and amortization of issuance costs, were added back to net income for the three months ended December 31, 2007 and 2006, for the purpose of computing diluted earnings per share.</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RECONCILIATION OF SELECTED FINANCIAL METRICS FROM GAAP TO NON-GAAP</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DECEMBER 31, 2007</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668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RECONCILIATION ITEMS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AMORTIZATION</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OF</w:t>
            </w:r>
          </w:p>
        </w:tc>
        <w:tc>
          <w:tcPr>
            <w:tcW w:w="620" w:type="dxa"/>
            <w:vAlign w:val="bottom"/>
          </w:tcPr>
          <w:p>
            <w:pPr>
              <w:spacing w:after="0"/>
              <w:rPr>
                <w:sz w:val="17"/>
                <w:szCs w:val="17"/>
                <w:color w:val="auto"/>
              </w:rPr>
            </w:pPr>
          </w:p>
        </w:tc>
        <w:tc>
          <w:tcPr>
            <w:tcW w:w="12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EQUITY-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PURCHASED</w:t>
            </w:r>
          </w:p>
        </w:tc>
        <w:tc>
          <w:tcPr>
            <w:tcW w:w="620" w:type="dxa"/>
            <w:vAlign w:val="bottom"/>
          </w:tcPr>
          <w:p>
            <w:pPr>
              <w:spacing w:after="0"/>
              <w:rPr>
                <w:sz w:val="17"/>
                <w:szCs w:val="17"/>
                <w:color w:val="auto"/>
              </w:rPr>
            </w:pPr>
          </w:p>
        </w:tc>
        <w:tc>
          <w:tcPr>
            <w:tcW w:w="12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BASED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COMPENSATION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GAAP</w:t>
            </w:r>
          </w:p>
        </w:tc>
        <w:tc>
          <w:tcPr>
            <w:tcW w:w="460" w:type="dxa"/>
            <w:vAlign w:val="bottom"/>
          </w:tcPr>
          <w:p>
            <w:pPr>
              <w:spacing w:after="0"/>
              <w:rPr>
                <w:sz w:val="17"/>
                <w:szCs w:val="17"/>
                <w:color w:val="auto"/>
              </w:rPr>
            </w:pPr>
          </w:p>
        </w:tc>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ASSETS</w:t>
            </w:r>
          </w:p>
        </w:tc>
        <w:tc>
          <w:tcPr>
            <w:tcW w:w="620" w:type="dxa"/>
            <w:vAlign w:val="bottom"/>
          </w:tcPr>
          <w:p>
            <w:pPr>
              <w:spacing w:after="0"/>
              <w:rPr>
                <w:sz w:val="17"/>
                <w:szCs w:val="17"/>
                <w:color w:val="auto"/>
              </w:rPr>
            </w:pPr>
          </w:p>
        </w:tc>
        <w:tc>
          <w:tcPr>
            <w:tcW w:w="12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EXPENSE</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TAX EFFECT</w:t>
            </w:r>
          </w:p>
        </w:tc>
        <w:tc>
          <w:tcPr>
            <w:tcW w:w="1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NON-GAAP</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license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774</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470,741</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(6,282)</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464,459</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56,015</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(1,376)</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54,639</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97,665</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(6,558)</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91,107</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purchased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21,753</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(21,753)</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646,948</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(21,753)</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(14,216)</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610,979</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95,302</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21,753</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14,216</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131,271</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8,454</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8,343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16,797</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95,664</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$ 21,753</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$ 14,216</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$(8,343)</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$123,290</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DECEMBER 31, 2006</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66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RECONCILIATION ITEMS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AMORTIZATION</w:t>
            </w: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OF</w:t>
            </w:r>
          </w:p>
        </w:tc>
        <w:tc>
          <w:tcPr>
            <w:tcW w:w="620" w:type="dxa"/>
            <w:vAlign w:val="bottom"/>
          </w:tcPr>
          <w:p>
            <w:pPr>
              <w:spacing w:after="0"/>
              <w:rPr>
                <w:sz w:val="17"/>
                <w:szCs w:val="17"/>
                <w:color w:val="auto"/>
              </w:rPr>
            </w:pPr>
          </w:p>
        </w:tc>
        <w:tc>
          <w:tcPr>
            <w:tcW w:w="12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EQUITY-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PURCHASED</w:t>
            </w:r>
          </w:p>
        </w:tc>
        <w:tc>
          <w:tcPr>
            <w:tcW w:w="620" w:type="dxa"/>
            <w:vAlign w:val="bottom"/>
          </w:tcPr>
          <w:p>
            <w:pPr>
              <w:spacing w:after="0"/>
              <w:rPr>
                <w:sz w:val="17"/>
                <w:szCs w:val="17"/>
                <w:color w:val="auto"/>
              </w:rPr>
            </w:pPr>
          </w:p>
        </w:tc>
        <w:tc>
          <w:tcPr>
            <w:tcW w:w="12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BASED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INTANGIBLE</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COMPENSATION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GAAP</w:t>
            </w:r>
          </w:p>
        </w:tc>
        <w:tc>
          <w:tcPr>
            <w:tcW w:w="460" w:type="dxa"/>
            <w:vAlign w:val="bottom"/>
          </w:tcPr>
          <w:p>
            <w:pPr>
              <w:spacing w:after="0"/>
              <w:rPr>
                <w:sz w:val="17"/>
                <w:szCs w:val="17"/>
                <w:color w:val="auto"/>
              </w:rPr>
            </w:pPr>
          </w:p>
        </w:tc>
        <w:tc>
          <w:tcPr>
            <w:tcW w:w="9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ASSETS</w:t>
            </w:r>
          </w:p>
        </w:tc>
        <w:tc>
          <w:tcPr>
            <w:tcW w:w="620" w:type="dxa"/>
            <w:vAlign w:val="bottom"/>
          </w:tcPr>
          <w:p>
            <w:pPr>
              <w:spacing w:after="0"/>
              <w:rPr>
                <w:sz w:val="17"/>
                <w:szCs w:val="17"/>
                <w:color w:val="auto"/>
              </w:rPr>
            </w:pPr>
          </w:p>
        </w:tc>
        <w:tc>
          <w:tcPr>
            <w:tcW w:w="12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EXPENSE</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TAX EFFECT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NON-GAAP</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license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1,069</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435,121</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(6,322)</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428,799</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60,468</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(1,778)</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58,690</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89,170</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(7,225)</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81,945</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purchased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17,698</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(17,698)</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603,526</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(17,698)</w:t>
            </w:r>
          </w:p>
        </w:tc>
        <w:tc>
          <w:tcPr>
            <w:tcW w:w="62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(15,325)</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570,503</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87,506</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17,698</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15,325</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120,529</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5,903</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8,249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14,152</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93,342</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$ 17,698</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$ 15,325</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$(8,249)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$118,116</w:t>
            </w:r>
          </w:p>
        </w:tc>
      </w:tr>
      <w:tr>
        <w:trPr>
          <w:trHeight w:val="203"/>
        </w:trPr>
        <w:tc>
          <w:tcPr>
            <w:tcW w:w="312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03"/>
        </w:trPr>
        <w:tc>
          <w:tcPr>
            <w:tcW w:w="554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810"/>
        </w:trPr>
        <w:tc>
          <w:tcPr>
            <w:tcW w:w="5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2"/>
              </w:rPr>
              <w:t>AS OF</w:t>
            </w:r>
          </w:p>
        </w:tc>
      </w:tr>
      <w:tr>
        <w:trPr>
          <w:trHeight w:val="203"/>
        </w:trPr>
        <w:tc>
          <w:tcPr>
            <w:tcW w:w="5540" w:type="dxa"/>
            <w:vAlign w:val="bottom"/>
          </w:tcPr>
          <w:p>
            <w:pPr>
              <w:spacing w:after="0"/>
              <w:rPr>
                <w:sz w:val="17"/>
                <w:szCs w:val="17"/>
                <w:color w:val="auto"/>
              </w:rPr>
            </w:pP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5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cash equivalents and short-term</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interest-bearing investments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$1,167,090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$1,179,280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including unbilled of</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$73,355 and $63,441 respectively</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530,957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493,418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receivable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114,701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117,623</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105,233</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98,746</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1,917,981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1,889,067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vehicles and leasehold improvements, net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282,551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283,839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1,784,519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1,792,588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390,116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379,105</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$4,375,167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$4,344,599</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accruals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590,469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592,937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capital lease obligations and</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financing arrangements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2,105</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165,979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173,775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payable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44,650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205,960</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803,203</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974,727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0.50% Convertible notes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 and other</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472,298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319,629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2,649,666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2,600,243</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$4,375,167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$4,344,599</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2019-12-14T21:18:11Z</dcterms:created>
  <dcterms:modified xsi:type="dcterms:W3CDTF">2019-12-14T21:18:11Z</dcterms:modified>
</cp:coreProperties>
</file>