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month of January, 2017</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90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368" w:right="10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Submission of Matters to a Vote of Security Holders</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 Results.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At the 2017 Annual General Meeting of Shareholders of Amdocs Limited (the “Company”) held on January 27, 2017, the proposals listed below were submitted to a vote of the Company’s shareholders. The proposals are described in the Company’s proxy statement for the 2017 Annual General Meeting of Shareholders.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Proposal 1 – The election of eleven nominees to the Company’s Board of Directors each for a term of one year.</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11 nominees named in the proxy statement were elected to serve as directors until the Company’s 2018 Annual General Meeting of Shareholders.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Information as to the vote on each director standing for election is provided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1600" w:type="dxa"/>
            <w:vAlign w:val="bottom"/>
            <w:gridSpan w:val="2"/>
          </w:tcPr>
          <w:p>
            <w:pPr>
              <w:ind w:left="300"/>
              <w:spacing w:after="0"/>
              <w:rPr>
                <w:sz w:val="20"/>
                <w:szCs w:val="20"/>
                <w:color w:val="auto"/>
              </w:rPr>
            </w:pPr>
            <w:r>
              <w:rPr>
                <w:rFonts w:ascii="Arial" w:cs="Arial" w:eastAsia="Arial" w:hAnsi="Arial"/>
                <w:sz w:val="14"/>
                <w:szCs w:val="14"/>
                <w:b w:val="1"/>
                <w:bCs w:val="1"/>
                <w:color w:val="auto"/>
              </w:rPr>
              <w:t>Votes For</w:t>
            </w: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Votes Against</w:t>
            </w: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Votes Abstaining</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Broker Non-Votes</w:t>
            </w: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56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Robert A. Minicucci</w:t>
            </w:r>
          </w:p>
        </w:tc>
        <w:tc>
          <w:tcPr>
            <w:tcW w:w="118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w w:val="86"/>
              </w:rPr>
              <w:t>118,094,493.60</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4,051,116.00</w:t>
            </w: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7,011.00</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54,236.40</w:t>
            </w:r>
          </w:p>
        </w:tc>
        <w:tc>
          <w:tcPr>
            <w:tcW w:w="100" w:type="dxa"/>
            <w:vAlign w:val="bottom"/>
            <w:shd w:val="clear" w:color="auto" w:fill="CCEEFF"/>
          </w:tcPr>
          <w:p>
            <w:pPr>
              <w:spacing w:after="0"/>
              <w:rPr>
                <w:sz w:val="17"/>
                <w:szCs w:val="17"/>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Adrian Gardner</w:t>
            </w: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116,700,365.60</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5,444,398.00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7,857.00</w:t>
            </w:r>
          </w:p>
        </w:tc>
        <w:tc>
          <w:tcPr>
            <w:tcW w:w="1100" w:type="dxa"/>
            <w:vAlign w:val="bottom"/>
          </w:tcPr>
          <w:p>
            <w:pPr>
              <w:jc w:val="right"/>
              <w:spacing w:after="0"/>
              <w:rPr>
                <w:sz w:val="20"/>
                <w:szCs w:val="20"/>
                <w:color w:val="auto"/>
              </w:rPr>
            </w:pPr>
            <w:r>
              <w:rPr>
                <w:rFonts w:ascii="Arial" w:cs="Arial" w:eastAsia="Arial" w:hAnsi="Arial"/>
                <w:sz w:val="18"/>
                <w:szCs w:val="18"/>
                <w:color w:val="auto"/>
              </w:rPr>
              <w:t>54,236.40</w:t>
            </w:r>
          </w:p>
        </w:tc>
        <w:tc>
          <w:tcPr>
            <w:tcW w:w="10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T. McLennan</w:t>
            </w:r>
          </w:p>
        </w:tc>
        <w:tc>
          <w:tcPr>
            <w:tcW w:w="1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118,091,241.60</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4,003,368.00</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58,011.00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54,236.40</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Simon Olswang</w:t>
            </w: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118,140,413.60</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2,386,936.00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1,625,271.00</w:t>
            </w:r>
          </w:p>
        </w:tc>
        <w:tc>
          <w:tcPr>
            <w:tcW w:w="1100" w:type="dxa"/>
            <w:vAlign w:val="bottom"/>
          </w:tcPr>
          <w:p>
            <w:pPr>
              <w:jc w:val="right"/>
              <w:spacing w:after="0"/>
              <w:rPr>
                <w:sz w:val="20"/>
                <w:szCs w:val="20"/>
                <w:color w:val="auto"/>
              </w:rPr>
            </w:pPr>
            <w:r>
              <w:rPr>
                <w:rFonts w:ascii="Arial" w:cs="Arial" w:eastAsia="Arial" w:hAnsi="Arial"/>
                <w:sz w:val="18"/>
                <w:szCs w:val="18"/>
                <w:color w:val="auto"/>
              </w:rPr>
              <w:t>54,236.40</w:t>
            </w:r>
          </w:p>
        </w:tc>
        <w:tc>
          <w:tcPr>
            <w:tcW w:w="10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Zohar Zisapel</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100,481,699.60</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21,643,095.00</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27,826.00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54,236.40</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Julian A. Brodsky</w:t>
            </w: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118,006,105.60</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4,088,825.00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57,690.00</w:t>
            </w:r>
          </w:p>
        </w:tc>
        <w:tc>
          <w:tcPr>
            <w:tcW w:w="1100" w:type="dxa"/>
            <w:vAlign w:val="bottom"/>
          </w:tcPr>
          <w:p>
            <w:pPr>
              <w:jc w:val="right"/>
              <w:spacing w:after="0"/>
              <w:rPr>
                <w:sz w:val="20"/>
                <w:szCs w:val="20"/>
                <w:color w:val="auto"/>
              </w:rPr>
            </w:pPr>
            <w:r>
              <w:rPr>
                <w:rFonts w:ascii="Arial" w:cs="Arial" w:eastAsia="Arial" w:hAnsi="Arial"/>
                <w:sz w:val="18"/>
                <w:szCs w:val="18"/>
                <w:color w:val="auto"/>
              </w:rPr>
              <w:t>54,236.40</w:t>
            </w:r>
          </w:p>
        </w:tc>
        <w:tc>
          <w:tcPr>
            <w:tcW w:w="10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Clayton Christensen</w:t>
            </w:r>
          </w:p>
        </w:tc>
        <w:tc>
          <w:tcPr>
            <w:tcW w:w="1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119,047,083.60</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3,077,785.00</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27,752.00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54,236.40</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Eli Gelman</w:t>
            </w: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119,666,659.60</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2,479,729.00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6,232.00</w:t>
            </w:r>
          </w:p>
        </w:tc>
        <w:tc>
          <w:tcPr>
            <w:tcW w:w="1100" w:type="dxa"/>
            <w:vAlign w:val="bottom"/>
          </w:tcPr>
          <w:p>
            <w:pPr>
              <w:jc w:val="right"/>
              <w:spacing w:after="0"/>
              <w:rPr>
                <w:sz w:val="20"/>
                <w:szCs w:val="20"/>
                <w:color w:val="auto"/>
              </w:rPr>
            </w:pPr>
            <w:r>
              <w:rPr>
                <w:rFonts w:ascii="Arial" w:cs="Arial" w:eastAsia="Arial" w:hAnsi="Arial"/>
                <w:sz w:val="18"/>
                <w:szCs w:val="18"/>
                <w:color w:val="auto"/>
              </w:rPr>
              <w:t>54,236.40</w:t>
            </w:r>
          </w:p>
        </w:tc>
        <w:tc>
          <w:tcPr>
            <w:tcW w:w="10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S. Kahan</w:t>
            </w:r>
          </w:p>
        </w:tc>
        <w:tc>
          <w:tcPr>
            <w:tcW w:w="1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117,234,718.60</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4,910,691.00</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7,211.00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54,236.40</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Richard T.C. LeFave</w:t>
            </w: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120,903,128.60</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1,242,250.00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7,242.00</w:t>
            </w:r>
          </w:p>
        </w:tc>
        <w:tc>
          <w:tcPr>
            <w:tcW w:w="1100" w:type="dxa"/>
            <w:vAlign w:val="bottom"/>
          </w:tcPr>
          <w:p>
            <w:pPr>
              <w:jc w:val="right"/>
              <w:spacing w:after="0"/>
              <w:rPr>
                <w:sz w:val="20"/>
                <w:szCs w:val="20"/>
                <w:color w:val="auto"/>
              </w:rPr>
            </w:pPr>
            <w:r>
              <w:rPr>
                <w:rFonts w:ascii="Arial" w:cs="Arial" w:eastAsia="Arial" w:hAnsi="Arial"/>
                <w:sz w:val="18"/>
                <w:szCs w:val="18"/>
                <w:color w:val="auto"/>
              </w:rPr>
              <w:t>54,236.40</w:t>
            </w:r>
          </w:p>
        </w:tc>
        <w:tc>
          <w:tcPr>
            <w:tcW w:w="10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Giora Yaron</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121,227,717.60</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918,166.00</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6,737.00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54,236.40</w:t>
            </w:r>
          </w:p>
        </w:tc>
        <w:tc>
          <w:tcPr>
            <w:tcW w:w="10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u w:val="single" w:color="auto"/>
          <w:color w:val="auto"/>
        </w:rPr>
        <w:t>Proposal 2 – The approval of an amendment to the 1998 Stock Option and Incentive Plan increasing the number of shares authorized for issuance under the plan and the sublimit on “full value” awards under the plan, in each case by 5,250,000 shares.</w:t>
      </w:r>
    </w:p>
    <w:p>
      <w:pPr>
        <w:spacing w:after="0" w:line="6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shareholders approved an amendment to the 1998 Stock Option and Incentive Plan increasing the number of shares authorized for issuance under the plan and the sublimit on “full value” awards under the plan, in each case by 5,250,000 shares. The voting results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Votes For</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Votes Against</w:t>
            </w:r>
          </w:p>
        </w:tc>
        <w:tc>
          <w:tcPr>
            <w:tcW w:w="190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Votes Abstaining</w:t>
            </w:r>
          </w:p>
        </w:tc>
        <w:tc>
          <w:tcPr>
            <w:tcW w:w="16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 Non-Votes</w:t>
            </w:r>
          </w:p>
        </w:tc>
        <w:tc>
          <w:tcPr>
            <w:tcW w:w="740" w:type="dxa"/>
            <w:vAlign w:val="bottom"/>
          </w:tcPr>
          <w:p>
            <w:pPr>
              <w:spacing w:after="0"/>
              <w:rPr>
                <w:sz w:val="14"/>
                <w:szCs w:val="14"/>
                <w:color w:val="auto"/>
              </w:rPr>
            </w:pPr>
          </w:p>
        </w:tc>
      </w:tr>
      <w:tr>
        <w:trPr>
          <w:trHeight w:val="210"/>
        </w:trPr>
        <w:tc>
          <w:tcPr>
            <w:tcW w:w="302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112,314,730.60</w:t>
            </w:r>
          </w:p>
        </w:tc>
        <w:tc>
          <w:tcPr>
            <w:tcW w:w="3780" w:type="dxa"/>
            <w:vAlign w:val="bottom"/>
            <w:gridSpan w:val="3"/>
            <w:shd w:val="clear" w:color="auto" w:fill="CCEEFF"/>
          </w:tcPr>
          <w:p>
            <w:pPr>
              <w:jc w:val="right"/>
              <w:ind w:right="1860"/>
              <w:spacing w:after="0"/>
              <w:rPr>
                <w:sz w:val="20"/>
                <w:szCs w:val="20"/>
                <w:color w:val="auto"/>
              </w:rPr>
            </w:pPr>
            <w:r>
              <w:rPr>
                <w:rFonts w:ascii="Arial" w:cs="Arial" w:eastAsia="Arial" w:hAnsi="Arial"/>
                <w:sz w:val="18"/>
                <w:szCs w:val="18"/>
                <w:color w:val="auto"/>
              </w:rPr>
              <w:t>7,653,432.00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2,184,458.00</w:t>
            </w:r>
          </w:p>
        </w:tc>
        <w:tc>
          <w:tcPr>
            <w:tcW w:w="2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54,236.40</w:t>
            </w:r>
          </w:p>
        </w:tc>
        <w:tc>
          <w:tcPr>
            <w:tcW w:w="74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u w:val="single" w:color="auto"/>
          <w:color w:val="auto"/>
        </w:rPr>
        <w:t>Proposal 3 – The approval of an increase in the dividend rate under the Company’s quarterly cash dividend program from $0.195 per share to $0.22 per share.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shareholders approved an increase in the dividend rate under the Company’s quarterly cash dividend program from $0.195 per share to $0.22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voting results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Votes For</w:t>
            </w:r>
          </w:p>
        </w:tc>
        <w:tc>
          <w:tcPr>
            <w:tcW w:w="22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Votes Against</w:t>
            </w:r>
          </w:p>
        </w:tc>
        <w:tc>
          <w:tcPr>
            <w:tcW w:w="190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Votes Abstaining</w:t>
            </w:r>
          </w:p>
        </w:tc>
        <w:tc>
          <w:tcPr>
            <w:tcW w:w="16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 Non-Votes</w:t>
            </w:r>
          </w:p>
        </w:tc>
        <w:tc>
          <w:tcPr>
            <w:tcW w:w="740" w:type="dxa"/>
            <w:vAlign w:val="bottom"/>
          </w:tcPr>
          <w:p>
            <w:pPr>
              <w:spacing w:after="0"/>
              <w:rPr>
                <w:sz w:val="14"/>
                <w:szCs w:val="14"/>
                <w:color w:val="auto"/>
              </w:rPr>
            </w:pPr>
          </w:p>
        </w:tc>
      </w:tr>
      <w:tr>
        <w:trPr>
          <w:trHeight w:val="210"/>
        </w:trPr>
        <w:tc>
          <w:tcPr>
            <w:tcW w:w="4040" w:type="dxa"/>
            <w:vAlign w:val="bottom"/>
            <w:gridSpan w:val="3"/>
            <w:shd w:val="clear" w:color="auto" w:fill="CCEEFF"/>
          </w:tcPr>
          <w:p>
            <w:pPr>
              <w:jc w:val="right"/>
              <w:ind w:right="1980"/>
              <w:spacing w:after="0"/>
              <w:rPr>
                <w:sz w:val="20"/>
                <w:szCs w:val="20"/>
                <w:color w:val="auto"/>
              </w:rPr>
            </w:pPr>
            <w:r>
              <w:rPr>
                <w:rFonts w:ascii="Arial" w:cs="Arial" w:eastAsia="Arial" w:hAnsi="Arial"/>
                <w:sz w:val="18"/>
                <w:szCs w:val="18"/>
                <w:color w:val="auto"/>
              </w:rPr>
              <w:t>122,146,614.60</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3,825.00</w:t>
            </w:r>
          </w:p>
        </w:tc>
        <w:tc>
          <w:tcPr>
            <w:tcW w:w="29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2,181.00</w:t>
            </w:r>
          </w:p>
        </w:tc>
        <w:tc>
          <w:tcPr>
            <w:tcW w:w="2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54,236.40</w:t>
            </w:r>
          </w:p>
        </w:tc>
        <w:tc>
          <w:tcPr>
            <w:tcW w:w="74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Proposal 4 – The approval of the Company’s Consolidated Financial Statements for the fiscal year ended September 30, 2016.</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shareholders approved the Company’s Consolidated Financial Statements for the fiscal year ended September 30, 2016. The voting results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Votes For</w:t>
            </w:r>
          </w:p>
        </w:tc>
        <w:tc>
          <w:tcPr>
            <w:tcW w:w="22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Votes Against</w:t>
            </w:r>
          </w:p>
        </w:tc>
        <w:tc>
          <w:tcPr>
            <w:tcW w:w="190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Votes Abstaining</w:t>
            </w:r>
          </w:p>
        </w:tc>
        <w:tc>
          <w:tcPr>
            <w:tcW w:w="16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 Non-Votes</w:t>
            </w:r>
          </w:p>
        </w:tc>
        <w:tc>
          <w:tcPr>
            <w:tcW w:w="740" w:type="dxa"/>
            <w:vAlign w:val="bottom"/>
          </w:tcPr>
          <w:p>
            <w:pPr>
              <w:spacing w:after="0"/>
              <w:rPr>
                <w:sz w:val="14"/>
                <w:szCs w:val="14"/>
                <w:color w:val="auto"/>
              </w:rPr>
            </w:pPr>
          </w:p>
        </w:tc>
      </w:tr>
      <w:tr>
        <w:trPr>
          <w:trHeight w:val="210"/>
        </w:trPr>
        <w:tc>
          <w:tcPr>
            <w:tcW w:w="4040" w:type="dxa"/>
            <w:vAlign w:val="bottom"/>
            <w:gridSpan w:val="3"/>
            <w:shd w:val="clear" w:color="auto" w:fill="CCEEFF"/>
          </w:tcPr>
          <w:p>
            <w:pPr>
              <w:jc w:val="right"/>
              <w:ind w:right="1980"/>
              <w:spacing w:after="0"/>
              <w:rPr>
                <w:sz w:val="20"/>
                <w:szCs w:val="20"/>
                <w:color w:val="auto"/>
              </w:rPr>
            </w:pPr>
            <w:r>
              <w:rPr>
                <w:rFonts w:ascii="Arial" w:cs="Arial" w:eastAsia="Arial" w:hAnsi="Arial"/>
                <w:sz w:val="18"/>
                <w:szCs w:val="18"/>
                <w:color w:val="auto"/>
              </w:rPr>
              <w:t>121,622,363.00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12,357.00</w:t>
            </w:r>
          </w:p>
        </w:tc>
        <w:tc>
          <w:tcPr>
            <w:tcW w:w="29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517,900.00</w:t>
            </w:r>
          </w:p>
        </w:tc>
        <w:tc>
          <w:tcPr>
            <w:tcW w:w="2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54,236.40</w:t>
            </w:r>
          </w:p>
        </w:tc>
        <w:tc>
          <w:tcPr>
            <w:tcW w:w="74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270" w:right="239" w:bottom="1440" w:gutter="0" w:footer="0" w:header="0"/>
        </w:sectPr>
      </w:pPr>
    </w:p>
    <w:bookmarkStart w:id="2" w:name="page3"/>
    <w:bookmarkEnd w:id="2"/>
    <w:p>
      <w:pPr>
        <w:ind w:right="60"/>
        <w:spacing w:after="0" w:line="286" w:lineRule="auto"/>
        <w:rPr>
          <w:sz w:val="20"/>
          <w:szCs w:val="20"/>
          <w:color w:val="auto"/>
        </w:rPr>
      </w:pPr>
      <w:r>
        <w:rPr>
          <w:rFonts w:ascii="Arial" w:cs="Arial" w:eastAsia="Arial" w:hAnsi="Arial"/>
          <w:sz w:val="17"/>
          <w:szCs w:val="17"/>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5 – The ratification and approval of the appointment of Ernst &amp; Young LLP as the Company’s independent registered public accounting firm for the fiscal year ending September 30, 2017, and until the next annual general meeting, and authorization of the Audit Committee of the Board of Directors to fix the remuneration of such independent registered public accounting firm in accordance with the nature and extent of its services.</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shareholders ratified and approved the appointment of Ernst &amp; Young LLP as the Company’s independent registered public accounting firm for the fiscal year ending September 30, 2017, and until the next annual general meeting, and authorized the Audit Committee of the Board of Directors to fix the remuneration of such independent registered public accounting firm in accordance with the nature and extent of its services. The voting results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Votes For</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Votes Against</w:t>
            </w:r>
          </w:p>
        </w:tc>
        <w:tc>
          <w:tcPr>
            <w:tcW w:w="190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Votes Abstaining</w:t>
            </w:r>
          </w:p>
        </w:tc>
        <w:tc>
          <w:tcPr>
            <w:tcW w:w="16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 Non-Votes</w:t>
            </w:r>
          </w:p>
        </w:tc>
        <w:tc>
          <w:tcPr>
            <w:tcW w:w="740" w:type="dxa"/>
            <w:vAlign w:val="bottom"/>
          </w:tcPr>
          <w:p>
            <w:pPr>
              <w:spacing w:after="0"/>
              <w:rPr>
                <w:sz w:val="14"/>
                <w:szCs w:val="14"/>
                <w:color w:val="auto"/>
              </w:rPr>
            </w:pPr>
          </w:p>
        </w:tc>
      </w:tr>
      <w:tr>
        <w:trPr>
          <w:trHeight w:val="210"/>
        </w:trPr>
        <w:tc>
          <w:tcPr>
            <w:tcW w:w="302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119,483,225.00</w:t>
            </w:r>
          </w:p>
        </w:tc>
        <w:tc>
          <w:tcPr>
            <w:tcW w:w="3780" w:type="dxa"/>
            <w:vAlign w:val="bottom"/>
            <w:gridSpan w:val="3"/>
            <w:shd w:val="clear" w:color="auto" w:fill="CCEEFF"/>
          </w:tcPr>
          <w:p>
            <w:pPr>
              <w:jc w:val="right"/>
              <w:ind w:right="1860"/>
              <w:spacing w:after="0"/>
              <w:rPr>
                <w:sz w:val="20"/>
                <w:szCs w:val="20"/>
                <w:color w:val="auto"/>
              </w:rPr>
            </w:pPr>
            <w:r>
              <w:rPr>
                <w:rFonts w:ascii="Arial" w:cs="Arial" w:eastAsia="Arial" w:hAnsi="Arial"/>
                <w:sz w:val="18"/>
                <w:szCs w:val="18"/>
                <w:color w:val="auto"/>
              </w:rPr>
              <w:t>2,719,809.00</w:t>
            </w: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3,823.00</w:t>
            </w:r>
          </w:p>
        </w:tc>
        <w:tc>
          <w:tcPr>
            <w:tcW w:w="28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30, 2017</w:t>
      </w:r>
    </w:p>
    <w:sectPr>
      <w:pgSz w:w="11900" w:h="16838" w:orient="portrait"/>
      <w:cols w:equalWidth="0" w:num="1">
        <w:col w:w="11260"/>
      </w:cols>
      <w:pgMar w:left="240" w:top="27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2019-12-06T09:53:03Z</dcterms:created>
  <dcterms:modified xsi:type="dcterms:W3CDTF">2019-12-06T09:53:03Z</dcterms:modified>
</cp:coreProperties>
</file>