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7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799"/>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208915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ind w:left="50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203835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REPORT OF FOREIGN PRIVATE ISSUER</w:t>
      </w:r>
    </w:p>
    <w:p>
      <w:pPr>
        <w:spacing w:after="0" w:line="225"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PURSUANT TO RULE 13a-16 OR 15d-16 UNDER</w:t>
      </w:r>
    </w:p>
    <w:p>
      <w:pPr>
        <w:spacing w:after="0" w:line="27"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THE SECURITIES EXCHANGE ACT OF 1934</w:t>
      </w:r>
    </w:p>
    <w:p>
      <w:pPr>
        <w:spacing w:after="0" w:line="315"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For the month of November, 2011</w:t>
      </w:r>
    </w:p>
    <w:p>
      <w:pPr>
        <w:spacing w:after="0" w:line="117"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Commission File Number 1-14840</w:t>
      </w:r>
    </w:p>
    <w:p>
      <w:pPr>
        <w:spacing w:after="0" w:line="200" w:lineRule="exact"/>
        <w:rPr>
          <w:sz w:val="24"/>
          <w:szCs w:val="24"/>
          <w:color w:val="auto"/>
        </w:rPr>
      </w:pPr>
    </w:p>
    <w:p>
      <w:pPr>
        <w:jc w:val="center"/>
        <w:ind w:right="-799"/>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Suite 5, Tower Hill House Le Bordage</w:t>
      </w:r>
    </w:p>
    <w:p>
      <w:pPr>
        <w:spacing w:after="0" w:line="14"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St. Peter Port, Island of Guernsey, GY1 3QT</w:t>
      </w:r>
    </w:p>
    <w:p>
      <w:pPr>
        <w:spacing w:after="0" w:line="315"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49" w:lineRule="exact"/>
        <w:rPr>
          <w:sz w:val="24"/>
          <w:szCs w:val="24"/>
          <w:color w:val="auto"/>
        </w:rPr>
      </w:pPr>
    </w:p>
    <w:p>
      <w:pPr>
        <w:ind w:left="428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71" w:lineRule="exact"/>
        <w:rPr>
          <w:sz w:val="24"/>
          <w:szCs w:val="24"/>
          <w:color w:val="auto"/>
        </w:rPr>
      </w:pPr>
    </w:p>
    <w:p>
      <w:pPr>
        <w:ind w:left="4340"/>
        <w:spacing w:after="0"/>
        <w:tabs>
          <w:tab w:leader="none" w:pos="5840" w:val="left"/>
        </w:tabs>
        <w:rPr>
          <w:sz w:val="20"/>
          <w:szCs w:val="20"/>
          <w:color w:val="auto"/>
        </w:rPr>
      </w:pPr>
      <w:r>
        <w:rPr>
          <w:rFonts w:ascii="Arial" w:cs="Arial" w:eastAsia="Arial" w:hAnsi="Arial"/>
          <w:sz w:val="18"/>
          <w:szCs w:val="18"/>
          <w:color w:val="auto"/>
        </w:rPr>
        <w:t xml:space="preserve">FORM 20-F </w:t>
      </w:r>
      <w:r>
        <w:rPr>
          <w:rFonts w:ascii="Arial" w:cs="Arial" w:eastAsia="Arial" w:hAnsi="Arial"/>
          <w:sz w:val="18"/>
          <w:szCs w:val="18"/>
          <w:u w:val="single" w:color="auto"/>
          <w:color w:val="auto"/>
        </w:rPr>
        <w:t>X</w:t>
      </w:r>
      <w:r>
        <w:rPr>
          <w:sz w:val="20"/>
          <w:szCs w:val="20"/>
          <w:color w:val="auto"/>
        </w:rPr>
        <w:tab/>
      </w:r>
      <w:r>
        <w:rPr>
          <w:rFonts w:ascii="Arial" w:cs="Arial" w:eastAsia="Arial" w:hAnsi="Arial"/>
          <w:sz w:val="16"/>
          <w:szCs w:val="16"/>
          <w:color w:val="auto"/>
        </w:rPr>
        <w:t>FORM 40-F ___</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____</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____</w:t>
      </w:r>
    </w:p>
    <w:p>
      <w:pPr>
        <w:spacing w:after="0" w:line="11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62" w:lineRule="exact"/>
        <w:rPr>
          <w:sz w:val="24"/>
          <w:szCs w:val="24"/>
          <w:color w:val="auto"/>
        </w:rPr>
      </w:pPr>
    </w:p>
    <w:p>
      <w:pPr>
        <w:ind w:left="4900"/>
        <w:spacing w:after="0"/>
        <w:tabs>
          <w:tab w:leader="none" w:pos="5800" w:val="left"/>
          <w:tab w:leader="none" w:pos="6240" w:val="left"/>
        </w:tabs>
        <w:rPr>
          <w:sz w:val="20"/>
          <w:szCs w:val="20"/>
          <w:color w:val="auto"/>
        </w:rPr>
      </w:pPr>
      <w:r>
        <w:rPr>
          <w:rFonts w:ascii="Arial" w:cs="Arial" w:eastAsia="Arial" w:hAnsi="Arial"/>
          <w:sz w:val="18"/>
          <w:szCs w:val="18"/>
          <w:color w:val="auto"/>
        </w:rPr>
        <w:t>YES ___</w:t>
        <w:tab/>
        <w:t>NO</w:t>
        <w:tab/>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313055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3891915</wp:posOffset>
            </wp:positionH>
            <wp:positionV relativeFrom="paragraph">
              <wp:posOffset>-10160</wp:posOffset>
            </wp:positionV>
            <wp:extent cx="2540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4000" cy="8890"/>
                    </a:xfrm>
                    <a:prstGeom prst="rect">
                      <a:avLst/>
                    </a:prstGeom>
                    <a:noFill/>
                  </pic:spPr>
                </pic:pic>
              </a:graphicData>
            </a:graphic>
          </wp:anchor>
        </w:drawing>
      </w:r>
    </w:p>
    <w:p>
      <w:pPr>
        <w:sectPr>
          <w:pgSz w:w="11900" w:h="16838" w:orient="portrait"/>
          <w:cols w:equalWidth="0" w:num="1">
            <w:col w:w="10620"/>
          </w:cols>
          <w:pgMar w:left="240" w:top="522" w:right="1039" w:bottom="1440" w:gutter="0" w:footer="0" w:header="0"/>
        </w:sectPr>
      </w:pPr>
    </w:p>
    <w:bookmarkStart w:id="1" w:name="page2"/>
    <w:bookmarkEnd w:id="1"/>
    <w:p>
      <w:pPr>
        <w:ind w:right="900" w:firstLine="225"/>
        <w:spacing w:after="0" w:line="308" w:lineRule="auto"/>
        <w:rPr>
          <w:sz w:val="20"/>
          <w:szCs w:val="20"/>
          <w:color w:val="auto"/>
        </w:rPr>
      </w:pPr>
      <w:r>
        <w:rPr>
          <w:rFonts w:ascii="Arial" w:cs="Arial" w:eastAsia="Arial" w:hAnsi="Arial"/>
          <w:sz w:val="17"/>
          <w:szCs w:val="17"/>
          <w:color w:val="auto"/>
        </w:rPr>
        <w:t>On November 8, 2011, Amdocs Limited (“Amdocs”) issued a press release announcing financial results for the quarter and fiscal year ended September 30, 2011. A copy of the press release is furnished as Exhibit 99.1 to this Report of Foreign Private Issuer on Form 6-K.</w:t>
      </w:r>
    </w:p>
    <w:p>
      <w:pPr>
        <w:spacing w:after="0" w:line="38" w:lineRule="exact"/>
        <w:rPr>
          <w:sz w:val="20"/>
          <w:szCs w:val="20"/>
          <w:color w:val="auto"/>
        </w:rPr>
      </w:pPr>
    </w:p>
    <w:p>
      <w:pPr>
        <w:jc w:val="both"/>
        <w:ind w:firstLine="222"/>
        <w:spacing w:after="0" w:line="264" w:lineRule="auto"/>
        <w:rPr>
          <w:sz w:val="20"/>
          <w:szCs w:val="20"/>
          <w:color w:val="auto"/>
        </w:rPr>
      </w:pPr>
      <w:r>
        <w:rPr>
          <w:rFonts w:ascii="Arial" w:cs="Arial" w:eastAsia="Arial" w:hAnsi="Arial"/>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35" w:right="3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AMDOCS LIMITED</w:t>
            </w:r>
          </w:p>
        </w:tc>
        <w:tc>
          <w:tcPr>
            <w:tcW w:w="1700" w:type="dxa"/>
            <w:vAlign w:val="bottom"/>
          </w:tcPr>
          <w:p>
            <w:pPr>
              <w:spacing w:after="0"/>
              <w:rPr>
                <w:sz w:val="20"/>
                <w:szCs w:val="20"/>
                <w:color w:val="auto"/>
              </w:rPr>
            </w:pPr>
          </w:p>
        </w:tc>
      </w:tr>
      <w:tr>
        <w:trPr>
          <w:trHeight w:val="432"/>
        </w:trPr>
        <w:tc>
          <w:tcPr>
            <w:tcW w:w="5500" w:type="dxa"/>
            <w:vAlign w:val="bottom"/>
          </w:tcPr>
          <w:p>
            <w:pPr>
              <w:spacing w:after="0"/>
              <w:rPr>
                <w:sz w:val="24"/>
                <w:szCs w:val="24"/>
                <w:color w:val="auto"/>
              </w:rPr>
            </w:pP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G. O'Brien</w:t>
            </w:r>
          </w:p>
        </w:tc>
        <w:tc>
          <w:tcPr>
            <w:tcW w:w="1700" w:type="dxa"/>
            <w:vAlign w:val="bottom"/>
          </w:tcPr>
          <w:p>
            <w:pPr>
              <w:spacing w:after="0"/>
              <w:rPr>
                <w:sz w:val="24"/>
                <w:szCs w:val="24"/>
                <w:color w:val="auto"/>
              </w:rPr>
            </w:pP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Thomas G. O’Brien</w:t>
            </w:r>
          </w:p>
        </w:tc>
        <w:tc>
          <w:tcPr>
            <w:tcW w:w="1700" w:type="dxa"/>
            <w:vAlign w:val="bottom"/>
          </w:tcPr>
          <w:p>
            <w:pPr>
              <w:spacing w:after="0"/>
              <w:rPr>
                <w:sz w:val="16"/>
                <w:szCs w:val="16"/>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November 8, 2011</w:t>
            </w:r>
          </w:p>
        </w:tc>
        <w:tc>
          <w:tcPr>
            <w:tcW w:w="4220" w:type="dxa"/>
            <w:vAlign w:val="bottom"/>
          </w:tcPr>
          <w:p>
            <w:pPr>
              <w:spacing w:after="0"/>
              <w:rPr>
                <w:sz w:val="20"/>
                <w:szCs w:val="20"/>
                <w:color w:val="auto"/>
              </w:rPr>
            </w:pPr>
            <w:r>
              <w:rPr>
                <w:rFonts w:ascii="Arial" w:cs="Arial" w:eastAsia="Arial" w:hAnsi="Arial"/>
                <w:sz w:val="18"/>
                <w:szCs w:val="18"/>
                <w:color w:val="auto"/>
                <w:w w:val="92"/>
              </w:rPr>
              <w:t>Treasurer and Secretary Authorized U.S. Representative</w:t>
            </w:r>
          </w:p>
        </w:tc>
        <w:tc>
          <w:tcPr>
            <w:tcW w:w="1700" w:type="dxa"/>
            <w:vAlign w:val="bottom"/>
          </w:tcPr>
          <w:p>
            <w:pPr>
              <w:spacing w:after="0"/>
              <w:rPr>
                <w:sz w:val="20"/>
                <w:szCs w:val="20"/>
                <w:color w:val="auto"/>
              </w:rPr>
            </w:pPr>
          </w:p>
        </w:tc>
      </w:tr>
      <w:tr>
        <w:trPr>
          <w:trHeight w:val="632"/>
        </w:trPr>
        <w:tc>
          <w:tcPr>
            <w:tcW w:w="5500" w:type="dxa"/>
            <w:vAlign w:val="bottom"/>
            <w:tcBorders>
              <w:bottom w:val="single" w:sz="8" w:color="808080"/>
            </w:tcBorders>
          </w:tcPr>
          <w:p>
            <w:pPr>
              <w:spacing w:after="0"/>
              <w:rPr>
                <w:sz w:val="24"/>
                <w:szCs w:val="24"/>
                <w:color w:val="auto"/>
              </w:rPr>
            </w:pPr>
          </w:p>
        </w:tc>
        <w:tc>
          <w:tcPr>
            <w:tcW w:w="422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160" w:type="dxa"/>
            <w:vAlign w:val="bottom"/>
          </w:tcPr>
          <w:p>
            <w:pPr>
              <w:ind w:left="376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 No.</w:t>
            </w:r>
          </w:p>
        </w:tc>
        <w:tc>
          <w:tcPr>
            <w:tcW w:w="10500" w:type="dxa"/>
            <w:vAlign w:val="bottom"/>
            <w:gridSpan w:val="2"/>
          </w:tcPr>
          <w:p>
            <w:pPr>
              <w:ind w:left="340"/>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920" w:type="dxa"/>
            <w:vAlign w:val="bottom"/>
            <w:tcBorders>
              <w:top w:val="single" w:sz="8" w:color="auto"/>
            </w:tcBorders>
          </w:tcPr>
          <w:p>
            <w:pPr>
              <w:jc w:val="right"/>
              <w:ind w:right="219"/>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19"/>
                <w:szCs w:val="19"/>
                <w:color w:val="auto"/>
              </w:rPr>
            </w:pPr>
          </w:p>
        </w:tc>
        <w:tc>
          <w:tcPr>
            <w:tcW w:w="10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Amdocs Limited Press Release dated November 8, 2011.</w:t>
            </w:r>
          </w:p>
        </w:tc>
      </w:tr>
    </w:tbl>
    <w:p>
      <w:pPr>
        <w:sectPr>
          <w:pgSz w:w="11900" w:h="16838" w:orient="portrait"/>
          <w:cols w:equalWidth="0" w:num="1">
            <w:col w:w="11420"/>
          </w:cols>
          <w:pgMar w:left="240" w:top="144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P R E S S  R E L E A S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5999480</wp:posOffset>
            </wp:positionH>
            <wp:positionV relativeFrom="paragraph">
              <wp:posOffset>-121920</wp:posOffset>
            </wp:positionV>
            <wp:extent cx="1252220" cy="257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52220" cy="25717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Amdocs Limited Reports Quarterly Revenue of $812 Million, Up 6.6% YoY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Expects Fiscal 2012 non-GAAP EPS growth of at least 10-12%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Key highlights:</w:t>
      </w:r>
    </w:p>
    <w:p>
      <w:pPr>
        <w:spacing w:after="0" w:line="117" w:lineRule="exact"/>
        <w:rPr>
          <w:sz w:val="20"/>
          <w:szCs w:val="20"/>
          <w:color w:val="auto"/>
        </w:rPr>
      </w:pPr>
    </w:p>
    <w:p>
      <w:pPr>
        <w:ind w:left="660" w:right="480" w:hanging="436"/>
        <w:spacing w:after="0" w:line="312" w:lineRule="auto"/>
        <w:tabs>
          <w:tab w:leader="none" w:pos="660" w:val="left"/>
        </w:tabs>
        <w:numPr>
          <w:ilvl w:val="0"/>
          <w:numId w:val="1"/>
        </w:numPr>
        <w:rPr>
          <w:rFonts w:ascii="Arial" w:cs="Arial" w:eastAsia="Arial" w:hAnsi="Arial"/>
          <w:sz w:val="16"/>
          <w:szCs w:val="16"/>
          <w:b w:val="1"/>
          <w:bCs w:val="1"/>
          <w:color w:val="auto"/>
        </w:rPr>
      </w:pPr>
      <w:r>
        <w:rPr>
          <w:rFonts w:ascii="Arial" w:cs="Arial" w:eastAsia="Arial" w:hAnsi="Arial"/>
          <w:sz w:val="16"/>
          <w:szCs w:val="16"/>
          <w:color w:val="auto"/>
        </w:rPr>
        <w:t>Fourth fiscal quarter revenue of $812 million, compared to the $800-$815 million guidance range. The acquisition of Bridgewater Systems Corporation positively affected revenue by approximately $7 million which was not reflected in the company’s guidance. Additionally, foreign currency movements negatively affected revenue by approximately $4 million sequentially relative to the third fiscal quarter of 2011</w:t>
      </w:r>
    </w:p>
    <w:p>
      <w:pPr>
        <w:spacing w:after="0" w:line="38" w:lineRule="exact"/>
        <w:rPr>
          <w:rFonts w:ascii="Arial" w:cs="Arial" w:eastAsia="Arial" w:hAnsi="Arial"/>
          <w:sz w:val="16"/>
          <w:szCs w:val="16"/>
          <w:b w:val="1"/>
          <w:bCs w:val="1"/>
          <w:color w:val="auto"/>
        </w:rPr>
      </w:pPr>
    </w:p>
    <w:p>
      <w:pPr>
        <w:ind w:left="660" w:hanging="436"/>
        <w:spacing w:after="0"/>
        <w:tabs>
          <w:tab w:leader="none" w:pos="660" w:val="left"/>
        </w:tabs>
        <w:numPr>
          <w:ilvl w:val="0"/>
          <w:numId w:val="1"/>
        </w:numPr>
        <w:rPr>
          <w:rFonts w:ascii="Arial" w:cs="Arial" w:eastAsia="Arial" w:hAnsi="Arial"/>
          <w:sz w:val="16"/>
          <w:szCs w:val="16"/>
          <w:b w:val="1"/>
          <w:bCs w:val="1"/>
          <w:color w:val="auto"/>
        </w:rPr>
      </w:pPr>
      <w:r>
        <w:rPr>
          <w:rFonts w:ascii="Arial" w:cs="Arial" w:eastAsia="Arial" w:hAnsi="Arial"/>
          <w:sz w:val="16"/>
          <w:szCs w:val="16"/>
          <w:color w:val="auto"/>
        </w:rPr>
        <w:t>Fourth fiscal quarter non-GAAP operating income of $134 million; non-GAAP operating margin of 16.5%; GAAP operating income of $105 million</w:t>
      </w:r>
    </w:p>
    <w:p>
      <w:pPr>
        <w:spacing w:after="0" w:line="140" w:lineRule="exact"/>
        <w:rPr>
          <w:rFonts w:ascii="Arial" w:cs="Arial" w:eastAsia="Arial" w:hAnsi="Arial"/>
          <w:sz w:val="16"/>
          <w:szCs w:val="16"/>
          <w:b w:val="1"/>
          <w:bCs w:val="1"/>
          <w:color w:val="auto"/>
        </w:rPr>
      </w:pPr>
    </w:p>
    <w:p>
      <w:pPr>
        <w:ind w:left="660" w:right="80" w:hanging="436"/>
        <w:spacing w:after="0" w:line="277"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Fourth fiscal quarter diluted non-GAAP EPS of $0.62, compared to the $0.58-$0.64 guidance range, excluding amortization of purchased intangible assets and other acquisition related costs and equity-based compensation expense, net of related tax effects</w:t>
      </w:r>
    </w:p>
    <w:p>
      <w:pPr>
        <w:spacing w:after="0" w:line="62"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Diluted GAAP EPS of $0.49 for the fourth fiscal quarter, compared to the $0.46-$0.54 guidance range</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Free cash flow of $118 million for the fourth fiscal quarter</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7"/>
          <w:szCs w:val="17"/>
          <w:b w:val="1"/>
          <w:bCs w:val="1"/>
          <w:color w:val="auto"/>
        </w:rPr>
      </w:pPr>
      <w:r>
        <w:rPr>
          <w:rFonts w:ascii="Arial" w:cs="Arial" w:eastAsia="Arial" w:hAnsi="Arial"/>
          <w:sz w:val="17"/>
          <w:szCs w:val="17"/>
          <w:color w:val="auto"/>
        </w:rPr>
        <w:t>Twelve-month backlog of $2.67 billion at the end of the fourth fiscal quarter, up $50 million from the end of the third fiscal quarter of 2011</w:t>
      </w:r>
    </w:p>
    <w:p>
      <w:pPr>
        <w:spacing w:after="0" w:line="128" w:lineRule="exact"/>
        <w:rPr>
          <w:rFonts w:ascii="Arial" w:cs="Arial" w:eastAsia="Arial" w:hAnsi="Arial"/>
          <w:sz w:val="17"/>
          <w:szCs w:val="17"/>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Repurchased $192 million of ordinary shares during the fourth fiscal quarter</w:t>
      </w:r>
    </w:p>
    <w:p>
      <w:pPr>
        <w:spacing w:after="0" w:line="117" w:lineRule="exact"/>
        <w:rPr>
          <w:rFonts w:ascii="Arial" w:cs="Arial" w:eastAsia="Arial" w:hAnsi="Arial"/>
          <w:sz w:val="18"/>
          <w:szCs w:val="18"/>
          <w:b w:val="1"/>
          <w:bCs w:val="1"/>
          <w:color w:val="auto"/>
        </w:rPr>
      </w:pPr>
    </w:p>
    <w:p>
      <w:pPr>
        <w:ind w:left="660" w:right="300" w:hanging="436"/>
        <w:spacing w:after="0" w:line="286" w:lineRule="auto"/>
        <w:tabs>
          <w:tab w:leader="none" w:pos="660" w:val="left"/>
        </w:tabs>
        <w:numPr>
          <w:ilvl w:val="0"/>
          <w:numId w:val="1"/>
        </w:numPr>
        <w:rPr>
          <w:rFonts w:ascii="Arial" w:cs="Arial" w:eastAsia="Arial" w:hAnsi="Arial"/>
          <w:sz w:val="17"/>
          <w:szCs w:val="17"/>
          <w:b w:val="1"/>
          <w:bCs w:val="1"/>
          <w:color w:val="auto"/>
        </w:rPr>
      </w:pPr>
      <w:r>
        <w:rPr>
          <w:rFonts w:ascii="Arial" w:cs="Arial" w:eastAsia="Arial" w:hAnsi="Arial"/>
          <w:sz w:val="17"/>
          <w:szCs w:val="17"/>
          <w:color w:val="auto"/>
        </w:rPr>
        <w:t>First quarter fiscal 2012 guidance: Expected revenue of approximately $805-$825 million and diluted non-GAAP EPS of $0.61-$0.67, excluding amortization of purchased intangible assets and other acquisition-related costs and approximately $0.05-$0.06 per share of equity-based compensation expense, net of related tax effects. Diluted GAAP EPS is expected to be approximately $0.49-$0.57</w:t>
      </w:r>
    </w:p>
    <w:p>
      <w:pPr>
        <w:spacing w:after="0" w:line="57" w:lineRule="exact"/>
        <w:rPr>
          <w:rFonts w:ascii="Arial" w:cs="Arial" w:eastAsia="Arial" w:hAnsi="Arial"/>
          <w:sz w:val="17"/>
          <w:szCs w:val="17"/>
          <w:b w:val="1"/>
          <w:bCs w:val="1"/>
          <w:color w:val="auto"/>
        </w:rPr>
      </w:pPr>
    </w:p>
    <w:p>
      <w:pPr>
        <w:ind w:left="660" w:right="100" w:hanging="436"/>
        <w:spacing w:after="0" w:line="277"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Fiscal 2012 guidance: Expected non-GAAP earnings per share growth of at least 10-12% and revenue growth of approximately 5-6% in fiscal 2012 compared to fiscal 2011</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line="255" w:lineRule="auto"/>
        <w:rPr>
          <w:sz w:val="20"/>
          <w:szCs w:val="20"/>
          <w:color w:val="auto"/>
        </w:rPr>
      </w:pPr>
      <w:r>
        <w:rPr>
          <w:rFonts w:ascii="Arial" w:cs="Arial" w:eastAsia="Arial" w:hAnsi="Arial"/>
          <w:sz w:val="18"/>
          <w:szCs w:val="18"/>
          <w:b w:val="1"/>
          <w:bCs w:val="1"/>
          <w:color w:val="auto"/>
        </w:rPr>
        <w:t xml:space="preserve">ST. LOUIS — November 8, 2011 </w:t>
      </w:r>
      <w:r>
        <w:rPr>
          <w:rFonts w:ascii="Arial" w:cs="Arial" w:eastAsia="Arial" w:hAnsi="Arial"/>
          <w:sz w:val="18"/>
          <w:szCs w:val="18"/>
          <w:color w:val="auto"/>
        </w:rPr>
        <w:t>— Amdocs Limited (NYSE: DOX) today reported that for its fourth fiscal quarter ended September 30, 2011, revenue was</w:t>
      </w:r>
      <w:r>
        <w:rPr>
          <w:rFonts w:ascii="Arial" w:cs="Arial" w:eastAsia="Arial" w:hAnsi="Arial"/>
          <w:sz w:val="18"/>
          <w:szCs w:val="18"/>
          <w:b w:val="1"/>
          <w:bCs w:val="1"/>
          <w:color w:val="auto"/>
        </w:rPr>
        <w:t xml:space="preserve"> </w:t>
      </w:r>
      <w:r>
        <w:rPr>
          <w:rFonts w:ascii="Arial" w:cs="Arial" w:eastAsia="Arial" w:hAnsi="Arial"/>
          <w:sz w:val="18"/>
          <w:szCs w:val="18"/>
          <w:color w:val="auto"/>
        </w:rPr>
        <w:t>$812.2 million, up 1.3% sequentially from the third fiscal quarter of 2011 and up 6.6% as compared to last year’s fourth fiscal quarter. Net income on a non-GAAP basis was $111.2 million, or $0.62 per diluted share, compared to non-GAAP net income of $122.4 million, or $0.62 per diluted share, in the fourth quarter of fiscal 2010. Non-GAAP net income excludes amortization of purchased intangible assets and other acquisition related costs and equity-based compensation expenses of $23.8 million, net of related tax effects, in the fourth quarter of fiscal 2011 and excludes such amortization and equity-based compensation expenses of $27.6 million, net of related tax effects, in the fourth quarter of fiscal 2010. The Company’s GAAP net income for the fourth quarter of fiscal 2011 was $87.4 million, or $0.49 per diluted share, compared to GAAP net income of $94.7 million, or $0.48 per diluted share, in the prior year’s fourth fiscal quarter.</w:t>
      </w:r>
    </w:p>
    <w:p>
      <w:pPr>
        <w:spacing w:after="0" w:line="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concluded fiscal 2011 with strong execution, on-going deal momentum in the emerging markets and continued progress in revitalizing our European business. In North America, we continued to see solid demand in 2011 and further extended our market leadership with key competitive wins. Additionally, our profitability improved throughout the year as the investment decisions we made at the beginning of 2011 yielded results,” said Eli Gelman, chief executive officer of Amdocs Management Limited.</w:t>
      </w:r>
    </w:p>
    <w:p>
      <w:pPr>
        <w:spacing w:after="0" w:line="7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Gelman continued, “Looking ahead to fiscal 2012, we are embarking on many new, industry-leading projects at several of the world’s largest operators. Our focused strategy of empowering service providers to support compelling customer experiences while concurrently improving their ability to monetize new data services is resonating in the market. The acquisition of Bridgewater Systems, which closed in the fourth fiscal quarter, further solidifies our position as a leader in driving the data experience. We are, however, approaching the new fiscal year with some level of caution as the macroeconomic outlook remains uncertain, particularly in Europe.”</w:t>
      </w:r>
    </w:p>
    <w:p>
      <w:pPr>
        <w:spacing w:after="0" w:line="8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Gelman concluded, “During the fourth fiscal quarter, we more aggressively executed on our buyback program. Since resuming the program in April 2010, we have now repurchased $1</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0" w:right="259" w:bottom="1440" w:gutter="0" w:footer="0" w:header="0"/>
        </w:sectPr>
      </w:pPr>
    </w:p>
    <w:bookmarkStart w:id="6" w:name="page7"/>
    <w:bookmarkEnd w:id="6"/>
    <w:p>
      <w:pPr>
        <w:jc w:val="both"/>
        <w:ind w:right="180"/>
        <w:spacing w:after="0" w:line="264" w:lineRule="auto"/>
        <w:rPr>
          <w:sz w:val="20"/>
          <w:szCs w:val="20"/>
          <w:color w:val="auto"/>
        </w:rPr>
      </w:pPr>
      <w:r>
        <w:rPr>
          <w:rFonts w:ascii="Arial" w:cs="Arial" w:eastAsia="Arial" w:hAnsi="Arial"/>
          <w:sz w:val="18"/>
          <w:szCs w:val="18"/>
          <w:color w:val="auto"/>
        </w:rPr>
        <w:t>billion of our ordinary shares as of September 30, 2011, or approximately 17% of our shares outstanding. We expect the combination of a solid fundamental outlook for the business of 5-6% revenue growth along with our previously executed share repurchase activity to drive at least 10-12% non-GAAP earnings per share growth for Amdocs in fiscal 2012.”</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Discussion of Fourth Fiscal Quarter Results</w:t>
      </w:r>
    </w:p>
    <w:p>
      <w:pPr>
        <w:spacing w:after="0" w:line="27"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Free cash flow was $118 million for the quarter, comprised of cash flow from operations of $148 million less $30 million in net capital expenditures and other.</w:t>
      </w:r>
    </w:p>
    <w:p>
      <w:pPr>
        <w:spacing w:after="0" w:line="7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Twelve-month backlog, which includes anticipated revenue related to contracts, estimated revenue from managed services contracts, letters of intent, maintenance and estimated on-going support activities, was $2.67 billion at the end of the fourth quarter of fiscal 2011.</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2011 Results</w:t>
      </w:r>
    </w:p>
    <w:p>
      <w:pPr>
        <w:spacing w:after="0" w:line="2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For the fiscal year ended September 30, 2011, revenue increased by 6.5% to $3.2 billion. Fiscal 2011 net income on a non-GAAP basis was $434.6 million, or $2.33 per diluted share (excluding amortization of purchased intangible assets and other acquisition related costs and equity-based compensation expenses of $87.9 million, net of related tax effects), compared to non-GAAP net income of $471.7 million, or $2.31 per diluted share, in fiscal 2010 (excluding amortization of purchased intangible assets and other acquisition related costs, equity-based compensation expenses and loss from divestiture of a subsidiary of $127.8 million, net of related tax effects). The Company’s GAAP net income in fiscal 2011 was $346.7 million, or $1.86 per diluted share, compared to GAAP net income of $343.9 million, or $1.69 per diluted share, in fiscal 2010.</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Amdocs expects that revenue for the first quarter of fiscal 2012 will be approximately $805-$825 million. Diluted earnings per share on a non-GAAP basis for the first fiscal quarter are expected to be $0.61-$0.67, excluding amortization of purchased intangible assets and other acquisition-related costs and approximately $0.05-$0.06 per share of equity-based compensation expense, net of related tax effects. Amdocs estimates GAAP diluted earnings per share for the first fiscal quarter will be $0.49-$0.57.</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ind w:right="80"/>
        <w:spacing w:after="0" w:line="277" w:lineRule="auto"/>
        <w:rPr>
          <w:sz w:val="20"/>
          <w:szCs w:val="20"/>
          <w:color w:val="auto"/>
        </w:rPr>
      </w:pPr>
      <w:r>
        <w:rPr>
          <w:rFonts w:ascii="Arial" w:cs="Arial" w:eastAsia="Arial" w:hAnsi="Arial"/>
          <w:sz w:val="18"/>
          <w:szCs w:val="18"/>
          <w:color w:val="auto"/>
        </w:rPr>
        <w:t>For the fiscal year 2012 compared to fiscal year 2011, Amdocs anticipates at least 10-12% non-GAAP earnings per share growth and revenue growth of 5-6%.</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2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Amdocs will host a conference call on November 8, 2011 at 5:00 p.m. Eastern Time to discuss the Company’s fourth fiscal quarter results. The call will be carried live on the Internet via the Amdocs website, www.amdocs.com.</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This release includes non-GAAP diluted earnings per share and other non-GAAP financial measures, including free cash flow, non-GAAP cost of service, non-GAAP research and development, non-GAAP selling, general and administrative, non-GAAP operating income, non-GAAP operating margin, non-GAAP interest and other (expense) income, net, non-GAAP income taxes and non-GAAP net income. These non-GAAP measures exclude the following items:</w:t>
      </w:r>
    </w:p>
    <w:p>
      <w:pPr>
        <w:spacing w:after="0" w:line="82" w:lineRule="exact"/>
        <w:rPr>
          <w:sz w:val="20"/>
          <w:szCs w:val="20"/>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amortization of purchased intangible assets and other acquisition related costs;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equity-based compensation expense;</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loss from divestiture of a subsidiary; and</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tax effects related to the above.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pacing w:after="0" w:line="8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Amdocs believes that the presentation of non-GAAP diluted earnings per share and other financial measures, including free cash flow, non-GAAP cost of service, non-GAAP research and development, non-GAAP selling, general and administrative, non-GAAP operating income, non-GAAP operating margin, non-GAAP interest and other (expense) income, net, non-GAAP income taxes and non-GAAP net income, when shown in conjunction with the corresponding</w:t>
      </w:r>
    </w:p>
    <w:p>
      <w:pPr>
        <w:spacing w:after="0" w:line="16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935" w:right="439" w:bottom="1440" w:gutter="0" w:footer="0" w:header="0"/>
        </w:sectPr>
      </w:pPr>
    </w:p>
    <w:bookmarkStart w:id="8" w:name="page9"/>
    <w:bookmarkEnd w:id="8"/>
    <w:p>
      <w:pPr>
        <w:ind w:right="80"/>
        <w:spacing w:after="0" w:line="264" w:lineRule="auto"/>
        <w:rPr>
          <w:sz w:val="20"/>
          <w:szCs w:val="20"/>
          <w:color w:val="auto"/>
        </w:rPr>
      </w:pPr>
      <w:r>
        <w:rPr>
          <w:rFonts w:ascii="Arial" w:cs="Arial" w:eastAsia="Arial" w:hAnsi="Arial"/>
          <w:sz w:val="18"/>
          <w:szCs w:val="18"/>
          <w:color w:val="auto"/>
        </w:rPr>
        <w:t>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7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For its internal budgeting process and in monitoring the results of the business, Amdocs’ management uses financial statements that do not include amortization of purchased intangible assets and other acquisition related costs, equity-based compensation expense, loss from divesture of a subsidiary and related tax effects. Amdocs’ management also uses the foregoing non-GAAP financial measures, in addition to the corresponding GAAP measures, in reviewing the financial results of Amdocs. In addition, Amdocs believes that significant groups of investors exclude these non-cash expenses in reviewing its results and those of its competitors, because the amounts of the expenses between companies can vary greatly depending on the assumptions used by an individual company in determining the amounts of the expenses.</w:t>
      </w:r>
    </w:p>
    <w:p>
      <w:pPr>
        <w:spacing w:after="0" w:line="7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Amdocs further believes that, where the adjustments used in calculating non-GAAP diluted earnings per share are based on specific, identified amounts that impact different line items in the Consolidated Statements of Income (including cost of service, research and development, selling, general and administrative, operating income, interest and other (expense), income net, income taxes and net income), it is useful to investors to understand how these specific line items in the Consolidated Statements of Income are affected by these adjustments.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the Reconciliation of Selected Financial Metrics from GAAP to Non-GAAP tables below.</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Amdocs</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Amdocs is the market leader in customer experience systems innovation. The company combines business and operational support systems, service delivery platforms, proven services, and deep industry expertise to enable service providers and their customers to do more in the connected world. Amdocs’ offerings help service providers explore new business models, differentiate through personalized customer experiences, and streamline operations. A global company with revenue of approximately $3.2 billion in fiscal 2011, Amdocs has over</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19,000 employees and serves customers in more than 60 countries worldwide. For more information, visit Amdocs at www.amdocs.com.</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the Company specifically disclaims any obligation to do so. These and other risks are discussed at greater length in the Company’s filings with the Securities and Exchange Commission, including in our Annual Report on Form 20-F for the fiscal year ended September 30, 2010 filed on December 7, 2010 and in our quarterly 6-K filed on February 8, 2011, May 11, 2011 and August 8, 2011.</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Elizabeth W. Grausam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Corporate Strategy and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Amdocs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314-212-8328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dox_info@amdocs.com</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 # #</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333"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Consolidated Statements of Income</w:t>
      </w:r>
    </w:p>
    <w:p>
      <w:pPr>
        <w:spacing w:after="0" w:line="333"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(in thousands, except per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3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1"/>
        </w:trPr>
        <w:tc>
          <w:tcPr>
            <w:tcW w:w="48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2011</w:t>
            </w: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220"/>
              <w:spacing w:after="0"/>
              <w:rPr>
                <w:sz w:val="20"/>
                <w:szCs w:val="20"/>
                <w:color w:val="auto"/>
              </w:rPr>
            </w:pPr>
            <w:r>
              <w:rPr>
                <w:rFonts w:ascii="Arial" w:cs="Arial" w:eastAsia="Arial" w:hAnsi="Arial"/>
                <w:sz w:val="18"/>
                <w:szCs w:val="18"/>
                <w:color w:val="auto"/>
              </w:rPr>
              <w:t>License</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31,543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25,276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119,237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100,967</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780,660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736,918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3,058,491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2,883,256</w:t>
            </w:r>
          </w:p>
        </w:tc>
        <w:tc>
          <w:tcPr>
            <w:tcW w:w="0" w:type="dxa"/>
            <w:vAlign w:val="bottom"/>
          </w:tcPr>
          <w:p>
            <w:pPr>
              <w:spacing w:after="0"/>
              <w:rPr>
                <w:sz w:val="1"/>
                <w:szCs w:val="1"/>
                <w:color w:val="auto"/>
              </w:rPr>
            </w:pPr>
          </w:p>
        </w:tc>
      </w:tr>
      <w:tr>
        <w:trPr>
          <w:trHeight w:val="223"/>
        </w:trPr>
        <w:tc>
          <w:tcPr>
            <w:tcW w:w="48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812,203</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762,194</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3,177,728</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2,984,223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220"/>
              <w:spacing w:after="0"/>
              <w:rPr>
                <w:sz w:val="20"/>
                <w:szCs w:val="20"/>
                <w:color w:val="auto"/>
              </w:rPr>
            </w:pPr>
            <w:r>
              <w:rPr>
                <w:rFonts w:ascii="Arial" w:cs="Arial" w:eastAsia="Arial" w:hAnsi="Arial"/>
                <w:sz w:val="18"/>
                <w:szCs w:val="18"/>
                <w:color w:val="auto"/>
              </w:rPr>
              <w:t>Cost of license</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1,099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2,627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service</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524,251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485,916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2,066,740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1,903,645</w:t>
            </w:r>
          </w:p>
        </w:tc>
        <w:tc>
          <w:tcPr>
            <w:tcW w:w="0" w:type="dxa"/>
            <w:vAlign w:val="bottom"/>
          </w:tcPr>
          <w:p>
            <w:pPr>
              <w:spacing w:after="0"/>
              <w:rPr>
                <w:sz w:val="1"/>
                <w:szCs w:val="1"/>
                <w:color w:val="auto"/>
              </w:rPr>
            </w:pPr>
          </w:p>
        </w:tc>
      </w:tr>
      <w:tr>
        <w:trPr>
          <w:trHeight w:val="216"/>
        </w:trPr>
        <w:tc>
          <w:tcPr>
            <w:tcW w:w="488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58,944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54,287</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221,886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207,836</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103,729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96,531</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409,465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373,585</w:t>
            </w:r>
          </w:p>
        </w:tc>
        <w:tc>
          <w:tcPr>
            <w:tcW w:w="0" w:type="dxa"/>
            <w:vAlign w:val="bottom"/>
          </w:tcPr>
          <w:p>
            <w:pPr>
              <w:spacing w:after="0"/>
              <w:rPr>
                <w:sz w:val="1"/>
                <w:szCs w:val="1"/>
                <w:color w:val="auto"/>
              </w:rPr>
            </w:pPr>
          </w:p>
        </w:tc>
      </w:tr>
      <w:tr>
        <w:trPr>
          <w:trHeight w:val="216"/>
        </w:trPr>
        <w:tc>
          <w:tcPr>
            <w:tcW w:w="4880" w:type="dxa"/>
            <w:vAlign w:val="bottom"/>
          </w:tcPr>
          <w:p>
            <w:pPr>
              <w:ind w:left="220"/>
              <w:spacing w:after="0"/>
              <w:rPr>
                <w:sz w:val="20"/>
                <w:szCs w:val="20"/>
                <w:color w:val="auto"/>
              </w:rPr>
            </w:pPr>
            <w:r>
              <w:rPr>
                <w:rFonts w:ascii="Arial" w:cs="Arial" w:eastAsia="Arial" w:hAnsi="Arial"/>
                <w:sz w:val="18"/>
                <w:szCs w:val="18"/>
                <w:color w:val="auto"/>
              </w:rPr>
              <w:t>Amortization of purchased intangible assets and other</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19,628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22,197</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72,646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86,703</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707,651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659,306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2,773,364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2,573,790</w:t>
            </w:r>
          </w:p>
        </w:tc>
        <w:tc>
          <w:tcPr>
            <w:tcW w:w="0" w:type="dxa"/>
            <w:vAlign w:val="bottom"/>
          </w:tcPr>
          <w:p>
            <w:pPr>
              <w:spacing w:after="0"/>
              <w:rPr>
                <w:sz w:val="1"/>
                <w:szCs w:val="1"/>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color w:val="auto"/>
              </w:rPr>
              <w:t>Operating income</w:t>
            </w:r>
          </w:p>
        </w:tc>
        <w:tc>
          <w:tcPr>
            <w:tcW w:w="1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104,552</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102,888</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404,364</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410,433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income, net</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(5,405)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2,109</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(8,657)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(25,135)</w:t>
            </w:r>
          </w:p>
        </w:tc>
        <w:tc>
          <w:tcPr>
            <w:tcW w:w="0" w:type="dxa"/>
            <w:vAlign w:val="bottom"/>
          </w:tcPr>
          <w:p>
            <w:pPr>
              <w:spacing w:after="0"/>
              <w:rPr>
                <w:sz w:val="1"/>
                <w:szCs w:val="1"/>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99,147</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104,997</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395,707</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385,298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11,768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10,259</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49,042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41,392</w:t>
            </w:r>
          </w:p>
        </w:tc>
        <w:tc>
          <w:tcPr>
            <w:tcW w:w="0" w:type="dxa"/>
            <w:vAlign w:val="bottom"/>
          </w:tcPr>
          <w:p>
            <w:pPr>
              <w:spacing w:after="0"/>
              <w:rPr>
                <w:sz w:val="1"/>
                <w:szCs w:val="1"/>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color w:val="auto"/>
              </w:rPr>
              <w:t>Net income</w:t>
            </w:r>
          </w:p>
        </w:tc>
        <w:tc>
          <w:tcPr>
            <w:tcW w:w="1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87,379</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94,738</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346,665</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343,906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1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vMerge w:val="continue"/>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0.49</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178,232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195,189</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185,213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202,584</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vMerge w:val="continue"/>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179,378</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196,487</w:t>
            </w: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186,559</w:t>
            </w: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204,076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360" w:type="dxa"/>
            <w:vAlign w:val="bottom"/>
            <w:vMerge w:val="restart"/>
          </w:tcPr>
          <w:p>
            <w:pPr>
              <w:jc w:val="right"/>
              <w:ind w:right="39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88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8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Metrics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340" w:type="dxa"/>
            <w:vAlign w:val="bottom"/>
            <w:gridSpan w:val="5"/>
          </w:tcPr>
          <w:p>
            <w:pPr>
              <w:ind w:left="400"/>
              <w:spacing w:after="0"/>
              <w:rPr>
                <w:sz w:val="20"/>
                <w:szCs w:val="20"/>
                <w:color w:val="auto"/>
              </w:rPr>
            </w:pPr>
            <w:r>
              <w:rPr>
                <w:rFonts w:ascii="Arial" w:cs="Arial" w:eastAsia="Arial" w:hAnsi="Arial"/>
                <w:sz w:val="14"/>
                <w:szCs w:val="14"/>
                <w:b w:val="1"/>
                <w:bCs w:val="1"/>
                <w:color w:val="auto"/>
              </w:rPr>
              <w:t>Twelve months ended</w:t>
            </w:r>
          </w:p>
        </w:tc>
      </w:tr>
      <w:tr>
        <w:trPr>
          <w:trHeight w:val="171"/>
        </w:trPr>
        <w:tc>
          <w:tcPr>
            <w:tcW w:w="4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8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2011</w:t>
            </w: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812,203</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762,194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3,177,728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2,984,223</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Non-GAAP operating income</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133,883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137,212</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513,641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541,591</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111,187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122,351</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434,580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471,708</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Non-GAAP diluted earnings per share</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0.62</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0.62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2.33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179,378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196,487</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186,559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204,076</w:t>
            </w:r>
          </w:p>
        </w:tc>
      </w:tr>
      <w:tr>
        <w:trPr>
          <w:trHeight w:val="405"/>
        </w:trPr>
        <w:tc>
          <w:tcPr>
            <w:tcW w:w="4840" w:type="dxa"/>
            <w:vAlign w:val="bottom"/>
          </w:tcPr>
          <w:p>
            <w:pPr>
              <w:spacing w:after="0"/>
              <w:rPr>
                <w:sz w:val="24"/>
                <w:szCs w:val="24"/>
                <w:color w:val="auto"/>
              </w:rPr>
            </w:pP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484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p>
      <w:pPr>
        <w:ind w:left="74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right"/>
        <w:ind w:right="2760"/>
        <w:spacing w:after="0"/>
        <w:rPr>
          <w:sz w:val="20"/>
          <w:szCs w:val="20"/>
          <w:color w:val="auto"/>
        </w:rPr>
      </w:pPr>
      <w:r>
        <w:rPr>
          <w:rFonts w:ascii="Arial" w:cs="Arial" w:eastAsia="Arial" w:hAnsi="Arial"/>
          <w:sz w:val="14"/>
          <w:szCs w:val="14"/>
          <w:b w:val="1"/>
          <w:bCs w:val="1"/>
          <w:color w:val="auto"/>
        </w:rPr>
        <w:t>September 30,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-3175</wp:posOffset>
            </wp:positionV>
            <wp:extent cx="41167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116705" cy="8890"/>
                    </a:xfrm>
                    <a:prstGeom prst="rect">
                      <a:avLst/>
                    </a:prstGeom>
                    <a:noFill/>
                  </pic:spPr>
                </pic:pic>
              </a:graphicData>
            </a:graphic>
          </wp:anchor>
        </w:drawing>
      </w:r>
    </w:p>
    <w:p>
      <w:pPr>
        <w:jc w:val="right"/>
        <w:ind w:right="2740"/>
        <w:spacing w:after="0" w:line="233" w:lineRule="auto"/>
        <w:rPr>
          <w:sz w:val="20"/>
          <w:szCs w:val="20"/>
          <w:color w:val="auto"/>
        </w:rPr>
      </w:pPr>
      <w:r>
        <w:rPr>
          <w:rFonts w:ascii="Arial" w:cs="Arial" w:eastAsia="Arial" w:hAnsi="Arial"/>
          <w:sz w:val="14"/>
          <w:szCs w:val="14"/>
          <w:b w:val="1"/>
          <w:bCs w:val="1"/>
          <w:color w:val="auto"/>
        </w:rPr>
        <w:t>Reconciliation items</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GAAP</w:t>
            </w:r>
          </w:p>
        </w:tc>
        <w:tc>
          <w:tcPr>
            <w:tcW w:w="580" w:type="dxa"/>
            <w:vAlign w:val="bottom"/>
          </w:tcPr>
          <w:p>
            <w:pPr>
              <w:spacing w:after="0"/>
              <w:rPr>
                <w:sz w:val="12"/>
                <w:szCs w:val="12"/>
                <w:color w:val="auto"/>
              </w:rPr>
            </w:pPr>
          </w:p>
        </w:tc>
        <w:tc>
          <w:tcPr>
            <w:tcW w:w="11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Amortization of</w:t>
            </w:r>
          </w:p>
        </w:tc>
        <w:tc>
          <w:tcPr>
            <w:tcW w:w="46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Equity based</w:t>
            </w: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Tax effect</w:t>
            </w:r>
          </w:p>
        </w:tc>
        <w:tc>
          <w:tcPr>
            <w:tcW w:w="360" w:type="dxa"/>
            <w:vAlign w:val="bottom"/>
          </w:tcPr>
          <w:p>
            <w:pPr>
              <w:spacing w:after="0"/>
              <w:rPr>
                <w:sz w:val="12"/>
                <w:szCs w:val="12"/>
                <w:color w:val="auto"/>
              </w:rPr>
            </w:pPr>
          </w:p>
        </w:tc>
        <w:tc>
          <w:tcPr>
            <w:tcW w:w="1100" w:type="dxa"/>
            <w:vAlign w:val="bottom"/>
            <w:gridSpan w:val="4"/>
          </w:tcPr>
          <w:p>
            <w:pPr>
              <w:ind w:left="280"/>
              <w:spacing w:after="0" w:line="142" w:lineRule="exact"/>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w w:val="97"/>
              </w:rPr>
              <w:t>purchased</w:t>
            </w:r>
          </w:p>
        </w:tc>
        <w:tc>
          <w:tcPr>
            <w:tcW w:w="460" w:type="dxa"/>
            <w:vAlign w:val="bottom"/>
          </w:tcPr>
          <w:p>
            <w:pPr>
              <w:spacing w:after="0"/>
              <w:rPr>
                <w:sz w:val="10"/>
                <w:szCs w:val="10"/>
                <w:color w:val="auto"/>
              </w:rPr>
            </w:pPr>
          </w:p>
        </w:tc>
        <w:tc>
          <w:tcPr>
            <w:tcW w:w="14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compensation</w:t>
            </w: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intangible assets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89"/>
              </w:rPr>
              <w:t>expense</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7"/>
              </w:rPr>
              <w:t>and other</w:t>
            </w:r>
          </w:p>
        </w:tc>
        <w:tc>
          <w:tcPr>
            <w:tcW w:w="4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1,099</w:t>
            </w:r>
          </w:p>
        </w:tc>
        <w:tc>
          <w:tcPr>
            <w:tcW w:w="80" w:type="dxa"/>
            <w:vAlign w:val="bottom"/>
          </w:tcPr>
          <w:p>
            <w:pPr>
              <w:spacing w:after="0"/>
              <w:rPr>
                <w:sz w:val="18"/>
                <w:szCs w:val="18"/>
                <w:color w:val="auto"/>
              </w:rPr>
            </w:pP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75"/>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3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524,251</w:t>
            </w:r>
          </w:p>
        </w:tc>
        <w:tc>
          <w:tcPr>
            <w:tcW w:w="80" w:type="dxa"/>
            <w:vAlign w:val="bottom"/>
            <w:tcBorders>
              <w:left w:val="single" w:sz="8" w:color="CCEEFF"/>
            </w:tcBorders>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(4,718)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7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519,533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58,944</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(714)</w:t>
            </w:r>
          </w:p>
        </w:tc>
        <w:tc>
          <w:tcPr>
            <w:tcW w:w="140" w:type="dxa"/>
            <w:vAlign w:val="bottom"/>
          </w:tcPr>
          <w:p>
            <w:pPr>
              <w:spacing w:after="0"/>
              <w:rPr>
                <w:sz w:val="18"/>
                <w:szCs w:val="18"/>
                <w:color w:val="auto"/>
              </w:rPr>
            </w:pPr>
          </w:p>
        </w:tc>
        <w:tc>
          <w:tcPr>
            <w:tcW w:w="880" w:type="dxa"/>
            <w:vAlign w:val="bottom"/>
            <w:gridSpan w:val="2"/>
          </w:tcPr>
          <w:p>
            <w:pPr>
              <w:jc w:val="right"/>
              <w:ind w:right="27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58,230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103,729</w:t>
            </w:r>
          </w:p>
        </w:tc>
        <w:tc>
          <w:tcPr>
            <w:tcW w:w="80" w:type="dxa"/>
            <w:vAlign w:val="bottom"/>
            <w:tcBorders>
              <w:left w:val="single" w:sz="8" w:color="CCEEFF"/>
            </w:tcBorders>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(4,271)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7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 and other</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19,628</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(19,628)</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7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707,651</w:t>
            </w:r>
          </w:p>
        </w:tc>
        <w:tc>
          <w:tcPr>
            <w:tcW w:w="80" w:type="dxa"/>
            <w:vAlign w:val="bottom"/>
            <w:tcBorders>
              <w:left w:val="single" w:sz="8" w:color="CCEEFF"/>
            </w:tcBorders>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(19,628)</w:t>
            </w:r>
          </w:p>
        </w:tc>
        <w:tc>
          <w:tcPr>
            <w:tcW w:w="4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(9,703)</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7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678,320</w:t>
            </w:r>
          </w:p>
        </w:tc>
        <w:tc>
          <w:tcPr>
            <w:tcW w:w="0" w:type="dxa"/>
            <w:vAlign w:val="bottom"/>
          </w:tcPr>
          <w:p>
            <w:pPr>
              <w:spacing w:after="0"/>
              <w:rPr>
                <w:sz w:val="1"/>
                <w:szCs w:val="1"/>
                <w:color w:val="auto"/>
              </w:rPr>
            </w:pPr>
          </w:p>
        </w:tc>
      </w:tr>
      <w:tr>
        <w:trPr>
          <w:trHeight w:val="230"/>
        </w:trPr>
        <w:tc>
          <w:tcPr>
            <w:tcW w:w="45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104,552</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19,628</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9,703</w:t>
            </w:r>
          </w:p>
        </w:tc>
        <w:tc>
          <w:tcPr>
            <w:tcW w:w="6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133,883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3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11,768</w:t>
            </w:r>
          </w:p>
        </w:tc>
        <w:tc>
          <w:tcPr>
            <w:tcW w:w="80" w:type="dxa"/>
            <w:vAlign w:val="bottom"/>
            <w:tcBorders>
              <w:left w:val="single" w:sz="8" w:color="CCEEFF"/>
            </w:tcBorders>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5,523</w:t>
            </w:r>
          </w:p>
        </w:tc>
        <w:tc>
          <w:tcPr>
            <w:tcW w:w="36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17,291</w:t>
            </w:r>
          </w:p>
        </w:tc>
        <w:tc>
          <w:tcPr>
            <w:tcW w:w="0" w:type="dxa"/>
            <w:vAlign w:val="bottom"/>
          </w:tcPr>
          <w:p>
            <w:pPr>
              <w:spacing w:after="0"/>
              <w:rPr>
                <w:sz w:val="1"/>
                <w:szCs w:val="1"/>
                <w:color w:val="auto"/>
              </w:rPr>
            </w:pPr>
          </w:p>
        </w:tc>
      </w:tr>
      <w:tr>
        <w:trPr>
          <w:trHeight w:val="223"/>
        </w:trPr>
        <w:tc>
          <w:tcPr>
            <w:tcW w:w="45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87,379</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19,628</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9,703</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(5,523</w:t>
            </w:r>
          </w:p>
        </w:tc>
        <w:tc>
          <w:tcPr>
            <w:tcW w:w="360" w:type="dxa"/>
            <w:vAlign w:val="bottom"/>
          </w:tcPr>
          <w:p>
            <w:pPr>
              <w:jc w:val="right"/>
              <w:ind w:right="215"/>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$ 111,187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1"/>
              </w:rPr>
              <w:t>Three months ended</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center"/>
              <w:ind w:right="500"/>
              <w:spacing w:after="0"/>
              <w:rPr>
                <w:sz w:val="20"/>
                <w:szCs w:val="20"/>
                <w:color w:val="auto"/>
              </w:rPr>
            </w:pPr>
            <w:r>
              <w:rPr>
                <w:rFonts w:ascii="Arial" w:cs="Arial" w:eastAsia="Arial" w:hAnsi="Arial"/>
                <w:sz w:val="14"/>
                <w:szCs w:val="14"/>
                <w:b w:val="1"/>
                <w:bCs w:val="1"/>
                <w:color w:val="auto"/>
                <w:w w:val="91"/>
              </w:rPr>
              <w:t>September 30, 2010</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GAAP</w:t>
            </w:r>
          </w:p>
        </w:tc>
        <w:tc>
          <w:tcPr>
            <w:tcW w:w="5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4"/>
          </w:tcPr>
          <w:p>
            <w:pPr>
              <w:jc w:val="center"/>
              <w:ind w:right="500"/>
              <w:spacing w:after="0" w:line="142" w:lineRule="exact"/>
              <w:rPr>
                <w:sz w:val="20"/>
                <w:szCs w:val="20"/>
                <w:color w:val="auto"/>
              </w:rPr>
            </w:pPr>
            <w:r>
              <w:rPr>
                <w:rFonts w:ascii="Arial" w:cs="Arial" w:eastAsia="Arial" w:hAnsi="Arial"/>
                <w:sz w:val="14"/>
                <w:szCs w:val="14"/>
                <w:b w:val="1"/>
                <w:bCs w:val="1"/>
                <w:color w:val="auto"/>
                <w:w w:val="91"/>
              </w:rPr>
              <w:t>Reconciliation items</w:t>
            </w: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1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Amortization of</w:t>
            </w:r>
          </w:p>
        </w:tc>
        <w:tc>
          <w:tcPr>
            <w:tcW w:w="460" w:type="dxa"/>
            <w:vAlign w:val="bottom"/>
          </w:tcPr>
          <w:p>
            <w:pPr>
              <w:spacing w:after="0"/>
              <w:rPr>
                <w:sz w:val="12"/>
                <w:szCs w:val="12"/>
                <w:color w:val="auto"/>
              </w:rPr>
            </w:pPr>
          </w:p>
        </w:tc>
        <w:tc>
          <w:tcPr>
            <w:tcW w:w="1480" w:type="dxa"/>
            <w:vAlign w:val="bottom"/>
            <w:gridSpan w:val="3"/>
          </w:tcPr>
          <w:p>
            <w:pPr>
              <w:jc w:val="right"/>
              <w:ind w:right="660"/>
              <w:spacing w:after="0" w:line="142" w:lineRule="exact"/>
              <w:rPr>
                <w:sz w:val="20"/>
                <w:szCs w:val="20"/>
                <w:color w:val="auto"/>
              </w:rPr>
            </w:pPr>
            <w:r>
              <w:rPr>
                <w:rFonts w:ascii="Arial" w:cs="Arial" w:eastAsia="Arial" w:hAnsi="Arial"/>
                <w:sz w:val="14"/>
                <w:szCs w:val="14"/>
                <w:b w:val="1"/>
                <w:bCs w:val="1"/>
                <w:color w:val="auto"/>
                <w:w w:val="91"/>
              </w:rPr>
              <w:t>Equity based</w:t>
            </w:r>
          </w:p>
        </w:tc>
        <w:tc>
          <w:tcPr>
            <w:tcW w:w="6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Tax effect</w:t>
            </w:r>
          </w:p>
        </w:tc>
        <w:tc>
          <w:tcPr>
            <w:tcW w:w="36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purchased</w:t>
            </w:r>
          </w:p>
        </w:tc>
        <w:tc>
          <w:tcPr>
            <w:tcW w:w="460" w:type="dxa"/>
            <w:vAlign w:val="bottom"/>
          </w:tcPr>
          <w:p>
            <w:pPr>
              <w:spacing w:after="0"/>
              <w:rPr>
                <w:sz w:val="10"/>
                <w:szCs w:val="10"/>
                <w:color w:val="auto"/>
              </w:rPr>
            </w:pPr>
          </w:p>
        </w:tc>
        <w:tc>
          <w:tcPr>
            <w:tcW w:w="14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compensation</w:t>
            </w: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intangible assets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92"/>
              </w:rPr>
              <w:t>expense</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and other</w:t>
            </w:r>
          </w:p>
        </w:tc>
        <w:tc>
          <w:tcPr>
            <w:tcW w:w="4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400"/>
              <w:spacing w:after="0"/>
              <w:rPr>
                <w:sz w:val="20"/>
                <w:szCs w:val="20"/>
                <w:color w:val="auto"/>
              </w:rPr>
            </w:pPr>
            <w:r>
              <w:rPr>
                <w:rFonts w:ascii="Arial" w:cs="Arial" w:eastAsia="Arial" w:hAnsi="Arial"/>
                <w:sz w:val="18"/>
                <w:szCs w:val="18"/>
                <w:color w:val="auto"/>
              </w:rPr>
              <w:t>Cost of license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375</w:t>
            </w:r>
          </w:p>
        </w:tc>
        <w:tc>
          <w:tcPr>
            <w:tcW w:w="700" w:type="dxa"/>
            <w:vAlign w:val="bottom"/>
            <w:gridSpan w:val="2"/>
          </w:tcPr>
          <w:p>
            <w:pPr>
              <w:ind w:left="58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55"/>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Cost of service</w:t>
            </w:r>
          </w:p>
        </w:tc>
        <w:tc>
          <w:tcPr>
            <w:tcW w:w="3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485,916</w:t>
            </w: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(5,438)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5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480,478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60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54,287</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(1,064)</w:t>
            </w:r>
          </w:p>
        </w:tc>
        <w:tc>
          <w:tcPr>
            <w:tcW w:w="140" w:type="dxa"/>
            <w:vAlign w:val="bottom"/>
          </w:tcPr>
          <w:p>
            <w:pPr>
              <w:spacing w:after="0"/>
              <w:rPr>
                <w:sz w:val="18"/>
                <w:szCs w:val="18"/>
                <w:color w:val="auto"/>
              </w:rPr>
            </w:pPr>
          </w:p>
        </w:tc>
        <w:tc>
          <w:tcPr>
            <w:tcW w:w="880" w:type="dxa"/>
            <w:vAlign w:val="bottom"/>
            <w:gridSpan w:val="2"/>
          </w:tcPr>
          <w:p>
            <w:pPr>
              <w:jc w:val="right"/>
              <w:ind w:right="25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53,223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96,531</w:t>
            </w: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(5,625)</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5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tcPr>
          <w:p>
            <w:pPr>
              <w:ind w:left="800"/>
              <w:spacing w:after="0" w:line="201" w:lineRule="exact"/>
              <w:rPr>
                <w:sz w:val="20"/>
                <w:szCs w:val="20"/>
                <w:color w:val="auto"/>
              </w:rPr>
            </w:pPr>
            <w:r>
              <w:rPr>
                <w:rFonts w:ascii="Arial" w:cs="Arial" w:eastAsia="Arial" w:hAnsi="Arial"/>
                <w:sz w:val="18"/>
                <w:szCs w:val="18"/>
                <w:color w:val="auto"/>
                <w:w w:val="97"/>
              </w:rPr>
              <w:t>Amortization of purchased intangible assets and</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tcPr>
          <w:p>
            <w:pPr>
              <w:ind w:left="100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22,197</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(22,197)</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5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Borders>
              <w:lef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Borders>
              <w:lef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659,306</w:t>
            </w:r>
          </w:p>
        </w:tc>
        <w:tc>
          <w:tcPr>
            <w:tcW w:w="80" w:type="dxa"/>
            <w:vAlign w:val="bottom"/>
            <w:tcBorders>
              <w:left w:val="single" w:sz="8" w:color="CCEEFF"/>
            </w:tcBorders>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(22,197)</w:t>
            </w:r>
          </w:p>
        </w:tc>
        <w:tc>
          <w:tcPr>
            <w:tcW w:w="4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(12,127)</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5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624,982</w:t>
            </w:r>
          </w:p>
        </w:tc>
        <w:tc>
          <w:tcPr>
            <w:tcW w:w="0" w:type="dxa"/>
            <w:vAlign w:val="bottom"/>
          </w:tcPr>
          <w:p>
            <w:pPr>
              <w:spacing w:after="0"/>
              <w:rPr>
                <w:sz w:val="1"/>
                <w:szCs w:val="1"/>
                <w:color w:val="auto"/>
              </w:rPr>
            </w:pPr>
          </w:p>
        </w:tc>
      </w:tr>
      <w:tr>
        <w:trPr>
          <w:trHeight w:val="230"/>
        </w:trPr>
        <w:tc>
          <w:tcPr>
            <w:tcW w:w="45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102,888</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22,197</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12,127</w:t>
            </w:r>
          </w:p>
        </w:tc>
        <w:tc>
          <w:tcPr>
            <w:tcW w:w="6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137,212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3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10,259</w:t>
            </w: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55"/>
              <w:spacing w:after="0"/>
              <w:rPr>
                <w:sz w:val="20"/>
                <w:szCs w:val="20"/>
                <w:color w:val="auto"/>
              </w:rPr>
            </w:pPr>
            <w:r>
              <w:rPr>
                <w:rFonts w:ascii="Arial" w:cs="Arial" w:eastAsia="Arial" w:hAnsi="Arial"/>
                <w:sz w:val="18"/>
                <w:szCs w:val="18"/>
                <w:color w:val="auto"/>
              </w:rPr>
              <w:t>6,711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16,970</w:t>
            </w:r>
          </w:p>
        </w:tc>
        <w:tc>
          <w:tcPr>
            <w:tcW w:w="0" w:type="dxa"/>
            <w:vAlign w:val="bottom"/>
          </w:tcPr>
          <w:p>
            <w:pPr>
              <w:spacing w:after="0"/>
              <w:rPr>
                <w:sz w:val="1"/>
                <w:szCs w:val="1"/>
                <w:color w:val="auto"/>
              </w:rPr>
            </w:pPr>
          </w:p>
        </w:tc>
      </w:tr>
      <w:tr>
        <w:trPr>
          <w:trHeight w:val="223"/>
        </w:trPr>
        <w:tc>
          <w:tcPr>
            <w:tcW w:w="45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94,738</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22,197</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12,127</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(6,711</w:t>
            </w:r>
          </w:p>
        </w:tc>
        <w:tc>
          <w:tcPr>
            <w:tcW w:w="360" w:type="dxa"/>
            <w:vAlign w:val="bottom"/>
          </w:tcPr>
          <w:p>
            <w:pPr>
              <w:jc w:val="right"/>
              <w:ind w:right="195"/>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$ 122,351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ind w:right="354"/>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6"/>
          </w:tcPr>
          <w:p>
            <w:pPr>
              <w:jc w:val="center"/>
              <w:ind w:left="19"/>
              <w:spacing w:after="0"/>
              <w:rPr>
                <w:sz w:val="20"/>
                <w:szCs w:val="20"/>
                <w:color w:val="auto"/>
              </w:rPr>
            </w:pPr>
            <w:r>
              <w:rPr>
                <w:rFonts w:ascii="Arial" w:cs="Arial" w:eastAsia="Arial" w:hAnsi="Arial"/>
                <w:sz w:val="14"/>
                <w:szCs w:val="14"/>
                <w:b w:val="1"/>
                <w:bCs w:val="1"/>
                <w:color w:val="auto"/>
                <w:w w:val="90"/>
              </w:rPr>
              <w:t>Twelve months ended</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6"/>
          </w:tcPr>
          <w:p>
            <w:pPr>
              <w:jc w:val="center"/>
              <w:ind w:left="19"/>
              <w:spacing w:after="0"/>
              <w:rPr>
                <w:sz w:val="20"/>
                <w:szCs w:val="20"/>
                <w:color w:val="auto"/>
              </w:rPr>
            </w:pPr>
            <w:r>
              <w:rPr>
                <w:rFonts w:ascii="Arial" w:cs="Arial" w:eastAsia="Arial" w:hAnsi="Arial"/>
                <w:sz w:val="14"/>
                <w:szCs w:val="14"/>
                <w:b w:val="1"/>
                <w:bCs w:val="1"/>
                <w:color w:val="auto"/>
                <w:w w:val="91"/>
              </w:rPr>
              <w:t>September 30, 2011</w:t>
            </w: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GAAP</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6"/>
          </w:tcPr>
          <w:p>
            <w:pPr>
              <w:jc w:val="right"/>
              <w:ind w:right="200"/>
              <w:spacing w:after="0" w:line="142" w:lineRule="exact"/>
              <w:rPr>
                <w:sz w:val="20"/>
                <w:szCs w:val="20"/>
                <w:color w:val="auto"/>
              </w:rPr>
            </w:pPr>
            <w:r>
              <w:rPr>
                <w:rFonts w:ascii="Arial" w:cs="Arial" w:eastAsia="Arial" w:hAnsi="Arial"/>
                <w:sz w:val="14"/>
                <w:szCs w:val="14"/>
                <w:b w:val="1"/>
                <w:bCs w:val="1"/>
                <w:color w:val="auto"/>
              </w:rPr>
              <w:t>Reconciliation items</w:t>
            </w:r>
          </w:p>
        </w:tc>
        <w:tc>
          <w:tcPr>
            <w:tcW w:w="5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99"/>
              </w:rPr>
              <w:t>Non-GAAP</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4"/>
          </w:tcPr>
          <w:p>
            <w:pPr>
              <w:jc w:val="center"/>
              <w:ind w:right="160"/>
              <w:spacing w:after="0" w:line="142" w:lineRule="exact"/>
              <w:rPr>
                <w:sz w:val="20"/>
                <w:szCs w:val="20"/>
                <w:color w:val="auto"/>
              </w:rPr>
            </w:pPr>
            <w:r>
              <w:rPr>
                <w:rFonts w:ascii="Arial" w:cs="Arial" w:eastAsia="Arial" w:hAnsi="Arial"/>
                <w:sz w:val="14"/>
                <w:szCs w:val="14"/>
                <w:b w:val="1"/>
                <w:bCs w:val="1"/>
                <w:color w:val="auto"/>
                <w:w w:val="95"/>
              </w:rPr>
              <w:t>Amortization of</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gridSpan w:val="5"/>
          </w:tcPr>
          <w:p>
            <w:pPr>
              <w:jc w:val="center"/>
              <w:ind w:right="160"/>
              <w:spacing w:after="0" w:line="142" w:lineRule="exact"/>
              <w:rPr>
                <w:sz w:val="20"/>
                <w:szCs w:val="20"/>
                <w:color w:val="auto"/>
              </w:rPr>
            </w:pPr>
            <w:r>
              <w:rPr>
                <w:rFonts w:ascii="Arial" w:cs="Arial" w:eastAsia="Arial" w:hAnsi="Arial"/>
                <w:sz w:val="14"/>
                <w:szCs w:val="14"/>
                <w:b w:val="1"/>
                <w:bCs w:val="1"/>
                <w:color w:val="auto"/>
                <w:w w:val="91"/>
              </w:rPr>
              <w:t>Equity based</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Tax effect</w:t>
            </w: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3"/>
          </w:tcPr>
          <w:p>
            <w:pPr>
              <w:jc w:val="center"/>
              <w:ind w:right="300"/>
              <w:spacing w:after="0" w:line="119" w:lineRule="exact"/>
              <w:rPr>
                <w:sz w:val="20"/>
                <w:szCs w:val="20"/>
                <w:color w:val="auto"/>
              </w:rPr>
            </w:pPr>
            <w:r>
              <w:rPr>
                <w:rFonts w:ascii="Arial" w:cs="Arial" w:eastAsia="Arial" w:hAnsi="Arial"/>
                <w:sz w:val="13"/>
                <w:szCs w:val="13"/>
                <w:b w:val="1"/>
                <w:bCs w:val="1"/>
                <w:color w:val="auto"/>
                <w:w w:val="94"/>
              </w:rPr>
              <w:t>purchased</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60" w:type="dxa"/>
            <w:vAlign w:val="bottom"/>
            <w:gridSpan w:val="5"/>
          </w:tcPr>
          <w:p>
            <w:pPr>
              <w:jc w:val="center"/>
              <w:ind w:right="160"/>
              <w:spacing w:after="0" w:line="119" w:lineRule="exact"/>
              <w:rPr>
                <w:sz w:val="20"/>
                <w:szCs w:val="20"/>
                <w:color w:val="auto"/>
              </w:rPr>
            </w:pPr>
            <w:r>
              <w:rPr>
                <w:rFonts w:ascii="Arial" w:cs="Arial" w:eastAsia="Arial" w:hAnsi="Arial"/>
                <w:sz w:val="13"/>
                <w:szCs w:val="13"/>
                <w:b w:val="1"/>
                <w:bCs w:val="1"/>
                <w:color w:val="auto"/>
                <w:w w:val="95"/>
              </w:rPr>
              <w:t>compensation</w:t>
            </w: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9"/>
              </w:rPr>
              <w:t>intangible assets</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5"/>
              </w:rPr>
              <w:t>expense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tcPr>
          <w:p>
            <w:pPr>
              <w:jc w:val="center"/>
              <w:ind w:right="300"/>
              <w:spacing w:after="0" w:line="142" w:lineRule="exact"/>
              <w:rPr>
                <w:sz w:val="20"/>
                <w:szCs w:val="20"/>
                <w:color w:val="auto"/>
              </w:rPr>
            </w:pPr>
            <w:r>
              <w:rPr>
                <w:rFonts w:ascii="Arial" w:cs="Arial" w:eastAsia="Arial" w:hAnsi="Arial"/>
                <w:sz w:val="14"/>
                <w:szCs w:val="14"/>
                <w:b w:val="1"/>
                <w:bCs w:val="1"/>
                <w:color w:val="auto"/>
                <w:w w:val="90"/>
              </w:rPr>
              <w:t>and other</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2,627</w:t>
            </w:r>
          </w:p>
        </w:tc>
        <w:tc>
          <w:tcPr>
            <w:tcW w:w="3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36"/>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840"/>
              <w:spacing w:after="0"/>
              <w:rPr>
                <w:sz w:val="20"/>
                <w:szCs w:val="20"/>
                <w:color w:val="auto"/>
              </w:rPr>
            </w:pPr>
            <w:r>
              <w:rPr>
                <w:rFonts w:ascii="Arial" w:cs="Arial" w:eastAsia="Arial" w:hAnsi="Arial"/>
                <w:sz w:val="18"/>
                <w:szCs w:val="18"/>
                <w:color w:val="auto"/>
                <w:w w:val="99"/>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2,627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2,066,740</w:t>
            </w:r>
          </w:p>
        </w:tc>
        <w:tc>
          <w:tcPr>
            <w:tcW w:w="30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8"/>
              </w:rPr>
              <w:t>(14,641)</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2,052,099</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221,886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(2,701)</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8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219,185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409,465</w:t>
            </w:r>
          </w:p>
        </w:tc>
        <w:tc>
          <w:tcPr>
            <w:tcW w:w="30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8"/>
              </w:rPr>
              <w:t>(19,289)</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390,176</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Pr>
          <w:p>
            <w:pPr>
              <w:ind w:left="200"/>
              <w:spacing w:after="0" w:line="201" w:lineRule="exact"/>
              <w:rPr>
                <w:sz w:val="20"/>
                <w:szCs w:val="20"/>
                <w:color w:val="auto"/>
              </w:rPr>
            </w:pPr>
            <w:r>
              <w:rPr>
                <w:rFonts w:ascii="Arial" w:cs="Arial" w:eastAsia="Arial" w:hAnsi="Arial"/>
                <w:sz w:val="18"/>
                <w:szCs w:val="18"/>
                <w:color w:val="auto"/>
                <w:w w:val="98"/>
              </w:rPr>
              <w:t>Amortization of purchased intangible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tcPr>
          <w:p>
            <w:pPr>
              <w:ind w:left="400"/>
              <w:spacing w:after="0"/>
              <w:rPr>
                <w:sz w:val="20"/>
                <w:szCs w:val="20"/>
                <w:color w:val="auto"/>
              </w:rPr>
            </w:pPr>
            <w:r>
              <w:rPr>
                <w:rFonts w:ascii="Arial" w:cs="Arial" w:eastAsia="Arial" w:hAnsi="Arial"/>
                <w:sz w:val="18"/>
                <w:szCs w:val="18"/>
                <w:color w:val="auto"/>
              </w:rPr>
              <w:t>assets and other</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72,646</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(72,646)</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right"/>
              <w:ind w:right="8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2,773,364</w:t>
            </w:r>
          </w:p>
        </w:tc>
        <w:tc>
          <w:tcPr>
            <w:tcW w:w="30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(72,646)</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8"/>
              </w:rPr>
              <w:t>(36,631)</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2,664,087</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6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404,364</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72,646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36,631</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513,641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49,042</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291"/>
              <w:spacing w:after="0"/>
              <w:rPr>
                <w:sz w:val="20"/>
                <w:szCs w:val="20"/>
                <w:color w:val="auto"/>
              </w:rPr>
            </w:pPr>
            <w:r>
              <w:rPr>
                <w:rFonts w:ascii="Arial" w:cs="Arial" w:eastAsia="Arial" w:hAnsi="Arial"/>
                <w:sz w:val="18"/>
                <w:szCs w:val="18"/>
                <w:color w:val="auto"/>
              </w:rPr>
              <w:t>21,362</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70,404</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346,665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72,646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36,631</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gridSpan w:val="3"/>
          </w:tcPr>
          <w:p>
            <w:pPr>
              <w:jc w:val="center"/>
              <w:ind w:left="94"/>
              <w:spacing w:after="0"/>
              <w:rPr>
                <w:sz w:val="20"/>
                <w:szCs w:val="20"/>
                <w:color w:val="auto"/>
              </w:rPr>
            </w:pPr>
            <w:r>
              <w:rPr>
                <w:rFonts w:ascii="Arial" w:cs="Arial" w:eastAsia="Arial" w:hAnsi="Arial"/>
                <w:sz w:val="18"/>
                <w:szCs w:val="18"/>
                <w:color w:val="auto"/>
                <w:w w:val="88"/>
              </w:rPr>
              <w:t>(21,362</w:t>
            </w:r>
          </w:p>
        </w:tc>
        <w:tc>
          <w:tcPr>
            <w:tcW w:w="380" w:type="dxa"/>
            <w:vAlign w:val="bottom"/>
          </w:tcPr>
          <w:p>
            <w:pPr>
              <w:jc w:val="right"/>
              <w:ind w:right="231"/>
              <w:spacing w:after="0"/>
              <w:rPr>
                <w:sz w:val="20"/>
                <w:szCs w:val="20"/>
                <w:color w:val="auto"/>
              </w:rPr>
            </w:pPr>
            <w:r>
              <w:rPr>
                <w:rFonts w:ascii="Arial" w:cs="Arial" w:eastAsia="Arial" w:hAnsi="Arial"/>
                <w:sz w:val="16"/>
                <w:szCs w:val="16"/>
                <w:color w:val="auto"/>
                <w:w w:val="74"/>
              </w:rPr>
              <w:t>)</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434,580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rPr>
              <w:t>Twelve months ended</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b w:val="1"/>
                <w:bCs w:val="1"/>
                <w:color w:val="auto"/>
              </w:rPr>
              <w:t>September 30, 2010</w:t>
            </w: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6"/>
          </w:tcPr>
          <w:p>
            <w:pPr>
              <w:jc w:val="center"/>
              <w:ind w:left="59"/>
              <w:spacing w:after="0" w:line="142" w:lineRule="exact"/>
              <w:rPr>
                <w:sz w:val="20"/>
                <w:szCs w:val="20"/>
                <w:color w:val="auto"/>
              </w:rPr>
            </w:pPr>
            <w:r>
              <w:rPr>
                <w:rFonts w:ascii="Arial" w:cs="Arial" w:eastAsia="Arial" w:hAnsi="Arial"/>
                <w:sz w:val="14"/>
                <w:szCs w:val="14"/>
                <w:b w:val="1"/>
                <w:bCs w:val="1"/>
                <w:color w:val="auto"/>
                <w:w w:val="91"/>
              </w:rPr>
              <w:t>Reconciliation items</w:t>
            </w:r>
          </w:p>
        </w:tc>
        <w:tc>
          <w:tcPr>
            <w:tcW w:w="5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GAAP</w:t>
            </w:r>
          </w:p>
        </w:tc>
        <w:tc>
          <w:tcPr>
            <w:tcW w:w="260" w:type="dxa"/>
            <w:vAlign w:val="bottom"/>
          </w:tcPr>
          <w:p>
            <w:pPr>
              <w:spacing w:after="0"/>
              <w:rPr>
                <w:sz w:val="10"/>
                <w:szCs w:val="10"/>
                <w:color w:val="auto"/>
              </w:rPr>
            </w:pPr>
          </w:p>
        </w:tc>
        <w:tc>
          <w:tcPr>
            <w:tcW w:w="1580" w:type="dxa"/>
            <w:vAlign w:val="bottom"/>
            <w:gridSpan w:val="5"/>
          </w:tcPr>
          <w:p>
            <w:pPr>
              <w:ind w:left="20"/>
              <w:spacing w:after="0" w:line="119" w:lineRule="exact"/>
              <w:rPr>
                <w:sz w:val="20"/>
                <w:szCs w:val="20"/>
                <w:color w:val="auto"/>
              </w:rPr>
            </w:pPr>
            <w:r>
              <w:rPr>
                <w:rFonts w:ascii="Arial" w:cs="Arial" w:eastAsia="Arial" w:hAnsi="Arial"/>
                <w:sz w:val="13"/>
                <w:szCs w:val="13"/>
                <w:b w:val="1"/>
                <w:bCs w:val="1"/>
                <w:color w:val="auto"/>
              </w:rPr>
              <w:t>Amortization of</w:t>
            </w:r>
          </w:p>
        </w:tc>
        <w:tc>
          <w:tcPr>
            <w:tcW w:w="1000" w:type="dxa"/>
            <w:vAlign w:val="bottom"/>
            <w:gridSpan w:val="4"/>
            <w:vMerge w:val="restart"/>
          </w:tcPr>
          <w:p>
            <w:pPr>
              <w:jc w:val="right"/>
              <w:ind w:right="88"/>
              <w:spacing w:after="0"/>
              <w:rPr>
                <w:sz w:val="20"/>
                <w:szCs w:val="20"/>
                <w:color w:val="auto"/>
              </w:rPr>
            </w:pPr>
            <w:r>
              <w:rPr>
                <w:rFonts w:ascii="Arial" w:cs="Arial" w:eastAsia="Arial" w:hAnsi="Arial"/>
                <w:sz w:val="14"/>
                <w:szCs w:val="14"/>
                <w:b w:val="1"/>
                <w:bCs w:val="1"/>
                <w:color w:val="auto"/>
                <w:w w:val="94"/>
              </w:rPr>
              <w:t>Equity based</w:t>
            </w:r>
          </w:p>
        </w:tc>
        <w:tc>
          <w:tcPr>
            <w:tcW w:w="440" w:type="dxa"/>
            <w:vAlign w:val="bottom"/>
          </w:tcPr>
          <w:p>
            <w:pPr>
              <w:spacing w:after="0"/>
              <w:rPr>
                <w:sz w:val="10"/>
                <w:szCs w:val="10"/>
                <w:color w:val="auto"/>
              </w:rPr>
            </w:pPr>
          </w:p>
        </w:tc>
        <w:tc>
          <w:tcPr>
            <w:tcW w:w="96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w w:val="91"/>
              </w:rPr>
              <w:t>Loss from</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60" w:type="dxa"/>
            <w:vAlign w:val="bottom"/>
            <w:gridSpan w:val="4"/>
            <w:vMerge w:val="restart"/>
          </w:tcPr>
          <w:p>
            <w:pPr>
              <w:jc w:val="right"/>
              <w:ind w:right="500"/>
              <w:spacing w:after="0"/>
              <w:rPr>
                <w:sz w:val="20"/>
                <w:szCs w:val="20"/>
                <w:color w:val="auto"/>
              </w:rPr>
            </w:pPr>
            <w:r>
              <w:rPr>
                <w:rFonts w:ascii="Arial" w:cs="Arial" w:eastAsia="Arial" w:hAnsi="Arial"/>
                <w:sz w:val="14"/>
                <w:szCs w:val="14"/>
                <w:b w:val="1"/>
                <w:bCs w:val="1"/>
                <w:color w:val="auto"/>
                <w:w w:val="97"/>
              </w:rPr>
              <w:t>Tax effect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3"/>
              </w:rPr>
              <w:t>Non-GAAP</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5"/>
          </w:tcPr>
          <w:p>
            <w:pPr>
              <w:ind w:left="180"/>
              <w:spacing w:after="0" w:line="158" w:lineRule="exact"/>
              <w:rPr>
                <w:sz w:val="20"/>
                <w:szCs w:val="20"/>
                <w:color w:val="auto"/>
              </w:rPr>
            </w:pPr>
            <w:r>
              <w:rPr>
                <w:rFonts w:ascii="Arial" w:cs="Arial" w:eastAsia="Arial" w:hAnsi="Arial"/>
                <w:sz w:val="14"/>
                <w:szCs w:val="14"/>
                <w:b w:val="1"/>
                <w:bCs w:val="1"/>
                <w:color w:val="auto"/>
              </w:rPr>
              <w:t>purchased</w:t>
            </w:r>
          </w:p>
        </w:tc>
        <w:tc>
          <w:tcPr>
            <w:tcW w:w="1000" w:type="dxa"/>
            <w:vAlign w:val="bottom"/>
            <w:gridSpan w:val="4"/>
            <w:vMerge w:val="continue"/>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gridSpan w:val="4"/>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8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intangible assets</w:t>
            </w:r>
          </w:p>
        </w:tc>
        <w:tc>
          <w:tcPr>
            <w:tcW w:w="100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compensation</w:t>
            </w:r>
          </w:p>
        </w:tc>
        <w:tc>
          <w:tcPr>
            <w:tcW w:w="440" w:type="dxa"/>
            <w:vAlign w:val="bottom"/>
          </w:tcPr>
          <w:p>
            <w:pPr>
              <w:spacing w:after="0"/>
              <w:rPr>
                <w:sz w:val="10"/>
                <w:szCs w:val="10"/>
                <w:color w:val="auto"/>
              </w:rPr>
            </w:pPr>
          </w:p>
        </w:tc>
        <w:tc>
          <w:tcPr>
            <w:tcW w:w="960" w:type="dxa"/>
            <w:vAlign w:val="bottom"/>
            <w:gridSpan w:val="4"/>
          </w:tcPr>
          <w:p>
            <w:pPr>
              <w:jc w:val="center"/>
              <w:ind w:right="40"/>
              <w:spacing w:after="0" w:line="119" w:lineRule="exact"/>
              <w:rPr>
                <w:sz w:val="20"/>
                <w:szCs w:val="20"/>
                <w:color w:val="auto"/>
              </w:rPr>
            </w:pPr>
            <w:r>
              <w:rPr>
                <w:rFonts w:ascii="Arial" w:cs="Arial" w:eastAsia="Arial" w:hAnsi="Arial"/>
                <w:sz w:val="13"/>
                <w:szCs w:val="13"/>
                <w:b w:val="1"/>
                <w:bCs w:val="1"/>
                <w:color w:val="auto"/>
                <w:w w:val="99"/>
              </w:rPr>
              <w:t>divestiture of a</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5"/>
          </w:tcPr>
          <w:p>
            <w:pPr>
              <w:ind w:left="200"/>
              <w:spacing w:after="0"/>
              <w:rPr>
                <w:sz w:val="20"/>
                <w:szCs w:val="20"/>
                <w:color w:val="auto"/>
              </w:rPr>
            </w:pPr>
            <w:r>
              <w:rPr>
                <w:rFonts w:ascii="Arial" w:cs="Arial" w:eastAsia="Arial" w:hAnsi="Arial"/>
                <w:sz w:val="14"/>
                <w:szCs w:val="14"/>
                <w:b w:val="1"/>
                <w:bCs w:val="1"/>
                <w:color w:val="auto"/>
              </w:rPr>
              <w:t>and other</w:t>
            </w:r>
          </w:p>
        </w:tc>
        <w:tc>
          <w:tcPr>
            <w:tcW w:w="140" w:type="dxa"/>
            <w:vAlign w:val="bottom"/>
          </w:tcPr>
          <w:p>
            <w:pPr>
              <w:spacing w:after="0"/>
              <w:rPr>
                <w:sz w:val="14"/>
                <w:szCs w:val="14"/>
                <w:color w:val="auto"/>
              </w:rPr>
            </w:pPr>
          </w:p>
        </w:tc>
        <w:tc>
          <w:tcPr>
            <w:tcW w:w="860" w:type="dxa"/>
            <w:vAlign w:val="bottom"/>
            <w:gridSpan w:val="3"/>
          </w:tcPr>
          <w:p>
            <w:pPr>
              <w:jc w:val="right"/>
              <w:ind w:right="248"/>
              <w:spacing w:after="0"/>
              <w:rPr>
                <w:sz w:val="20"/>
                <w:szCs w:val="20"/>
                <w:color w:val="auto"/>
              </w:rPr>
            </w:pPr>
            <w:r>
              <w:rPr>
                <w:rFonts w:ascii="Arial" w:cs="Arial" w:eastAsia="Arial" w:hAnsi="Arial"/>
                <w:sz w:val="14"/>
                <w:szCs w:val="14"/>
                <w:b w:val="1"/>
                <w:bCs w:val="1"/>
                <w:color w:val="auto"/>
                <w:w w:val="92"/>
              </w:rPr>
              <w:t>expense</w:t>
            </w:r>
          </w:p>
        </w:tc>
        <w:tc>
          <w:tcPr>
            <w:tcW w:w="440" w:type="dxa"/>
            <w:vAlign w:val="bottom"/>
          </w:tcPr>
          <w:p>
            <w:pPr>
              <w:spacing w:after="0"/>
              <w:rPr>
                <w:sz w:val="14"/>
                <w:szCs w:val="14"/>
                <w:color w:val="auto"/>
              </w:rPr>
            </w:pPr>
          </w:p>
        </w:tc>
        <w:tc>
          <w:tcPr>
            <w:tcW w:w="9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1"/>
              </w:rPr>
              <w:t>subsidiary</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2,021</w:t>
            </w:r>
          </w:p>
        </w:tc>
        <w:tc>
          <w:tcPr>
            <w:tcW w:w="300" w:type="dxa"/>
            <w:vAlign w:val="bottom"/>
          </w:tcPr>
          <w:p>
            <w:pPr>
              <w:spacing w:after="0"/>
              <w:rPr>
                <w:sz w:val="18"/>
                <w:szCs w:val="18"/>
                <w:color w:val="auto"/>
              </w:rPr>
            </w:pPr>
          </w:p>
        </w:tc>
        <w:tc>
          <w:tcPr>
            <w:tcW w:w="5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3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center"/>
              <w:ind w:left="294"/>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1,903,645</w:t>
            </w:r>
          </w:p>
        </w:tc>
        <w:tc>
          <w:tcPr>
            <w:tcW w:w="30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(20,061)</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1,883,584</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207,836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3"/>
          </w:tcPr>
          <w:p>
            <w:pPr>
              <w:jc w:val="right"/>
              <w:ind w:right="8"/>
              <w:spacing w:after="0"/>
              <w:rPr>
                <w:sz w:val="20"/>
                <w:szCs w:val="20"/>
                <w:color w:val="auto"/>
              </w:rPr>
            </w:pPr>
            <w:r>
              <w:rPr>
                <w:rFonts w:ascii="Arial" w:cs="Arial" w:eastAsia="Arial" w:hAnsi="Arial"/>
                <w:sz w:val="18"/>
                <w:szCs w:val="18"/>
                <w:color w:val="auto"/>
              </w:rPr>
              <w:t>(4,218)</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203,618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373,585</w:t>
            </w:r>
          </w:p>
        </w:tc>
        <w:tc>
          <w:tcPr>
            <w:tcW w:w="30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(20,176)</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353,409</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tcPr>
          <w:p>
            <w:pPr>
              <w:ind w:left="200"/>
              <w:spacing w:after="0" w:line="201" w:lineRule="exact"/>
              <w:rPr>
                <w:sz w:val="20"/>
                <w:szCs w:val="20"/>
                <w:color w:val="auto"/>
              </w:rPr>
            </w:pPr>
            <w:r>
              <w:rPr>
                <w:rFonts w:ascii="Arial" w:cs="Arial" w:eastAsia="Arial" w:hAnsi="Arial"/>
                <w:sz w:val="18"/>
                <w:szCs w:val="18"/>
                <w:color w:val="auto"/>
              </w:rPr>
              <w:t>Amortization of purchased</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tcPr>
          <w:p>
            <w:pPr>
              <w:ind w:left="400"/>
              <w:spacing w:after="0"/>
              <w:rPr>
                <w:sz w:val="20"/>
                <w:szCs w:val="20"/>
                <w:color w:val="auto"/>
              </w:rPr>
            </w:pPr>
            <w:r>
              <w:rPr>
                <w:rFonts w:ascii="Arial" w:cs="Arial" w:eastAsia="Arial" w:hAnsi="Arial"/>
                <w:sz w:val="18"/>
                <w:szCs w:val="18"/>
                <w:color w:val="auto"/>
              </w:rPr>
              <w:t>intangible assets and other</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86,703</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50"/>
              <w:spacing w:after="0"/>
              <w:rPr>
                <w:sz w:val="20"/>
                <w:szCs w:val="20"/>
                <w:color w:val="auto"/>
              </w:rPr>
            </w:pPr>
            <w:r>
              <w:rPr>
                <w:rFonts w:ascii="Arial" w:cs="Arial" w:eastAsia="Arial" w:hAnsi="Arial"/>
                <w:sz w:val="18"/>
                <w:szCs w:val="18"/>
                <w:color w:val="auto"/>
                <w:w w:val="95"/>
              </w:rPr>
              <w:t>(86,703)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2,573,790</w:t>
            </w:r>
          </w:p>
        </w:tc>
        <w:tc>
          <w:tcPr>
            <w:tcW w:w="30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w w:val="95"/>
              </w:rPr>
              <w:t>(86,703)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(44,455)</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2,442,632</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410,433</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86,703</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44,455</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541,591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Interest and other (expense) income,</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tcBorders>
              <w:lef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(25,135)</w:t>
            </w: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23,399</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Income taxes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41,392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460"/>
              <w:spacing w:after="0"/>
              <w:rPr>
                <w:sz w:val="20"/>
                <w:szCs w:val="20"/>
                <w:color w:val="auto"/>
              </w:rPr>
            </w:pPr>
            <w:r>
              <w:rPr>
                <w:rFonts w:ascii="Arial" w:cs="Arial" w:eastAsia="Arial" w:hAnsi="Arial"/>
                <w:sz w:val="18"/>
                <w:szCs w:val="18"/>
                <w:color w:val="auto"/>
              </w:rPr>
              <w:t>26,755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68,147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343,906</w:t>
            </w:r>
          </w:p>
        </w:tc>
        <w:tc>
          <w:tcPr>
            <w:tcW w:w="300" w:type="dxa"/>
            <w:vAlign w:val="bottom"/>
            <w:tcBorders>
              <w:left w:val="single" w:sz="8" w:color="CCEEFF"/>
            </w:tcBorders>
            <w:shd w:val="clear" w:color="auto" w:fill="CCEEFF"/>
          </w:tcPr>
          <w:p>
            <w:pPr>
              <w:spacing w:after="0"/>
              <w:rPr>
                <w:sz w:val="18"/>
                <w:szCs w:val="18"/>
                <w:color w:val="auto"/>
              </w:rPr>
            </w:pP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86,703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44,455</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23,399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left="294"/>
              <w:spacing w:after="0"/>
              <w:rPr>
                <w:sz w:val="20"/>
                <w:szCs w:val="20"/>
                <w:color w:val="auto"/>
              </w:rPr>
            </w:pPr>
            <w:r>
              <w:rPr>
                <w:rFonts w:ascii="Arial" w:cs="Arial" w:eastAsia="Arial" w:hAnsi="Arial"/>
                <w:sz w:val="18"/>
                <w:szCs w:val="18"/>
                <w:color w:val="auto"/>
                <w:w w:val="99"/>
              </w:rPr>
              <w:t>$</w:t>
            </w:r>
          </w:p>
        </w:tc>
        <w:tc>
          <w:tcPr>
            <w:tcW w:w="1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w w:val="92"/>
              </w:rPr>
              <w:t>(26,755)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471,708</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79"/>
              </w:rPr>
              <w:t>10</w:t>
            </w:r>
          </w:p>
        </w:tc>
        <w:tc>
          <w:tcPr>
            <w:tcW w:w="1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12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6"/>
              </w:rPr>
              <w:t>September 30, 2011</w:t>
            </w:r>
          </w:p>
        </w:tc>
        <w:tc>
          <w:tcPr>
            <w:tcW w:w="540" w:type="dxa"/>
            <w:vAlign w:val="bottom"/>
          </w:tcPr>
          <w:p>
            <w:pPr>
              <w:spacing w:after="0"/>
              <w:rPr>
                <w:sz w:val="12"/>
                <w:szCs w:val="12"/>
                <w:color w:val="auto"/>
              </w:rPr>
            </w:pPr>
          </w:p>
        </w:tc>
        <w:tc>
          <w:tcPr>
            <w:tcW w:w="12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September 30,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Current assets Cash, cash equivalents and short-term interest-bearing investments</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1,173,470</w:t>
            </w:r>
          </w:p>
        </w:tc>
        <w:tc>
          <w:tcPr>
            <w:tcW w:w="80" w:type="dxa"/>
            <w:vAlign w:val="bottom"/>
          </w:tcPr>
          <w:p>
            <w:pPr>
              <w:spacing w:after="0"/>
              <w:rPr>
                <w:sz w:val="18"/>
                <w:szCs w:val="18"/>
                <w:color w:val="auto"/>
              </w:rPr>
            </w:pPr>
          </w:p>
        </w:tc>
        <w:tc>
          <w:tcPr>
            <w:tcW w:w="8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1,433,299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 including unbilled of $72,048 and $62,246, respectively</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565,853</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Deferred income taxes and taxes receivable</w:t>
            </w:r>
          </w:p>
        </w:tc>
        <w:tc>
          <w:tcPr>
            <w:tcW w:w="2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112,656</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126,083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127,341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112,417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1,979,320</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2,251,799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Equipment and leasehold improvements, net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258,402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Goodwill and other intangible assets, net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1,933,154</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1,856,178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465,696</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454,354</w:t>
            </w:r>
          </w:p>
        </w:tc>
        <w:tc>
          <w:tcPr>
            <w:tcW w:w="0" w:type="dxa"/>
            <w:vAlign w:val="bottom"/>
          </w:tcPr>
          <w:p>
            <w:pPr>
              <w:spacing w:after="0"/>
              <w:rPr>
                <w:sz w:val="1"/>
                <w:szCs w:val="1"/>
                <w:color w:val="auto"/>
              </w:rPr>
            </w:pPr>
          </w:p>
        </w:tc>
      </w:tr>
      <w:tr>
        <w:trPr>
          <w:trHeight w:val="223"/>
        </w:trPr>
        <w:tc>
          <w:tcPr>
            <w:tcW w:w="82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4,636,572</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4,820,604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Current liabilities Accounts payable, accruals and other</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594,603</w:t>
            </w:r>
          </w:p>
        </w:tc>
        <w:tc>
          <w:tcPr>
            <w:tcW w:w="80" w:type="dxa"/>
            <w:vAlign w:val="bottom"/>
          </w:tcPr>
          <w:p>
            <w:pPr>
              <w:spacing w:after="0"/>
              <w:rPr>
                <w:sz w:val="18"/>
                <w:szCs w:val="18"/>
                <w:color w:val="auto"/>
              </w:rPr>
            </w:pPr>
          </w:p>
        </w:tc>
        <w:tc>
          <w:tcPr>
            <w:tcW w:w="8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621,549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Short-term financing arrangements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151,423</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184,481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taxes payable</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15,180</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1,011,206</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1,024,147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602,065</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567,077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Shareholders’ equity</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3,023,301</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3,229,380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4,636,572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4,820,604</w:t>
            </w: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jc w:val="right"/>
              <w:ind w:right="2390"/>
              <w:spacing w:after="0"/>
              <w:rPr>
                <w:sz w:val="20"/>
                <w:szCs w:val="20"/>
                <w:color w:val="auto"/>
              </w:rPr>
            </w:pPr>
            <w:r>
              <w:rPr>
                <w:rFonts w:ascii="Arial" w:cs="Arial" w:eastAsia="Arial" w:hAnsi="Arial"/>
                <w:sz w:val="18"/>
                <w:szCs w:val="18"/>
                <w:color w:val="auto"/>
              </w:rPr>
              <w:t>11</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2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2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Year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2011</w:t>
            </w: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Net income</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346,665</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343,906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w w:val="94"/>
              </w:rPr>
              <w:t>Reconciliation of net income to net cash provided by operating activities:</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181,477</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195,940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from divestiture of a subsidiary</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Equity-based compensation expense</w:t>
            </w: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36,631</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44,455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Excess tax benefit from equity-based compensation</w:t>
            </w: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(gain) from short-term interest-bearing investments</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w w:val="95"/>
              </w:rPr>
              <w:t>Net changes in operating assets and liabilities, net of amounts acquired:</w:t>
            </w: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net</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38,062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(10,741)</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assets</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(15,807)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Accounts payable, accrued expenses and accrued personnel</w:t>
            </w: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(46,976)</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187,652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(34,444)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Income taxes payable</w:t>
            </w: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27,289</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liabilities</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10,876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14,520</w:t>
            </w:r>
          </w:p>
        </w:tc>
        <w:tc>
          <w:tcPr>
            <w:tcW w:w="0" w:type="dxa"/>
            <w:vAlign w:val="bottom"/>
          </w:tcPr>
          <w:p>
            <w:pPr>
              <w:spacing w:after="0"/>
              <w:rPr>
                <w:sz w:val="1"/>
                <w:szCs w:val="1"/>
                <w:color w:val="auto"/>
              </w:rPr>
            </w:pPr>
          </w:p>
        </w:tc>
      </w:tr>
      <w:tr>
        <w:trPr>
          <w:trHeight w:val="230"/>
        </w:trPr>
        <w:tc>
          <w:tcPr>
            <w:tcW w:w="550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3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535,492</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685,198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w w:val="96"/>
              </w:rPr>
              <w:t>Payments for purchase of equipment and leasehold improvements, net</w:t>
            </w: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(109,779)</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(86,945)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591,147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1,503,231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Purchase of short-term interest-bearing investments</w:t>
            </w: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(521,999)</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(1,449,494)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cash paid for acquisitions</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(162,964)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Net cash received from divestiture of a subsidiary</w:t>
            </w: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(18,076)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1,734</w:t>
            </w:r>
          </w:p>
        </w:tc>
        <w:tc>
          <w:tcPr>
            <w:tcW w:w="0" w:type="dxa"/>
            <w:vAlign w:val="bottom"/>
          </w:tcPr>
          <w:p>
            <w:pPr>
              <w:spacing w:after="0"/>
              <w:rPr>
                <w:sz w:val="1"/>
                <w:szCs w:val="1"/>
                <w:color w:val="auto"/>
              </w:rPr>
            </w:pPr>
          </w:p>
        </w:tc>
      </w:tr>
      <w:tr>
        <w:trPr>
          <w:trHeight w:val="230"/>
        </w:trPr>
        <w:tc>
          <w:tcPr>
            <w:tcW w:w="55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3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(221,671)</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(211,506)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Borrowings under financing arrangements</w:t>
            </w: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250,000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financing arrangements</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Repurchase of shares</w:t>
            </w: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(624,241)</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(389,287)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options exercised</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56,474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w w:val="90"/>
              </w:rPr>
              <w:t>Payments under capital lease, short-term financing arrangements and other</w:t>
            </w: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(518,645)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(166,259)</w:t>
            </w:r>
          </w:p>
        </w:tc>
        <w:tc>
          <w:tcPr>
            <w:tcW w:w="0" w:type="dxa"/>
            <w:vAlign w:val="bottom"/>
          </w:tcPr>
          <w:p>
            <w:pPr>
              <w:spacing w:after="0"/>
              <w:rPr>
                <w:sz w:val="1"/>
                <w:szCs w:val="1"/>
                <w:color w:val="auto"/>
              </w:rPr>
            </w:pPr>
          </w:p>
        </w:tc>
      </w:tr>
      <w:tr>
        <w:trPr>
          <w:trHeight w:val="223"/>
        </w:trPr>
        <w:tc>
          <w:tcPr>
            <w:tcW w:w="550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3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(204,824)</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307,433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1,036,195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728,762</w:t>
            </w:r>
          </w:p>
        </w:tc>
        <w:tc>
          <w:tcPr>
            <w:tcW w:w="0" w:type="dxa"/>
            <w:vAlign w:val="bottom"/>
          </w:tcPr>
          <w:p>
            <w:pPr>
              <w:spacing w:after="0"/>
              <w:rPr>
                <w:sz w:val="1"/>
                <w:szCs w:val="1"/>
                <w:color w:val="auto"/>
              </w:rPr>
            </w:pPr>
          </w:p>
        </w:tc>
      </w:tr>
      <w:tr>
        <w:trPr>
          <w:trHeight w:val="223"/>
        </w:trPr>
        <w:tc>
          <w:tcPr>
            <w:tcW w:w="55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year</w:t>
            </w:r>
          </w:p>
        </w:tc>
        <w:tc>
          <w:tcPr>
            <w:tcW w:w="3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831,371</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1,036,195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420" w:type="dxa"/>
            <w:vAlign w:val="bottom"/>
            <w:vMerge w:val="restart"/>
          </w:tcPr>
          <w:p>
            <w:pPr>
              <w:jc w:val="right"/>
              <w:ind w:right="30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48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Supplementary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ind w:right="217"/>
              <w:spacing w:after="0"/>
              <w:rPr>
                <w:sz w:val="20"/>
                <w:szCs w:val="20"/>
                <w:color w:val="auto"/>
              </w:rPr>
            </w:pPr>
            <w:r>
              <w:rPr>
                <w:rFonts w:ascii="Arial" w:cs="Arial" w:eastAsia="Arial" w:hAnsi="Arial"/>
                <w:sz w:val="14"/>
                <w:szCs w:val="14"/>
                <w:b w:val="1"/>
                <w:bCs w:val="1"/>
                <w:color w:val="auto"/>
                <w:w w:val="91"/>
              </w:rPr>
              <w:t>Three months ended</w:t>
            </w: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300" w:type="dxa"/>
            <w:vAlign w:val="bottom"/>
          </w:tcPr>
          <w:p>
            <w:pPr>
              <w:spacing w:after="0"/>
              <w:rPr>
                <w:sz w:val="10"/>
                <w:szCs w:val="10"/>
                <w:color w:val="auto"/>
              </w:rPr>
            </w:pPr>
          </w:p>
        </w:tc>
        <w:tc>
          <w:tcPr>
            <w:tcW w:w="94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w w:val="96"/>
              </w:rPr>
              <w:t>June 30,</w:t>
            </w:r>
          </w:p>
        </w:tc>
        <w:tc>
          <w:tcPr>
            <w:tcW w:w="300" w:type="dxa"/>
            <w:vAlign w:val="bottom"/>
          </w:tcPr>
          <w:p>
            <w:pPr>
              <w:spacing w:after="0"/>
              <w:rPr>
                <w:sz w:val="10"/>
                <w:szCs w:val="10"/>
                <w:color w:val="auto"/>
              </w:rPr>
            </w:pPr>
          </w:p>
        </w:tc>
        <w:tc>
          <w:tcPr>
            <w:tcW w:w="1260" w:type="dxa"/>
            <w:vAlign w:val="bottom"/>
            <w:gridSpan w:val="3"/>
          </w:tcPr>
          <w:p>
            <w:pPr>
              <w:jc w:val="center"/>
              <w:ind w:right="600"/>
              <w:spacing w:after="0" w:line="119" w:lineRule="exact"/>
              <w:rPr>
                <w:sz w:val="20"/>
                <w:szCs w:val="20"/>
                <w:color w:val="auto"/>
              </w:rPr>
            </w:pPr>
            <w:r>
              <w:rPr>
                <w:rFonts w:ascii="Arial" w:cs="Arial" w:eastAsia="Arial" w:hAnsi="Arial"/>
                <w:sz w:val="13"/>
                <w:szCs w:val="13"/>
                <w:b w:val="1"/>
                <w:bCs w:val="1"/>
                <w:color w:val="auto"/>
              </w:rPr>
              <w:t>March 31,</w:t>
            </w:r>
          </w:p>
        </w:tc>
        <w:tc>
          <w:tcPr>
            <w:tcW w:w="1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2010</w:t>
            </w:r>
          </w:p>
        </w:tc>
        <w:tc>
          <w:tcPr>
            <w:tcW w:w="300" w:type="dxa"/>
            <w:vAlign w:val="bottom"/>
          </w:tcPr>
          <w:p>
            <w:pPr>
              <w:spacing w:after="0"/>
              <w:rPr>
                <w:sz w:val="10"/>
                <w:szCs w:val="10"/>
                <w:color w:val="auto"/>
              </w:rPr>
            </w:pP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September 30, 2010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36"/>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center"/>
              <w:ind w:right="36"/>
              <w:spacing w:after="0"/>
              <w:rPr>
                <w:sz w:val="20"/>
                <w:szCs w:val="20"/>
                <w:color w:val="auto"/>
              </w:rPr>
            </w:pPr>
            <w:r>
              <w:rPr>
                <w:rFonts w:ascii="Arial" w:cs="Arial" w:eastAsia="Arial" w:hAnsi="Arial"/>
                <w:sz w:val="14"/>
                <w:szCs w:val="14"/>
                <w:b w:val="1"/>
                <w:bCs w:val="1"/>
                <w:color w:val="auto"/>
                <w:w w:val="89"/>
              </w:rPr>
              <w:t>2011</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ind w:right="39"/>
              <w:spacing w:after="0"/>
              <w:rPr>
                <w:sz w:val="20"/>
                <w:szCs w:val="20"/>
                <w:color w:val="auto"/>
              </w:rPr>
            </w:pPr>
            <w:r>
              <w:rPr>
                <w:rFonts w:ascii="Arial" w:cs="Arial" w:eastAsia="Arial" w:hAnsi="Arial"/>
                <w:sz w:val="14"/>
                <w:szCs w:val="14"/>
                <w:b w:val="1"/>
                <w:bCs w:val="1"/>
                <w:color w:val="auto"/>
                <w:w w:val="89"/>
              </w:rPr>
              <w:t>2011</w:t>
            </w:r>
          </w:p>
        </w:tc>
        <w:tc>
          <w:tcPr>
            <w:tcW w:w="60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0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585.1</w:t>
            </w:r>
          </w:p>
        </w:tc>
        <w:tc>
          <w:tcPr>
            <w:tcW w:w="300" w:type="dxa"/>
            <w:vAlign w:val="bottom"/>
            <w:tcBorders>
              <w:left w:val="single" w:sz="8" w:color="CCEEFF"/>
            </w:tcBorders>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584.9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598.4</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564.6</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Europe</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105.5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97.2</w:t>
            </w:r>
          </w:p>
        </w:tc>
        <w:tc>
          <w:tcPr>
            <w:tcW w:w="44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98.4</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10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300" w:type="dxa"/>
            <w:vAlign w:val="bottom"/>
            <w:tcBorders>
              <w:left w:val="single" w:sz="8" w:color="CCEEFF"/>
            </w:tcBorders>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111.0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93.3</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112.2</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23"/>
        </w:trPr>
        <w:tc>
          <w:tcPr>
            <w:tcW w:w="328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10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812.2</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801.4</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788.9</w:t>
            </w:r>
          </w:p>
        </w:tc>
        <w:tc>
          <w:tcPr>
            <w:tcW w:w="60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775.2</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right="217"/>
              <w:spacing w:after="0"/>
              <w:rPr>
                <w:sz w:val="20"/>
                <w:szCs w:val="20"/>
                <w:color w:val="auto"/>
              </w:rPr>
            </w:pPr>
            <w:r>
              <w:rPr>
                <w:rFonts w:ascii="Arial" w:cs="Arial" w:eastAsia="Arial" w:hAnsi="Arial"/>
                <w:sz w:val="14"/>
                <w:szCs w:val="14"/>
                <w:b w:val="1"/>
                <w:bCs w:val="1"/>
                <w:color w:val="auto"/>
                <w:w w:val="91"/>
              </w:rPr>
              <w:t>Three months ended</w:t>
            </w:r>
          </w:p>
        </w:tc>
        <w:tc>
          <w:tcPr>
            <w:tcW w:w="7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300" w:type="dxa"/>
            <w:vAlign w:val="bottom"/>
          </w:tcPr>
          <w:p>
            <w:pPr>
              <w:spacing w:after="0"/>
              <w:rPr>
                <w:sz w:val="10"/>
                <w:szCs w:val="10"/>
                <w:color w:val="auto"/>
              </w:rPr>
            </w:pPr>
          </w:p>
        </w:tc>
        <w:tc>
          <w:tcPr>
            <w:tcW w:w="94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w w:val="96"/>
              </w:rPr>
              <w:t>June 30,</w:t>
            </w:r>
          </w:p>
        </w:tc>
        <w:tc>
          <w:tcPr>
            <w:tcW w:w="300" w:type="dxa"/>
            <w:vAlign w:val="bottom"/>
          </w:tcPr>
          <w:p>
            <w:pPr>
              <w:spacing w:after="0"/>
              <w:rPr>
                <w:sz w:val="10"/>
                <w:szCs w:val="10"/>
                <w:color w:val="auto"/>
              </w:rPr>
            </w:pPr>
          </w:p>
        </w:tc>
        <w:tc>
          <w:tcPr>
            <w:tcW w:w="1260" w:type="dxa"/>
            <w:vAlign w:val="bottom"/>
            <w:gridSpan w:val="3"/>
          </w:tcPr>
          <w:p>
            <w:pPr>
              <w:jc w:val="center"/>
              <w:ind w:right="600"/>
              <w:spacing w:after="0" w:line="119" w:lineRule="exact"/>
              <w:rPr>
                <w:sz w:val="20"/>
                <w:szCs w:val="20"/>
                <w:color w:val="auto"/>
              </w:rPr>
            </w:pPr>
            <w:r>
              <w:rPr>
                <w:rFonts w:ascii="Arial" w:cs="Arial" w:eastAsia="Arial" w:hAnsi="Arial"/>
                <w:sz w:val="13"/>
                <w:szCs w:val="13"/>
                <w:b w:val="1"/>
                <w:bCs w:val="1"/>
                <w:color w:val="auto"/>
              </w:rPr>
              <w:t>March 31,</w:t>
            </w:r>
          </w:p>
        </w:tc>
        <w:tc>
          <w:tcPr>
            <w:tcW w:w="1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2010</w:t>
            </w:r>
          </w:p>
        </w:tc>
        <w:tc>
          <w:tcPr>
            <w:tcW w:w="300" w:type="dxa"/>
            <w:vAlign w:val="bottom"/>
          </w:tcPr>
          <w:p>
            <w:pPr>
              <w:spacing w:after="0"/>
              <w:rPr>
                <w:sz w:val="10"/>
                <w:szCs w:val="10"/>
                <w:color w:val="auto"/>
              </w:rPr>
            </w:pP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September 30, 2010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16"/>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center"/>
              <w:ind w:right="36"/>
              <w:spacing w:after="0"/>
              <w:rPr>
                <w:sz w:val="20"/>
                <w:szCs w:val="20"/>
                <w:color w:val="auto"/>
              </w:rPr>
            </w:pPr>
            <w:r>
              <w:rPr>
                <w:rFonts w:ascii="Arial" w:cs="Arial" w:eastAsia="Arial" w:hAnsi="Arial"/>
                <w:sz w:val="14"/>
                <w:szCs w:val="14"/>
                <w:b w:val="1"/>
                <w:bCs w:val="1"/>
                <w:color w:val="auto"/>
                <w:w w:val="89"/>
              </w:rPr>
              <w:t>2011</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ind w:right="39"/>
              <w:spacing w:after="0"/>
              <w:rPr>
                <w:sz w:val="20"/>
                <w:szCs w:val="20"/>
                <w:color w:val="auto"/>
              </w:rPr>
            </w:pPr>
            <w:r>
              <w:rPr>
                <w:rFonts w:ascii="Arial" w:cs="Arial" w:eastAsia="Arial" w:hAnsi="Arial"/>
                <w:sz w:val="14"/>
                <w:szCs w:val="14"/>
                <w:b w:val="1"/>
                <w:bCs w:val="1"/>
                <w:color w:val="auto"/>
                <w:w w:val="89"/>
              </w:rPr>
              <w:t>2011</w:t>
            </w:r>
          </w:p>
        </w:tc>
        <w:tc>
          <w:tcPr>
            <w:tcW w:w="60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Emerging Markets Revenue</w:t>
            </w:r>
          </w:p>
        </w:tc>
        <w:tc>
          <w:tcPr>
            <w:tcW w:w="126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52.1</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67.8</w:t>
            </w: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right="217"/>
              <w:spacing w:after="0"/>
              <w:rPr>
                <w:sz w:val="20"/>
                <w:szCs w:val="20"/>
                <w:color w:val="auto"/>
              </w:rPr>
            </w:pPr>
            <w:r>
              <w:rPr>
                <w:rFonts w:ascii="Arial" w:cs="Arial" w:eastAsia="Arial" w:hAnsi="Arial"/>
                <w:sz w:val="14"/>
                <w:szCs w:val="14"/>
                <w:b w:val="1"/>
                <w:bCs w:val="1"/>
                <w:color w:val="auto"/>
                <w:w w:val="91"/>
              </w:rPr>
              <w:t>Three months ended</w:t>
            </w:r>
          </w:p>
        </w:tc>
        <w:tc>
          <w:tcPr>
            <w:tcW w:w="7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300" w:type="dxa"/>
            <w:vAlign w:val="bottom"/>
          </w:tcPr>
          <w:p>
            <w:pPr>
              <w:spacing w:after="0"/>
              <w:rPr>
                <w:sz w:val="10"/>
                <w:szCs w:val="10"/>
                <w:color w:val="auto"/>
              </w:rPr>
            </w:pPr>
          </w:p>
        </w:tc>
        <w:tc>
          <w:tcPr>
            <w:tcW w:w="94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w w:val="96"/>
              </w:rPr>
              <w:t>June 30,</w:t>
            </w:r>
          </w:p>
        </w:tc>
        <w:tc>
          <w:tcPr>
            <w:tcW w:w="300" w:type="dxa"/>
            <w:vAlign w:val="bottom"/>
          </w:tcPr>
          <w:p>
            <w:pPr>
              <w:spacing w:after="0"/>
              <w:rPr>
                <w:sz w:val="10"/>
                <w:szCs w:val="10"/>
                <w:color w:val="auto"/>
              </w:rPr>
            </w:pPr>
          </w:p>
        </w:tc>
        <w:tc>
          <w:tcPr>
            <w:tcW w:w="1260" w:type="dxa"/>
            <w:vAlign w:val="bottom"/>
            <w:gridSpan w:val="3"/>
          </w:tcPr>
          <w:p>
            <w:pPr>
              <w:jc w:val="center"/>
              <w:ind w:right="600"/>
              <w:spacing w:after="0" w:line="119" w:lineRule="exact"/>
              <w:rPr>
                <w:sz w:val="20"/>
                <w:szCs w:val="20"/>
                <w:color w:val="auto"/>
              </w:rPr>
            </w:pPr>
            <w:r>
              <w:rPr>
                <w:rFonts w:ascii="Arial" w:cs="Arial" w:eastAsia="Arial" w:hAnsi="Arial"/>
                <w:sz w:val="13"/>
                <w:szCs w:val="13"/>
                <w:b w:val="1"/>
                <w:bCs w:val="1"/>
                <w:color w:val="auto"/>
              </w:rPr>
              <w:t>March 31,</w:t>
            </w:r>
          </w:p>
        </w:tc>
        <w:tc>
          <w:tcPr>
            <w:tcW w:w="1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2010</w:t>
            </w:r>
          </w:p>
        </w:tc>
        <w:tc>
          <w:tcPr>
            <w:tcW w:w="300" w:type="dxa"/>
            <w:vAlign w:val="bottom"/>
          </w:tcPr>
          <w:p>
            <w:pPr>
              <w:spacing w:after="0"/>
              <w:rPr>
                <w:sz w:val="10"/>
                <w:szCs w:val="10"/>
                <w:color w:val="auto"/>
              </w:rPr>
            </w:pP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September 30, 2010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36"/>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center"/>
              <w:ind w:right="36"/>
              <w:spacing w:after="0"/>
              <w:rPr>
                <w:sz w:val="20"/>
                <w:szCs w:val="20"/>
                <w:color w:val="auto"/>
              </w:rPr>
            </w:pPr>
            <w:r>
              <w:rPr>
                <w:rFonts w:ascii="Arial" w:cs="Arial" w:eastAsia="Arial" w:hAnsi="Arial"/>
                <w:sz w:val="14"/>
                <w:szCs w:val="14"/>
                <w:b w:val="1"/>
                <w:bCs w:val="1"/>
                <w:color w:val="auto"/>
                <w:w w:val="89"/>
              </w:rPr>
              <w:t>2011</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ind w:right="39"/>
              <w:spacing w:after="0"/>
              <w:rPr>
                <w:sz w:val="20"/>
                <w:szCs w:val="20"/>
                <w:color w:val="auto"/>
              </w:rPr>
            </w:pPr>
            <w:r>
              <w:rPr>
                <w:rFonts w:ascii="Arial" w:cs="Arial" w:eastAsia="Arial" w:hAnsi="Arial"/>
                <w:sz w:val="14"/>
                <w:szCs w:val="14"/>
                <w:b w:val="1"/>
                <w:bCs w:val="1"/>
                <w:color w:val="auto"/>
                <w:w w:val="89"/>
              </w:rPr>
              <w:t>2011</w:t>
            </w:r>
          </w:p>
        </w:tc>
        <w:tc>
          <w:tcPr>
            <w:tcW w:w="60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Managed Services Revenue</w:t>
            </w:r>
          </w:p>
        </w:tc>
        <w:tc>
          <w:tcPr>
            <w:tcW w:w="10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384.8</w:t>
            </w:r>
          </w:p>
        </w:tc>
        <w:tc>
          <w:tcPr>
            <w:tcW w:w="300" w:type="dxa"/>
            <w:vAlign w:val="bottom"/>
            <w:tcBorders>
              <w:left w:val="single" w:sz="8" w:color="CCEEFF"/>
            </w:tcBorders>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384.2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382.6</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371.2</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355.5</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right="217"/>
              <w:spacing w:after="0"/>
              <w:rPr>
                <w:sz w:val="20"/>
                <w:szCs w:val="20"/>
                <w:color w:val="auto"/>
              </w:rPr>
            </w:pPr>
            <w:r>
              <w:rPr>
                <w:rFonts w:ascii="Arial" w:cs="Arial" w:eastAsia="Arial" w:hAnsi="Arial"/>
                <w:sz w:val="14"/>
                <w:szCs w:val="14"/>
                <w:b w:val="1"/>
                <w:bCs w:val="1"/>
                <w:color w:val="auto"/>
                <w:w w:val="91"/>
              </w:rPr>
              <w:t>Three months ended</w:t>
            </w:r>
          </w:p>
        </w:tc>
        <w:tc>
          <w:tcPr>
            <w:tcW w:w="7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300" w:type="dxa"/>
            <w:vAlign w:val="bottom"/>
          </w:tcPr>
          <w:p>
            <w:pPr>
              <w:spacing w:after="0"/>
              <w:rPr>
                <w:sz w:val="10"/>
                <w:szCs w:val="10"/>
                <w:color w:val="auto"/>
              </w:rPr>
            </w:pPr>
          </w:p>
        </w:tc>
        <w:tc>
          <w:tcPr>
            <w:tcW w:w="94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w w:val="96"/>
              </w:rPr>
              <w:t>June 30,</w:t>
            </w:r>
          </w:p>
        </w:tc>
        <w:tc>
          <w:tcPr>
            <w:tcW w:w="300" w:type="dxa"/>
            <w:vAlign w:val="bottom"/>
          </w:tcPr>
          <w:p>
            <w:pPr>
              <w:spacing w:after="0"/>
              <w:rPr>
                <w:sz w:val="10"/>
                <w:szCs w:val="10"/>
                <w:color w:val="auto"/>
              </w:rPr>
            </w:pPr>
          </w:p>
        </w:tc>
        <w:tc>
          <w:tcPr>
            <w:tcW w:w="1260" w:type="dxa"/>
            <w:vAlign w:val="bottom"/>
            <w:gridSpan w:val="3"/>
          </w:tcPr>
          <w:p>
            <w:pPr>
              <w:jc w:val="center"/>
              <w:ind w:right="600"/>
              <w:spacing w:after="0" w:line="119" w:lineRule="exact"/>
              <w:rPr>
                <w:sz w:val="20"/>
                <w:szCs w:val="20"/>
                <w:color w:val="auto"/>
              </w:rPr>
            </w:pPr>
            <w:r>
              <w:rPr>
                <w:rFonts w:ascii="Arial" w:cs="Arial" w:eastAsia="Arial" w:hAnsi="Arial"/>
                <w:sz w:val="13"/>
                <w:szCs w:val="13"/>
                <w:b w:val="1"/>
                <w:bCs w:val="1"/>
                <w:color w:val="auto"/>
              </w:rPr>
              <w:t>March 31,</w:t>
            </w:r>
          </w:p>
        </w:tc>
        <w:tc>
          <w:tcPr>
            <w:tcW w:w="1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2010</w:t>
            </w:r>
          </w:p>
        </w:tc>
        <w:tc>
          <w:tcPr>
            <w:tcW w:w="300" w:type="dxa"/>
            <w:vAlign w:val="bottom"/>
          </w:tcPr>
          <w:p>
            <w:pPr>
              <w:spacing w:after="0"/>
              <w:rPr>
                <w:sz w:val="10"/>
                <w:szCs w:val="10"/>
                <w:color w:val="auto"/>
              </w:rPr>
            </w:pP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September 30, 2010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16"/>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center"/>
              <w:ind w:right="36"/>
              <w:spacing w:after="0"/>
              <w:rPr>
                <w:sz w:val="20"/>
                <w:szCs w:val="20"/>
                <w:color w:val="auto"/>
              </w:rPr>
            </w:pPr>
            <w:r>
              <w:rPr>
                <w:rFonts w:ascii="Arial" w:cs="Arial" w:eastAsia="Arial" w:hAnsi="Arial"/>
                <w:sz w:val="14"/>
                <w:szCs w:val="14"/>
                <w:b w:val="1"/>
                <w:bCs w:val="1"/>
                <w:color w:val="auto"/>
                <w:w w:val="89"/>
              </w:rPr>
              <w:t>2011</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ind w:right="39"/>
              <w:spacing w:after="0"/>
              <w:rPr>
                <w:sz w:val="20"/>
                <w:szCs w:val="20"/>
                <w:color w:val="auto"/>
              </w:rPr>
            </w:pPr>
            <w:r>
              <w:rPr>
                <w:rFonts w:ascii="Arial" w:cs="Arial" w:eastAsia="Arial" w:hAnsi="Arial"/>
                <w:sz w:val="14"/>
                <w:szCs w:val="14"/>
                <w:b w:val="1"/>
                <w:bCs w:val="1"/>
                <w:color w:val="auto"/>
                <w:w w:val="89"/>
              </w:rPr>
              <w:t>2011</w:t>
            </w:r>
          </w:p>
        </w:tc>
        <w:tc>
          <w:tcPr>
            <w:tcW w:w="60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Customer Experience Systems</w:t>
            </w:r>
          </w:p>
        </w:tc>
        <w:tc>
          <w:tcPr>
            <w:tcW w:w="126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764.6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751.1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737.2</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725.4</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Directory</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47.6</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51.7</w:t>
            </w:r>
          </w:p>
        </w:tc>
        <w:tc>
          <w:tcPr>
            <w:tcW w:w="44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49.8</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26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812.2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801.4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788.9</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775.2</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4"/>
                <w:szCs w:val="14"/>
                <w:b w:val="1"/>
                <w:bCs w:val="1"/>
                <w:color w:val="auto"/>
                <w:w w:val="91"/>
              </w:rPr>
              <w:t>As of</w:t>
            </w:r>
          </w:p>
        </w:tc>
        <w:tc>
          <w:tcPr>
            <w:tcW w:w="4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300" w:type="dxa"/>
            <w:vAlign w:val="bottom"/>
          </w:tcPr>
          <w:p>
            <w:pPr>
              <w:spacing w:after="0"/>
              <w:rPr>
                <w:sz w:val="10"/>
                <w:szCs w:val="10"/>
                <w:color w:val="auto"/>
              </w:rPr>
            </w:pPr>
          </w:p>
        </w:tc>
        <w:tc>
          <w:tcPr>
            <w:tcW w:w="94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w w:val="96"/>
              </w:rPr>
              <w:t>June 30,</w:t>
            </w:r>
          </w:p>
        </w:tc>
        <w:tc>
          <w:tcPr>
            <w:tcW w:w="300" w:type="dxa"/>
            <w:vAlign w:val="bottom"/>
          </w:tcPr>
          <w:p>
            <w:pPr>
              <w:spacing w:after="0"/>
              <w:rPr>
                <w:sz w:val="10"/>
                <w:szCs w:val="10"/>
                <w:color w:val="auto"/>
              </w:rPr>
            </w:pPr>
          </w:p>
        </w:tc>
        <w:tc>
          <w:tcPr>
            <w:tcW w:w="1260" w:type="dxa"/>
            <w:vAlign w:val="bottom"/>
            <w:gridSpan w:val="3"/>
          </w:tcPr>
          <w:p>
            <w:pPr>
              <w:jc w:val="center"/>
              <w:ind w:right="600"/>
              <w:spacing w:after="0" w:line="119" w:lineRule="exact"/>
              <w:rPr>
                <w:sz w:val="20"/>
                <w:szCs w:val="20"/>
                <w:color w:val="auto"/>
              </w:rPr>
            </w:pPr>
            <w:r>
              <w:rPr>
                <w:rFonts w:ascii="Arial" w:cs="Arial" w:eastAsia="Arial" w:hAnsi="Arial"/>
                <w:sz w:val="13"/>
                <w:szCs w:val="13"/>
                <w:b w:val="1"/>
                <w:bCs w:val="1"/>
                <w:color w:val="auto"/>
              </w:rPr>
              <w:t>March 31,</w:t>
            </w:r>
          </w:p>
        </w:tc>
        <w:tc>
          <w:tcPr>
            <w:tcW w:w="1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2010</w:t>
            </w:r>
          </w:p>
        </w:tc>
        <w:tc>
          <w:tcPr>
            <w:tcW w:w="300" w:type="dxa"/>
            <w:vAlign w:val="bottom"/>
          </w:tcPr>
          <w:p>
            <w:pPr>
              <w:spacing w:after="0"/>
              <w:rPr>
                <w:sz w:val="10"/>
                <w:szCs w:val="10"/>
                <w:color w:val="auto"/>
              </w:rPr>
            </w:pP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September 30, 2010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36"/>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center"/>
              <w:ind w:right="76"/>
              <w:spacing w:after="0"/>
              <w:rPr>
                <w:sz w:val="20"/>
                <w:szCs w:val="20"/>
                <w:color w:val="auto"/>
              </w:rPr>
            </w:pPr>
            <w:r>
              <w:rPr>
                <w:rFonts w:ascii="Arial" w:cs="Arial" w:eastAsia="Arial" w:hAnsi="Arial"/>
                <w:sz w:val="14"/>
                <w:szCs w:val="14"/>
                <w:b w:val="1"/>
                <w:bCs w:val="1"/>
                <w:color w:val="auto"/>
                <w:w w:val="89"/>
              </w:rPr>
              <w:t>2011</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ind w:right="39"/>
              <w:spacing w:after="0"/>
              <w:rPr>
                <w:sz w:val="20"/>
                <w:szCs w:val="20"/>
                <w:color w:val="auto"/>
              </w:rPr>
            </w:pPr>
            <w:r>
              <w:rPr>
                <w:rFonts w:ascii="Arial" w:cs="Arial" w:eastAsia="Arial" w:hAnsi="Arial"/>
                <w:sz w:val="14"/>
                <w:szCs w:val="14"/>
                <w:b w:val="1"/>
                <w:bCs w:val="1"/>
                <w:color w:val="auto"/>
                <w:w w:val="89"/>
              </w:rPr>
              <w:t>2011</w:t>
            </w:r>
          </w:p>
        </w:tc>
        <w:tc>
          <w:tcPr>
            <w:tcW w:w="60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12-Month Backlog</w:t>
            </w:r>
          </w:p>
        </w:tc>
        <w:tc>
          <w:tcPr>
            <w:tcW w:w="10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300" w:type="dxa"/>
            <w:vAlign w:val="bottom"/>
            <w:tcBorders>
              <w:left w:val="single" w:sz="8" w:color="CCEEFF"/>
            </w:tcBorders>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2,620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2,590</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 #</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sectPr>
      <w:pgSz w:w="11900" w:h="16838" w:orient="portrait"/>
      <w:cols w:equalWidth="0" w:num="1">
        <w:col w:w="11420"/>
      </w:cols>
      <w:pgMar w:left="240" w:top="9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2019-12-10T17:41:37Z</dcterms:created>
  <dcterms:modified xsi:type="dcterms:W3CDTF">2019-12-10T17:41:37Z</dcterms:modified>
</cp:coreProperties>
</file>