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May, 2012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5568950</wp:posOffset>
            </wp:positionH>
            <wp:positionV relativeFrom="paragraph">
              <wp:posOffset>-13970</wp:posOffset>
            </wp:positionV>
            <wp:extent cx="222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5568950</wp:posOffset>
            </wp:positionH>
            <wp:positionV relativeFrom="paragraph">
              <wp:posOffset>-13970</wp:posOffset>
            </wp:positionV>
            <wp:extent cx="222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jc w:val="center"/>
        <w:ind w:right="-1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 2012, Amdocs Limited (“Amdocs”) issued a press release announcing financial results for the quarter ended March 31, 2012. A copy of the press release is furnished as Exhibit 99.1 to this Report of Foreign Private Issuer on Form 6-K.</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80"/>
          </w:cols>
          <w:pgMar w:left="240" w:top="280"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G. O’Brien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U.S.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 2012</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0" w:type="dxa"/>
            <w:vAlign w:val="bottom"/>
          </w:tcPr>
          <w:p>
            <w:pPr>
              <w:ind w:left="2300"/>
              <w:spacing w:after="0"/>
              <w:rPr>
                <w:sz w:val="20"/>
                <w:szCs w:val="20"/>
                <w:color w:val="auto"/>
              </w:rPr>
            </w:pPr>
            <w:r>
              <w:rPr>
                <w:rFonts w:ascii="Arial" w:cs="Arial" w:eastAsia="Arial" w:hAnsi="Arial"/>
                <w:sz w:val="18"/>
                <w:szCs w:val="18"/>
                <w:color w:val="auto"/>
                <w:w w:val="98"/>
              </w:rPr>
              <w:t>EXHIBIT INDEX</w:t>
            </w:r>
          </w:p>
        </w:tc>
      </w:tr>
      <w:tr>
        <w:trPr>
          <w:trHeight w:val="353"/>
        </w:trPr>
        <w:tc>
          <w:tcPr>
            <w:tcW w:w="860" w:type="dxa"/>
            <w:vAlign w:val="bottom"/>
          </w:tcPr>
          <w:p>
            <w:pPr>
              <w:ind w:left="40"/>
              <w:spacing w:after="0"/>
              <w:rPr>
                <w:sz w:val="20"/>
                <w:szCs w:val="20"/>
                <w:color w:val="auto"/>
              </w:rPr>
            </w:pPr>
            <w:r>
              <w:rPr>
                <w:rFonts w:ascii="Arial" w:cs="Arial" w:eastAsia="Arial" w:hAnsi="Arial"/>
                <w:sz w:val="14"/>
                <w:szCs w:val="14"/>
                <w:color w:val="auto"/>
                <w:w w:val="96"/>
              </w:rPr>
              <w:t>EXHIBIT NO.</w:t>
            </w:r>
          </w:p>
        </w:tc>
        <w:tc>
          <w:tcPr>
            <w:tcW w:w="5500" w:type="dxa"/>
            <w:vAlign w:val="bottom"/>
            <w:gridSpan w:val="3"/>
          </w:tcPr>
          <w:p>
            <w:pPr>
              <w:ind w:left="980"/>
              <w:spacing w:after="0"/>
              <w:rPr>
                <w:sz w:val="20"/>
                <w:szCs w:val="20"/>
                <w:color w:val="auto"/>
              </w:rPr>
            </w:pPr>
            <w:r>
              <w:rPr>
                <w:rFonts w:ascii="Arial" w:cs="Arial" w:eastAsia="Arial" w:hAnsi="Arial"/>
                <w:sz w:val="14"/>
                <w:szCs w:val="14"/>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5500" w:type="dxa"/>
            <w:vAlign w:val="bottom"/>
            <w:gridSpan w:val="3"/>
          </w:tcPr>
          <w:p>
            <w:pPr>
              <w:ind w:left="980"/>
              <w:spacing w:after="0"/>
              <w:rPr>
                <w:sz w:val="20"/>
                <w:szCs w:val="20"/>
                <w:color w:val="auto"/>
              </w:rPr>
            </w:pPr>
            <w:r>
              <w:rPr>
                <w:rFonts w:ascii="Arial" w:cs="Arial" w:eastAsia="Arial" w:hAnsi="Arial"/>
                <w:sz w:val="18"/>
                <w:szCs w:val="18"/>
                <w:color w:val="auto"/>
              </w:rPr>
              <w:t>Amdocs Limited Press Release dated May 1, 2012.</w:t>
            </w:r>
          </w:p>
        </w:tc>
      </w:tr>
    </w:tbl>
    <w:p>
      <w:pPr>
        <w:ind w:left="9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246380</wp:posOffset>
            </wp:positionV>
            <wp:extent cx="133794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28321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3020"/>
        <w:spacing w:after="0"/>
        <w:rPr>
          <w:sz w:val="20"/>
          <w:szCs w:val="20"/>
          <w:color w:val="auto"/>
        </w:rPr>
      </w:pPr>
      <w:r>
        <w:rPr>
          <w:rFonts w:ascii="Arial" w:cs="Arial" w:eastAsia="Arial" w:hAnsi="Arial"/>
          <w:sz w:val="18"/>
          <w:szCs w:val="18"/>
          <w:b w:val="1"/>
          <w:bCs w:val="1"/>
          <w:i w:val="1"/>
          <w:iCs w:val="1"/>
          <w:color w:val="auto"/>
        </w:rPr>
        <w:t>Amdocs Limited Reports Quarterly Revenue of $809 Million, Up 2.5% YoY</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i w:val="1"/>
          <w:iCs w:val="1"/>
          <w:color w:val="auto"/>
        </w:rPr>
        <w:t>Board of Directors Approves Quarterly Dividend Program of $0.13 per Ordinary Share</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i w:val="1"/>
          <w:iCs w:val="1"/>
          <w:color w:val="auto"/>
        </w:rPr>
        <w:t>Revises Fiscal 2012 Guidance: Raises non-GAAP EPS Growth Outlook, but Reduces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Revenue Growth Forecast Due to Changes in the Outlook at AT&amp;T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90" w:lineRule="exact"/>
        <w:rPr>
          <w:sz w:val="20"/>
          <w:szCs w:val="20"/>
          <w:color w:val="auto"/>
        </w:rPr>
      </w:pPr>
    </w:p>
    <w:p>
      <w:pPr>
        <w:ind w:left="440" w:right="380" w:hanging="324"/>
        <w:spacing w:after="0" w:line="332"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Board of Directors has approved a quarterly cash dividend program, subject to shareholder approval, of $0.13 per ordinary share. If the program is approved by shareholders, the Company expects that the first quarterly dividend would be paid in the first quarter of fiscal 2013</w:t>
      </w:r>
    </w:p>
    <w:p>
      <w:pPr>
        <w:spacing w:after="0" w:line="4" w:lineRule="exact"/>
        <w:rPr>
          <w:rFonts w:ascii="Arial" w:cs="Arial" w:eastAsia="Arial" w:hAnsi="Arial"/>
          <w:sz w:val="16"/>
          <w:szCs w:val="16"/>
          <w:color w:val="auto"/>
        </w:rPr>
      </w:pPr>
    </w:p>
    <w:p>
      <w:pPr>
        <w:ind w:left="440" w:right="580" w:hanging="324"/>
        <w:spacing w:after="0" w:line="335" w:lineRule="auto"/>
        <w:tabs>
          <w:tab w:leader="none" w:pos="44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Revised fiscal 2012 guidance: At least 12-14% non-GAAP EPS growth expected in fiscal 2012, raised from previous expectation of 11-13%. Expected revenue growth of 3-4% on a constant currency basis, lowered from previous expectation of 5-6% due to changes in the outlook at AT&amp;T. Expected reported revenue growth of 2.5-3.5% including the effects of foreign currency fluctuations, revised from previous expectation of 4-5%</w:t>
      </w:r>
    </w:p>
    <w:p>
      <w:pPr>
        <w:spacing w:after="0" w:line="7" w:lineRule="exact"/>
        <w:rPr>
          <w:rFonts w:ascii="Arial" w:cs="Arial" w:eastAsia="Arial" w:hAnsi="Arial"/>
          <w:sz w:val="15"/>
          <w:szCs w:val="15"/>
          <w:color w:val="auto"/>
        </w:rPr>
      </w:pPr>
    </w:p>
    <w:p>
      <w:pPr>
        <w:ind w:left="440" w:right="58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revenue of $809 million, compared to the $800-$820 million guidance range. Foreign currency movements positively affected revenue by approximately $1 million sequentially relative to the first fiscal quarter of 2012</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fiscal quarter non-GAAP operating income of $134 million; non-GAAP operating margin of 16.6%; GAAP operating income of $110 million</w:t>
      </w:r>
    </w:p>
    <w:p>
      <w:pPr>
        <w:spacing w:after="0" w:line="113" w:lineRule="exact"/>
        <w:rPr>
          <w:rFonts w:ascii="Arial" w:cs="Arial" w:eastAsia="Arial" w:hAnsi="Arial"/>
          <w:sz w:val="16"/>
          <w:szCs w:val="16"/>
          <w:color w:val="auto"/>
        </w:rPr>
      </w:pPr>
    </w:p>
    <w:p>
      <w:pPr>
        <w:ind w:left="440" w:right="60" w:hanging="324"/>
        <w:spacing w:after="0" w:line="332"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fiscal quarter diluted non-GAAP EPS of $0.67, compared to the $0.62-$0.68 guidance range, excluding amortization of purchased intangible assets and other acquisition related costs, gain on sale of investment and equity-based compensation expense, net of related tax effects</w:t>
      </w:r>
    </w:p>
    <w:p>
      <w:pPr>
        <w:spacing w:after="0" w:line="4" w:lineRule="exact"/>
        <w:rPr>
          <w:rFonts w:ascii="Arial" w:cs="Arial" w:eastAsia="Arial" w:hAnsi="Arial"/>
          <w:sz w:val="16"/>
          <w:szCs w:val="16"/>
          <w:color w:val="auto"/>
        </w:rPr>
      </w:pPr>
    </w:p>
    <w:p>
      <w:pPr>
        <w:ind w:left="440" w:right="14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$0.60 for the second fiscal quarter, higher than the $0.50-$0.58 guidance range due to a $0.04 one-time gain resulting from the sale of the Company’s remaining investment in Longshine</w:t>
      </w:r>
    </w:p>
    <w:p>
      <w:pPr>
        <w:sectPr>
          <w:pgSz w:w="11900" w:h="16838" w:orient="portrait"/>
          <w:cols w:equalWidth="0" w:num="1">
            <w:col w:w="11420"/>
          </w:cols>
          <w:pgMar w:left="240" w:top="125" w:right="239" w:bottom="1440" w:gutter="0" w:footer="0" w:header="0"/>
        </w:sectPr>
      </w:pPr>
    </w:p>
    <w:bookmarkStart w:id="5" w:name="page6"/>
    <w:bookmarkEnd w:id="5"/>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cash flow of $53 million for the second fiscal quarter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Twelve-month backlog of $2.725 billion at the end of the second fiscal quarter, up $35 million from the end of the first fiscal quarter of 2012</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Repurchased $117 million of ordinary shares during the second fiscal quarter</w:t>
      </w:r>
    </w:p>
    <w:p>
      <w:pPr>
        <w:spacing w:after="0" w:line="90" w:lineRule="exact"/>
        <w:rPr>
          <w:rFonts w:ascii="Arial" w:cs="Arial" w:eastAsia="Arial" w:hAnsi="Arial"/>
          <w:sz w:val="18"/>
          <w:szCs w:val="18"/>
          <w:color w:val="auto"/>
        </w:rPr>
      </w:pPr>
    </w:p>
    <w:p>
      <w:pPr>
        <w:ind w:left="440" w:right="420" w:hanging="324"/>
        <w:spacing w:after="0" w:line="306"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Third quarter fiscal 2012 guidance: Expected revenue of approximately $805-$825 million and diluted non-GAAP EPS of $0.64-$0.70, excluding amortization of purchased intangible assets and other acquisition-related costs and approximately $0.05-$0.06 per share of equity-based compensation expense, net of related tax effects. Diluted GAAP EPS is expected to be approximately $0.52-$0.60</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 LOUIS – May 1, 2012 </w:t>
      </w:r>
      <w:r>
        <w:rPr>
          <w:rFonts w:ascii="Arial" w:cs="Arial" w:eastAsia="Arial" w:hAnsi="Arial"/>
          <w:sz w:val="16"/>
          <w:szCs w:val="16"/>
          <w:color w:val="auto"/>
        </w:rPr>
        <w:t>– Amdocs Limited (NYSE: DOX) today reported that for its second fiscal quarter ended March 31, 2012, revenue was $808.9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up 0.2% sequentially from the first fiscal quarter of 2012 and up 2.5% as compared to last year’s second fiscal quarter. Net income on a non-GAAP basis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$114.7 million, or $0.67 per diluted share, compared to non-GAAP net income of $110.3 million, or $0.58 per diluted share, in the second quarter of fiscal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Non-GAAP net income excludes amortization of purchased intangible assets and other acquisition related costs, gain on sale of investment and equity-based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expenses of $12.8 million, net of related tax effects, in the second quarter of fiscal 2012 and excludes such amortization and other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costs and equity-based compensation expenses of $16.2 million, net of related tax effects, in the second quarter of fiscal 2011. The Company's GAAP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for the second quarter of fiscal 2012 was $101.9 million, or $0.60 per diluted share, compared to GAAP net income of $94.1 million, or $0.50 per diluted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in the prior year’s second fiscal quarter.</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second fiscal quarter performance reflects ongoing deal momentum in the emerging markets and healthy business activity in Europe, partially offset by a slow recovery of spending at AT&amp;T. In the emerging markets, our presence continues to strengthen as we win influential transformation programs in both Southeast Asia and Latin America. We are also seeing our emerging markets customers become increasingly interested in a full managed services business model. In Europe, we continue to gain traction across our portfolio. Our performance in most accounts in North America was consistent with expectations, including the revised contract terms with Bell Canada that became effective at the beginning of the second fiscal quarter. On the other hand, our outlook at AT&amp;T has deteriorated as the customer continues to re-focus its IT priorities, and we now anticipate weakness to persist for the remainder of the fiscal year,” said Eli Gelman, chief executive officer of Amdocs Management Limited.</w:t>
      </w:r>
    </w:p>
    <w:p>
      <w:pPr>
        <w:sectPr>
          <w:pgSz w:w="11900" w:h="16838" w:orient="portrait"/>
          <w:cols w:equalWidth="0" w:num="1">
            <w:col w:w="11420"/>
          </w:cols>
          <w:pgMar w:left="240" w:top="280" w:right="23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continued, “As evidence of our growing emerging markets presence, we announced new wins at Globe and CNT today. At Globe in the Philippines, we finalized an agreement to modernize the customer’s BSS and Data Warehouse infrastructure, all under a seven-year agreement. At CNT in Ecuador, we will provide an integrated BSS and OSS solution, initially supporting wireline operations – encompassing fixed-line, enterprise, broadband and IPTV lines of business</w:t>
      </w:r>
    </w:p>
    <w:p>
      <w:pPr>
        <w:spacing w:after="0" w:line="1"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 and with the capability to support wireless services in the future. In Europe, we announced important areas of activity within the Vodafone group today, including a global licensing agreement with the parent company and a BSS modernization in the Netherlands, our first project captured under the global agreement. As our presence in Europe continues to strengthen, Vodafone remains a marquee customer for Amdocs in the region.”</w:t>
      </w:r>
    </w:p>
    <w:p>
      <w:pPr>
        <w:spacing w:after="0" w:line="10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Gelman said, “Our outlook for AT&amp;T revenue has weakened for the remainder of the fiscal year and is overshadowing otherwise very solid performance across Amdocs. Factoring in the changes to our forecast at AT&amp;T, we have revised down our fiscal 2012 revenue forecast, but we continue to anticipate sequential growth acceleration in the second half of the fiscal year. Business activity outside of AT&amp;T is ramping at or ahead of plan. Furthermore, due to our stable margin outlook and the contributions from our continued share repurchase activity, we are raising our full year non-GAAP earnings per share outlook to at least 12-14% year-over-year growth from our prior expectations of 11-13% growth. This outlook does not include any future repurchase activity.”</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Gelman concluded, “Further demonstrating our confidence in Amdocs’ future and our commitment to enhancing shareholder value, our Board of Directors has authorized the initiation of a quarterly cash dividend of $0.13 per ordinary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announced that its Board of Directors has approved, subject to shareholder approval, the institution of a quarterly cash dividend program at the quarterly rate of $0.13 per share. The Company’s articles of incorporation require shareholder approval for the payment of dividends, and the Company will call a special shareholders meeting to approve the dividend program to be held on July 31, 2012. The Board has set June 15, 2012, as the record date for determining the shareholders entitled to vote at the meeting. If the program is approved by shareholders, the Company expects that the first quarterly dividend would be paid in the first quarter of fiscal 2013.</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Discussion of Second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$53 million for the quarter, comprised of cash flow from operations of $75 million less $22 million in net capital expenditures and 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free cash flow results include the payment of annual bonuses for the prior fiscal year.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$2.725 billion at the end of the second quarter of fiscal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Amdocs expects that revenue for the third quarter of fiscal 2012 will be approximately $805-$825 million. Diluted earnings per share on a non-GAAP basis for the third fiscal quarter are expected to be $0.64-$0.70, excluding amortization of purchased intangible assets and other acquisition-related costs and approximately $0.05-$0.06 per share of equity-based compensation expense, net of related tax effects. Amdocs estimates GAAP diluted earnings per share for the third fiscal quarter will be $0.52-$0.60.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Amdocs will host a conference call on May 1, 2012 at 5:00 p.m. Eastern Time to discuss the Company’s second fiscal quarter results. The call will be carried live on the Internet via the Amdocs website, www.amdocs.com.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income (expense), net, non-GAAP</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 non-GAAP net income, and non-GAAP earnings per share growth. These non-GAAP measures exclude the following items:</w:t>
      </w:r>
    </w:p>
    <w:p>
      <w:pPr>
        <w:spacing w:after="0" w:line="90"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on sale of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non-GAAP net income, and non-GAAP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gain on sale of investment,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ectPr>
          <w:pgSz w:w="11900" w:h="16838" w:orient="portrait"/>
          <w:cols w:equalWidth="0" w:num="1">
            <w:col w:w="11400"/>
          </w:cols>
          <w:pgMar w:left="240" w:top="280" w:right="259" w:bottom="1440" w:gutter="0" w:footer="0" w:header="0"/>
        </w:sectPr>
      </w:pPr>
    </w:p>
    <w:bookmarkStart w:id="9" w:name="page10"/>
    <w:bookmarkEnd w:id="9"/>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income (expense), net, income taxes and net income), it is useful to investors to understand how these specific line items in the Consolidated Statements of Income are affected by these adjustments.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$3.2 billion in fiscal 2011, Amdocs and its over 19,000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17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w:t>
      </w:r>
    </w:p>
    <w:p>
      <w:pPr>
        <w:sectPr>
          <w:pgSz w:w="11900" w:h="16838" w:orient="portrait"/>
          <w:cols w:equalWidth="0" w:num="1">
            <w:col w:w="11360"/>
          </w:cols>
          <w:pgMar w:left="240" w:top="280" w:right="299" w:bottom="1440" w:gutter="0" w:footer="0" w:header="0"/>
        </w:sectPr>
      </w:pPr>
    </w:p>
    <w:bookmarkStart w:id="10" w:name="page11"/>
    <w:bookmarkEnd w:id="1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2011 filed on December 8, 2011 and our Form 6-K furnished for the first quarter of fiscal 2012 on February 14, 2012.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 # #</w:t>
      </w:r>
    </w:p>
    <w:p>
      <w:pPr>
        <w:sectPr>
          <w:pgSz w:w="11900" w:h="16838" w:orient="portrait"/>
          <w:cols w:equalWidth="0" w:num="1">
            <w:col w:w="11380"/>
          </w:cols>
          <w:pgMar w:left="240" w:top="28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w w:val="94"/>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License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26,238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28,695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62,034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782,690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760,240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1,553,904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1,505,515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808,928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788,935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1,615,938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1,564,116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517,549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1,033,730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121,657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213,179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682,379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1,397,018</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1,369,976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218,920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194,140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115,158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106,605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220,593</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101,870</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94,110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194,601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169,739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187,788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171,231</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170,971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189,232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172,397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6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808,928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788,935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1,615,938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1,564,116</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134,312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127,781</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267,119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248,049</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114,703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110,321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210,090</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189,232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191,120</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March 31, 2012</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9"/>
              </w:rPr>
              <w:t>Amortization of</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1"/>
              </w:rPr>
              <w:t>purchased</w:t>
            </w: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intangible assets</w:t>
            </w: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Gain on sale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4"/>
              </w:rPr>
              <w:t>and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expense</w:t>
            </w:r>
          </w:p>
        </w:tc>
        <w:tc>
          <w:tcPr>
            <w:tcW w:w="20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of investment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2"/>
              </w:rPr>
              <w:t>Tax effect</w:t>
            </w: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517,549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511,786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60,350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106,842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699,056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674,616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109,872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134,312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13,288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5,337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101,870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(6,270)</w:t>
            </w:r>
          </w:p>
        </w:tc>
        <w:tc>
          <w:tcPr>
            <w:tcW w:w="106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 (5,337)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8"/>
              </w:rPr>
              <w:t>March 31, 2011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center"/>
              <w:ind w:right="92"/>
              <w:spacing w:after="0" w:line="129" w:lineRule="exact"/>
              <w:rPr>
                <w:sz w:val="20"/>
                <w:szCs w:val="20"/>
                <w:color w:val="auto"/>
              </w:rPr>
            </w:pPr>
            <w:r>
              <w:rPr>
                <w:rFonts w:ascii="Arial" w:cs="Arial" w:eastAsia="Arial" w:hAnsi="Arial"/>
                <w:sz w:val="14"/>
                <w:szCs w:val="14"/>
                <w:b w:val="1"/>
                <w:bCs w:val="1"/>
                <w:color w:val="auto"/>
                <w:w w:val="91"/>
              </w:rPr>
              <w:t>Amortization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75"/>
              </w:rPr>
              <w:t>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1"/>
              </w:rPr>
              <w:t>purchased</w:t>
            </w:r>
          </w:p>
        </w:tc>
        <w:tc>
          <w:tcPr>
            <w:tcW w:w="30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Equity based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intangible assets</w:t>
            </w: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GAAP</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4"/>
              </w:rPr>
              <w:t>and 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Non-GAAP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511,582</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53,219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96,155</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682,379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661,154</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106,556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127,781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5,014</w:t>
            </w: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94,110</w:t>
            </w:r>
          </w:p>
        </w:tc>
        <w:tc>
          <w:tcPr>
            <w:tcW w:w="2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16,343</w:t>
            </w:r>
          </w:p>
        </w:tc>
        <w:tc>
          <w:tcPr>
            <w:tcW w:w="12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4,882</w:t>
            </w:r>
          </w:p>
        </w:tc>
        <w:tc>
          <w:tcPr>
            <w:tcW w:w="240" w:type="dxa"/>
            <w:vAlign w:val="bottom"/>
          </w:tcPr>
          <w:p>
            <w:pPr>
              <w:spacing w:after="0"/>
              <w:rPr>
                <w:sz w:val="19"/>
                <w:szCs w:val="19"/>
                <w:color w:val="auto"/>
              </w:rPr>
            </w:pPr>
          </w:p>
        </w:tc>
        <w:tc>
          <w:tcPr>
            <w:tcW w:w="940" w:type="dxa"/>
            <w:vAlign w:val="bottom"/>
            <w:gridSpan w:val="4"/>
          </w:tcPr>
          <w:p>
            <w:pPr>
              <w:ind w:left="200"/>
              <w:spacing w:after="0"/>
              <w:rPr>
                <w:sz w:val="20"/>
                <w:szCs w:val="20"/>
                <w:color w:val="auto"/>
              </w:rPr>
            </w:pPr>
            <w:r>
              <w:rPr>
                <w:rFonts w:ascii="Arial" w:cs="Arial" w:eastAsia="Arial" w:hAnsi="Arial"/>
                <w:sz w:val="18"/>
                <w:szCs w:val="18"/>
                <w:color w:val="auto"/>
                <w:w w:val="99"/>
              </w:rPr>
              <w:t>$ (5,014)</w:t>
            </w:r>
          </w:p>
        </w:tc>
        <w:tc>
          <w:tcPr>
            <w:tcW w:w="14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$ 110,321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left="116"/>
              <w:spacing w:after="0"/>
              <w:rPr>
                <w:sz w:val="20"/>
                <w:szCs w:val="20"/>
                <w:color w:val="auto"/>
              </w:rPr>
            </w:pPr>
            <w:r>
              <w:rPr>
                <w:rFonts w:ascii="Arial" w:cs="Arial" w:eastAsia="Arial" w:hAnsi="Arial"/>
                <w:sz w:val="14"/>
                <w:szCs w:val="14"/>
                <w:b w:val="1"/>
                <w:bCs w:val="1"/>
                <w:color w:val="auto"/>
                <w:w w:val="84"/>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4"/>
                <w:szCs w:val="14"/>
                <w:b w:val="1"/>
                <w:bCs w:val="1"/>
                <w:color w:val="auto"/>
                <w:w w:val="88"/>
              </w:rPr>
              <w:t>March 31, 2012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7"/>
          </w:tcPr>
          <w:p>
            <w:pPr>
              <w:jc w:val="center"/>
              <w:ind w:right="600"/>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5"/>
              </w:rPr>
              <w:t>Amortization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purchased</w:t>
            </w:r>
          </w:p>
        </w:tc>
        <w:tc>
          <w:tcPr>
            <w:tcW w:w="3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intangible assets</w:t>
            </w:r>
          </w:p>
        </w:tc>
        <w:tc>
          <w:tcPr>
            <w:tcW w:w="3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Gain on sale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and 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expense</w:t>
            </w:r>
          </w:p>
        </w:tc>
        <w:tc>
          <w:tcPr>
            <w:tcW w:w="2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of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Tax effect</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1,926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1,033,730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121,657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6"/>
              </w:rPr>
              <w:t>Amortization of purchased intangible assets and other</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(26,526)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1,397,018</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(21,673)</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1,348,819</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218,920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26,526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267,119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10,573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(6,270)</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(10,573)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March 31, 2011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83"/>
              </w:rPr>
              <w:t>Reconciliation items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Amortization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purchased</w:t>
            </w:r>
          </w:p>
        </w:tc>
        <w:tc>
          <w:tcPr>
            <w:tcW w:w="34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Equity based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intangible assets</w:t>
            </w:r>
          </w:p>
        </w:tc>
        <w:tc>
          <w:tcPr>
            <w:tcW w:w="3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and 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4"/>
                <w:szCs w:val="14"/>
                <w:color w:val="auto"/>
              </w:rPr>
            </w:pPr>
          </w:p>
        </w:tc>
        <w:tc>
          <w:tcPr>
            <w:tcW w:w="1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Non-GAAP</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1,021,376</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1,015,236</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108,528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107,362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203,421</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192,571</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6"/>
              </w:rPr>
              <w:t>Amortization of purchased intangible assets and other</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(35,753)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1,369,976</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(35,753)</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1,316,067</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248,049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167,501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35,753</w:t>
            </w:r>
          </w:p>
        </w:tc>
        <w:tc>
          <w:tcPr>
            <w:tcW w:w="6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18,156</w:t>
            </w:r>
          </w:p>
        </w:tc>
        <w:tc>
          <w:tcPr>
            <w:tcW w:w="240" w:type="dxa"/>
            <w:vAlign w:val="bottom"/>
          </w:tcPr>
          <w:p>
            <w:pPr>
              <w:spacing w:after="0"/>
              <w:rPr>
                <w:sz w:val="19"/>
                <w:szCs w:val="19"/>
                <w:color w:val="auto"/>
              </w:rPr>
            </w:pPr>
          </w:p>
        </w:tc>
        <w:tc>
          <w:tcPr>
            <w:tcW w:w="940" w:type="dxa"/>
            <w:vAlign w:val="bottom"/>
            <w:gridSpan w:val="4"/>
          </w:tcPr>
          <w:p>
            <w:pPr>
              <w:ind w:lef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(11,320)</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210,090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895,547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Accounts receivable, net, including unbilled of $117,352 and $72,048, respectively</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612,373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1,751,575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247,353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1,909,098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492,501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4,400,527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6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598,266</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revenue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137,029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761,501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Shareholders’ equity</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3,039,192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4,400,527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$ 194,601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79,873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on sale of investment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(6,270)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(18,626)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720" w:type="dxa"/>
            <w:vAlign w:val="bottom"/>
          </w:tcPr>
          <w:p>
            <w:pPr>
              <w:jc w:val="right"/>
              <w:spacing w:after="0"/>
              <w:rPr>
                <w:sz w:val="20"/>
                <w:szCs w:val="20"/>
                <w:color w:val="auto"/>
              </w:rPr>
            </w:pPr>
            <w:r>
              <w:rPr>
                <w:rFonts w:ascii="Arial" w:cs="Arial" w:eastAsia="Arial" w:hAnsi="Arial"/>
                <w:sz w:val="18"/>
                <w:szCs w:val="18"/>
                <w:color w:val="auto"/>
              </w:rPr>
              <w:t>8,972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720" w:type="dxa"/>
            <w:vAlign w:val="bottom"/>
          </w:tcPr>
          <w:p>
            <w:pPr>
              <w:jc w:val="right"/>
              <w:spacing w:after="0"/>
              <w:rPr>
                <w:sz w:val="20"/>
                <w:szCs w:val="20"/>
                <w:color w:val="auto"/>
              </w:rPr>
            </w:pPr>
            <w:r>
              <w:rPr>
                <w:rFonts w:ascii="Arial" w:cs="Arial" w:eastAsia="Arial" w:hAnsi="Arial"/>
                <w:sz w:val="18"/>
                <w:szCs w:val="18"/>
                <w:color w:val="auto"/>
              </w:rPr>
              <w:t>13,888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jc w:val="right"/>
              <w:spacing w:after="0"/>
              <w:rPr>
                <w:sz w:val="20"/>
                <w:szCs w:val="20"/>
                <w:color w:val="auto"/>
              </w:rPr>
            </w:pPr>
            <w:r>
              <w:rPr>
                <w:rFonts w:ascii="Arial" w:cs="Arial" w:eastAsia="Arial" w:hAnsi="Arial"/>
                <w:sz w:val="18"/>
                <w:szCs w:val="18"/>
                <w:color w:val="auto"/>
              </w:rPr>
              <w:t>224,482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(50,204)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(192,857)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(256,545)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(453,078)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(440,021)</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(259,113)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(223,583)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$ 572,258</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563.2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$584.9</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102.0</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125.1</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808.9</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807.</w:t>
            </w:r>
            <w:r>
              <w:rPr>
                <w:rFonts w:ascii="Arial" w:cs="Arial" w:eastAsia="Arial" w:hAnsi="Arial"/>
                <w:sz w:val="18"/>
                <w:szCs w:val="18"/>
                <w:u w:val="single" w:color="auto"/>
                <w:color w:val="auto"/>
              </w:rPr>
              <w:t>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812.2</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Emerging Markets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$ 73.2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Managed Services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r>
              <w:rPr>
                <w:rFonts w:ascii="Arial" w:cs="Arial" w:eastAsia="Arial" w:hAnsi="Arial"/>
                <w:sz w:val="18"/>
                <w:szCs w:val="18"/>
                <w:u w:val="single" w:color="auto"/>
                <w:color w:val="auto"/>
              </w:rPr>
              <w:t>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$751.1</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Directory</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47.6</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808.9</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r>
              <w:rPr>
                <w:rFonts w:ascii="Arial" w:cs="Arial" w:eastAsia="Arial" w:hAnsi="Arial"/>
                <w:sz w:val="18"/>
                <w:szCs w:val="18"/>
                <w:u w:val="single" w:color="auto"/>
                <w:color w:val="auto"/>
              </w:rPr>
              <w:t>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812.2</w:t>
            </w:r>
          </w:p>
        </w:tc>
        <w:tc>
          <w:tcPr>
            <w:tcW w:w="12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7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12-Month Backlog</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2,725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2019-12-11T08:22:20Z</dcterms:created>
  <dcterms:modified xsi:type="dcterms:W3CDTF">2019-12-11T08:22:20Z</dcterms:modified>
</cp:coreProperties>
</file>