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June,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8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3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30, 2015, Amdocs Limited (the “Company”) sent a Notice of Convertibility pursuant to the Indenture, dated as of March 5, 2004 (the “Indenture”), between Amdocs, as Issuer, and The Bank of New York Mellon (formerly known as The Bank of New York), as Trustee, with respect to the Company’s 0.50% Convertible Senior Notes due 2024 (the “Notes”), to holders of the Notes, a copy of which is attached as Exhibit 99.1 to this report.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$0.6 million aggregate principal amount of the Notes was outstanding.</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Section 15.01(a)(i) of the Indenture, the Notes will be convertible, at the holder’s option, beginning on July 1, 2015 and during the fiscal quarter ending September 30, 2015, into Ordinary Shares, par value £0.01, of the Company (“Ordinary Shares”), because the closing sale price of the Ordinary Shares exceeded 130% of the $41.51 conversion price (the “Conversion Price”) for the Notes for 20 trading days in the 30-consecutive-trading-day period ending on the last trading day of the fiscal quarter ending June 30, 2015. Beginning on July 1, 2015 and during the fiscal quarter ending September 30, 2015, holders of Notes may elect to convert all or portions of their Notes for Ordinary Shares at the Conversion Price.</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2015</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tcPr>
          <w:p>
            <w:pPr>
              <w:ind w:left="2080"/>
              <w:spacing w:after="0"/>
              <w:rPr>
                <w:sz w:val="20"/>
                <w:szCs w:val="20"/>
                <w:color w:val="auto"/>
              </w:rPr>
            </w:pPr>
            <w:r>
              <w:rPr>
                <w:rFonts w:ascii="Arial" w:cs="Arial" w:eastAsia="Arial" w:hAnsi="Arial"/>
                <w:sz w:val="18"/>
                <w:szCs w:val="18"/>
                <w:color w:val="auto"/>
              </w:rPr>
              <w:t>EXHIBIT INDEX</w:t>
            </w:r>
          </w:p>
        </w:tc>
      </w:tr>
      <w:tr>
        <w:trPr>
          <w:trHeight w:val="39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80" w:type="dxa"/>
            <w:vAlign w:val="bottom"/>
            <w:gridSpan w:val="3"/>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5880" w:type="dxa"/>
            <w:vAlign w:val="bottom"/>
            <w:gridSpan w:val="3"/>
          </w:tcPr>
          <w:p>
            <w:pPr>
              <w:ind w:left="1060"/>
              <w:spacing w:after="0"/>
              <w:rPr>
                <w:sz w:val="20"/>
                <w:szCs w:val="20"/>
                <w:color w:val="auto"/>
              </w:rPr>
            </w:pPr>
            <w:r>
              <w:rPr>
                <w:rFonts w:ascii="Arial" w:cs="Arial" w:eastAsia="Arial" w:hAnsi="Arial"/>
                <w:sz w:val="18"/>
                <w:szCs w:val="18"/>
                <w:color w:val="auto"/>
                <w:w w:val="92"/>
              </w:rPr>
              <w:t>Notice of Convertibility of the Convertible Senior Notes Due 2024</w:t>
            </w:r>
          </w:p>
        </w:tc>
      </w:tr>
    </w:tbl>
    <w:p>
      <w:pPr>
        <w:ind w:left="10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172085</wp:posOffset>
            </wp:positionV>
            <wp:extent cx="124333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CONVERTIBILITY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and 02342TAD1*</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color w:val="auto"/>
        </w:rPr>
        <w:t>Reference is hereby made to the Indenture, dated as of March 5, 2004, (the “</w:t>
      </w:r>
      <w:r>
        <w:rPr>
          <w:rFonts w:ascii="Arial" w:cs="Arial" w:eastAsia="Arial" w:hAnsi="Arial"/>
          <w:sz w:val="18"/>
          <w:szCs w:val="18"/>
          <w:b w:val="1"/>
          <w:bCs w:val="1"/>
          <w:color w:val="auto"/>
        </w:rPr>
        <w:t>Indenture</w:t>
      </w:r>
      <w:r>
        <w:rPr>
          <w:rFonts w:ascii="Arial" w:cs="Arial" w:eastAsia="Arial" w:hAnsi="Arial"/>
          <w:sz w:val="18"/>
          <w:szCs w:val="18"/>
          <w:color w:val="auto"/>
        </w:rPr>
        <w:t>”), between Amdocs Limited, a Guernsey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(as successor to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relating to the Company’s 0.50%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to holders of the Notes (each, a “</w:t>
      </w:r>
      <w:r>
        <w:rPr>
          <w:rFonts w:ascii="Arial" w:cs="Arial" w:eastAsia="Arial" w:hAnsi="Arial"/>
          <w:sz w:val="18"/>
          <w:szCs w:val="18"/>
          <w:b w:val="1"/>
          <w:bCs w:val="1"/>
          <w:color w:val="auto"/>
        </w:rPr>
        <w:t>Holder</w:t>
      </w:r>
      <w:r>
        <w:rPr>
          <w:rFonts w:ascii="Arial" w:cs="Arial" w:eastAsia="Arial" w:hAnsi="Arial"/>
          <w:sz w:val="18"/>
          <w:szCs w:val="18"/>
          <w:color w:val="auto"/>
        </w:rPr>
        <w:t>”) that, pursuant to Section 15.01(a)(i) of the Indenture, all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convertible, at the Holder’s option, beginning on July 1, 2015 and during the fiscal quarter ending September 30, 2015, into Ordinary Shares, par value £0.01, or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because the closing sale price of the Ordinary Shares exceeded 130% of the $41.51 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 for the Notes for 20 trading days in the 30-consecutive-trading-day period ending on the last trading day of the fiscal quarter ending June 30, 2015. Beginning on July 1, 2015 and during the fiscal quarter ending September 30, 2015, holders of Notes may elect to convert all or portions of their Notes for Ordinary Shares at the Conversion Price.</w:t>
      </w:r>
    </w:p>
    <w:p>
      <w:pPr>
        <w:spacing w:after="0" w:line="19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Holder elects to convert the Notes, the method chosen for delivery of the Notes is at the option and risk of the Holder. If delivery is by mail, use of registered or certified mail, properly insured, is suggested. The Notes must be endorsed for transfer and accompanied with a duly completed and executed Notice of Conversion. The name and address of the Paying Agent and Conversion Agent is:</w:t>
      </w:r>
    </w:p>
    <w:p>
      <w:pPr>
        <w:spacing w:after="0" w:line="2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BNY Mellon</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Phone Number: (212) 815-5813</w:t>
      </w:r>
    </w:p>
    <w:p>
      <w:pPr>
        <w:spacing w:after="0" w:line="220"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Notes held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should be surrendered in accordance with DTC’s procedures therefor, and each Holder will be required to complete the appropriate instruction forms and deliver endorsements and transfer documents as required.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conversion of the Note(s), the portion of accrued but unpaid interest, if any, to the Conversion Date, will be forfeited. 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420"/>
          </w:cols>
          <w:pgMar w:left="240" w:top="121" w:right="239" w:bottom="1440" w:gutter="0" w:footer="0" w:header="0"/>
        </w:sectPr>
      </w:pPr>
    </w:p>
    <w:bookmarkStart w:id="5" w:name="page6"/>
    <w:bookmarkEnd w:id="5"/>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of cash fractional share proceeds made within the United States may be subject to backup withholding (currently at a 28% rate) under currently applicable U.S. federal income tax law unless the Paying Agent has the correct taxpayer identification number (social security or employer identification number) or exemption certificate of the payee. Accordingly, unless you have previously supplied the correct taxpayer identification number to the Paying Agent or certified as to the applicability of an exemption from such requirement on IRS Form W-9, you must furnish a properly completed IRS Form W-9 when presenting your Notes. If you are a nonresident alien or foreign entity, income tax withholding or backup withholding may apply to payments made with respect to your Notes unless you give the Paying Agent a completed Form W-8BEN, Certificate of Foreign Status, or other applicable Form W-8.</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Questions and requests for assistance in connection with the conversion of the Notes may be directed to the Paying Agent at the address and telephone number set forth above.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*The CUSIP numbers for the Notes have been assigned by Standard &amp; Poor’s Corporation and are included solely for the convenience of holders of the Notes. Neither Amdocs nor The Bank of New York Mellon shall be responsible for the selection or use of these CUSIP numbers, nor is any representation made as to their correctness as indicated in this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Notice: June 30,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2019-12-07T04:20:38Z</dcterms:created>
  <dcterms:modified xsi:type="dcterms:W3CDTF">2019-12-07T04:20:38Z</dcterms:modified>
</cp:coreProperties>
</file>