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6k_q3_26.htm"/>
      <w:bookmarkStart w:id="1" w:name="ks6k_q3_26"/>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 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w:t>
      </w:r>
      <w:r>
        <w:rPr>
          <w:rFonts w:ascii="Times New Roman" w:hAnsi="Times New Roman"/>
          <w:color w:val="000000"/>
          <w:sz w:val="12"/>
        </w:rPr>
        <w:t>,</w:t>
      </w:r>
      <w:r>
        <w:rPr>
          <w:rFonts w:ascii="Times New Roman" w:hAnsi="Times New Roman"/>
          <w:color w:val="000000"/>
          <w:sz w:val="20"/>
        </w:rPr>
        <w:t xml:space="preserve"> </w:t>
      </w:r>
      <w:r>
        <w:rPr>
          <w:rFonts w:ascii="Times New Roman" w:hAnsi="Times New Roman"/>
          <w:b/>
          <w:color w:val="000000"/>
          <w:sz w:val="24"/>
        </w:rPr>
        <w:t>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 OF</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 Ended June 30, 2026</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1-14840</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AMDOCS LIMITED</w:t>
      </w:r>
    </w:p>
    <w:p>
      <w:pPr>
        <w:pStyle w:val="TextBody"/>
        <w:bidi w:val="0"/>
        <w:jc w:val="center"/>
        <w:rPr>
          <w:rFonts w:ascii="Times New Roman" w:hAnsi="Times New Roman"/>
          <w:color w:val="000000"/>
          <w:sz w:val="20"/>
        </w:rPr>
      </w:pPr>
      <w:r>
        <w:rPr>
          <w:rFonts w:ascii="Times New Roman" w:hAnsi="Times New Roman"/>
          <w:color w:val="000000"/>
          <w:sz w:val="20"/>
        </w:rPr>
        <w:t xml:space="preserve">Hirzel House, Smith Street, </w:t>
      </w:r>
    </w:p>
    <w:p>
      <w:pPr>
        <w:pStyle w:val="TextBody"/>
        <w:bidi w:val="0"/>
        <w:jc w:val="center"/>
        <w:rPr>
          <w:rFonts w:ascii="Times New Roman" w:hAnsi="Times New Roman"/>
          <w:color w:val="000000"/>
          <w:sz w:val="20"/>
        </w:rPr>
      </w:pPr>
      <w:r>
        <w:rPr>
          <w:rFonts w:ascii="Times New Roman" w:hAnsi="Times New Roman"/>
          <w:color w:val="000000"/>
          <w:sz w:val="20"/>
        </w:rPr>
        <w:t>St. Peter Port, Island of Guernsey, GY1 2NG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Amdocs, Inc.</w:t>
      </w:r>
    </w:p>
    <w:p>
      <w:pPr>
        <w:pStyle w:val="TextBody"/>
        <w:bidi w:val="0"/>
        <w:jc w:val="center"/>
        <w:rPr>
          <w:rFonts w:ascii="Times New Roman" w:hAnsi="Times New Roman"/>
          <w:color w:val="000000"/>
          <w:sz w:val="20"/>
        </w:rPr>
      </w:pPr>
      <w:r>
        <w:rPr>
          <w:rFonts w:ascii="Times New Roman" w:hAnsi="Times New Roman"/>
          <w:color w:val="000000"/>
          <w:sz w:val="20"/>
        </w:rPr>
        <w:t>625 Maryville Centre Drive, Suite 200 Saint Louis, Missouri 63141</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 20-F ☑ FORM 40-F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if the registrant is submitting the Form 6-K in paper as permitted by Regulation S-T Rule 101(b)(1):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if the registrant is submitting the Form 6-K in paper as permitted by Regulation S-T Rule 101(b)(7):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YES ☐ NO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“Yes” is marked, indicate below the file number assigned to the registrant in connection with Rule 12g3-2(b): 82- _______</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AMDOCS LIMITED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 6-K</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REPORT OF FOREIGN PRIVATE ISSUER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 THE QUARTER ENDED JUNE 30,</w:t>
      </w:r>
    </w:p>
    <w:p>
      <w:pPr>
        <w:pStyle w:val="TextBody"/>
        <w:bidi w:val="0"/>
        <w:jc w:val="center"/>
        <w:rPr>
          <w:rFonts w:ascii="Times New Roman" w:hAnsi="Times New Roman"/>
          <w:color w:val="000000"/>
          <w:sz w:val="20"/>
        </w:rPr>
      </w:pPr>
      <w:r>
        <w:rPr>
          <w:rFonts w:ascii="Times New Roman" w:hAnsi="Times New Roman"/>
          <w:color w:val="000000"/>
          <w:sz w:val="20"/>
        </w:rPr>
        <w:t>2026</w:t>
      </w:r>
    </w:p>
    <w:p>
      <w:pPr>
        <w:pStyle w:val="TextBody"/>
        <w:bidi w:val="0"/>
        <w:jc w:val="center"/>
        <w:rPr>
          <w:rFonts w:ascii="Times New Roman" w:hAnsi="Times New Roman"/>
          <w:color w:val="000000"/>
          <w:sz w:val="20"/>
        </w:rPr>
      </w:pPr>
      <w:r>
        <w:rPr>
          <w:rFonts w:ascii="Times New Roman" w:hAnsi="Times New Roman"/>
          <w:color w:val="000000"/>
          <w:sz w:val="20"/>
        </w:rPr>
        <w:t>INDEX</w:t>
      </w:r>
    </w:p>
    <w:p>
      <w:pPr>
        <w:pStyle w:val="TextBody"/>
        <w:bidi w:val="0"/>
        <w:jc w:val="left"/>
        <w:rPr/>
      </w:pPr>
      <w:r>
        <w:rPr/>
        <w:t> </w:t>
      </w:r>
    </w:p>
    <w:tbl>
      <w:tblPr>
        <w:tblW w:w="8249" w:type="dxa"/>
        <w:jc w:val="left"/>
        <w:tblInd w:w="0" w:type="dxa"/>
        <w:tblLayout w:type="fixed"/>
        <w:tblCellMar>
          <w:top w:w="28" w:type="dxa"/>
          <w:left w:w="28" w:type="dxa"/>
          <w:bottom w:w="28" w:type="dxa"/>
          <w:right w:w="28" w:type="dxa"/>
        </w:tblCellMar>
      </w:tblPr>
      <w:tblGrid>
        <w:gridCol w:w="7388"/>
        <w:gridCol w:w="861"/>
      </w:tblGrid>
      <w:tr>
        <w:trPr/>
        <w:tc>
          <w:tcPr>
            <w:tcW w:w="738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7388" w:type="dxa"/>
            <w:tcBorders/>
            <w:tcMar>
              <w:top w:w="0" w:type="dxa"/>
              <w:left w:w="0" w:type="dxa"/>
              <w:bottom w:w="0" w:type="dxa"/>
              <w:right w:w="0" w:type="dxa"/>
            </w:tcMar>
            <w:vAlign w:val="center"/>
          </w:tcPr>
          <w:p>
            <w:pPr>
              <w:pStyle w:val="TableContents"/>
              <w:bidi w:val="0"/>
              <w:spacing w:before="0" w:after="283"/>
              <w:jc w:val="left"/>
              <w:rPr/>
            </w:pPr>
            <w:hyperlink w:anchor="parti_financial_information">
              <w:r>
                <w:rPr>
                  <w:rStyle w:val="InternetLink"/>
                  <w:rFonts w:ascii="Times New Roman" w:hAnsi="Times New Roman"/>
                  <w:color w:val="0000FF"/>
                  <w:sz w:val="20"/>
                  <w:u w:val="single"/>
                </w:rPr>
                <w:t>PART I FINANCIAL INFORMATION</w:t>
              </w:r>
            </w:hyperlink>
          </w:p>
        </w:tc>
        <w:tc>
          <w:tcPr>
            <w:tcW w:w="861"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3</w:t>
            </w:r>
          </w:p>
        </w:tc>
      </w:tr>
      <w:tr>
        <w:trPr/>
        <w:tc>
          <w:tcPr>
            <w:tcW w:w="7388"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item1_financial_statements">
              <w:r>
                <w:rPr>
                  <w:rStyle w:val="InternetLink"/>
                  <w:rFonts w:ascii="Times New Roman" w:hAnsi="Times New Roman"/>
                  <w:color w:val="0000FF"/>
                  <w:sz w:val="20"/>
                  <w:u w:val="single"/>
                </w:rPr>
                <w:t>Item 1. Financial Statements</w:t>
              </w:r>
            </w:hyperlink>
          </w:p>
        </w:tc>
        <w:tc>
          <w:tcPr>
            <w:tcW w:w="861" w:type="dxa"/>
            <w:tcBorders/>
            <w:tcMar>
              <w:top w:w="0" w:type="dxa"/>
              <w:left w:w="0" w:type="dxa"/>
              <w:bottom w:w="0" w:type="dxa"/>
              <w:right w:w="0" w:type="dxa"/>
            </w:tcMar>
            <w:vAlign w:val="center"/>
          </w:tcPr>
          <w:p>
            <w:pPr>
              <w:pStyle w:val="TableContents"/>
              <w:bidi w:val="0"/>
              <w:spacing w:before="0" w:after="283"/>
              <w:ind w:left="0" w:right="0" w:firstLine="403"/>
              <w:jc w:val="left"/>
              <w:rPr>
                <w:rFonts w:ascii="Times New Roman" w:hAnsi="Times New Roman"/>
                <w:color w:val="000000"/>
                <w:sz w:val="20"/>
              </w:rPr>
            </w:pPr>
            <w:r>
              <w:rPr>
                <w:rFonts w:ascii="Times New Roman" w:hAnsi="Times New Roman"/>
                <w:color w:val="000000"/>
                <w:sz w:val="20"/>
              </w:rPr>
              <w:t>3</w:t>
            </w:r>
          </w:p>
        </w:tc>
      </w:tr>
      <w:tr>
        <w:trPr/>
        <w:tc>
          <w:tcPr>
            <w:tcW w:w="7388" w:type="dxa"/>
            <w:tcBorders/>
            <w:tcMar>
              <w:top w:w="0" w:type="dxa"/>
              <w:left w:w="0" w:type="dxa"/>
              <w:bottom w:w="0" w:type="dxa"/>
              <w:right w:w="0" w:type="dxa"/>
            </w:tcMar>
            <w:vAlign w:val="center"/>
          </w:tcPr>
          <w:p>
            <w:pPr>
              <w:pStyle w:val="TableContents"/>
              <w:bidi w:val="0"/>
              <w:spacing w:before="0" w:after="283"/>
              <w:ind w:left="0" w:right="0" w:firstLine="403"/>
              <w:jc w:val="left"/>
              <w:rPr>
                <w:rFonts w:ascii="Times New Roman" w:hAnsi="Times New Roman"/>
                <w:color w:val="000000"/>
                <w:sz w:val="20"/>
              </w:rPr>
            </w:pPr>
            <w:r>
              <w:rPr>
                <w:rFonts w:ascii="Times New Roman" w:hAnsi="Times New Roman"/>
                <w:color w:val="000000"/>
                <w:sz w:val="20"/>
              </w:rPr>
              <w:t>Unaudited Consolidated Financial Statements</w:t>
            </w:r>
          </w:p>
        </w:tc>
        <w:tc>
          <w:tcPr>
            <w:tcW w:w="861" w:type="dxa"/>
            <w:tcBorders/>
            <w:tcMar>
              <w:top w:w="0" w:type="dxa"/>
              <w:left w:w="0" w:type="dxa"/>
              <w:bottom w:w="0" w:type="dxa"/>
              <w:right w:w="0" w:type="dxa"/>
            </w:tcMar>
            <w:vAlign w:val="center"/>
          </w:tcPr>
          <w:p>
            <w:pPr>
              <w:pStyle w:val="TableContents"/>
              <w:bidi w:val="0"/>
              <w:spacing w:before="0" w:after="283"/>
              <w:ind w:left="0" w:right="0" w:firstLine="605"/>
              <w:jc w:val="left"/>
              <w:rPr/>
            </w:pPr>
            <w:r>
              <w:rPr/>
              <w:t> </w:t>
            </w:r>
          </w:p>
        </w:tc>
      </w:tr>
      <w:tr>
        <w:trPr/>
        <w:tc>
          <w:tcPr>
            <w:tcW w:w="7388" w:type="dxa"/>
            <w:tcBorders/>
            <w:tcMar>
              <w:top w:w="0" w:type="dxa"/>
              <w:left w:w="0" w:type="dxa"/>
              <w:bottom w:w="0" w:type="dxa"/>
              <w:right w:w="0" w:type="dxa"/>
            </w:tcMar>
            <w:vAlign w:val="center"/>
          </w:tcPr>
          <w:p>
            <w:pPr>
              <w:pStyle w:val="TableContents"/>
              <w:bidi w:val="0"/>
              <w:spacing w:before="0" w:after="283"/>
              <w:ind w:left="0" w:right="0" w:firstLine="605"/>
              <w:jc w:val="left"/>
              <w:rPr/>
            </w:pPr>
            <w:hyperlink w:anchor="consolidated_balance_sheets">
              <w:r>
                <w:rPr>
                  <w:rStyle w:val="InternetLink"/>
                  <w:rFonts w:ascii="Times New Roman" w:hAnsi="Times New Roman"/>
                  <w:color w:val="0000FF"/>
                  <w:sz w:val="20"/>
                  <w:u w:val="single"/>
                </w:rPr>
                <w:t>Consolidated Balance Sheets</w:t>
              </w:r>
            </w:hyperlink>
          </w:p>
        </w:tc>
        <w:tc>
          <w:tcPr>
            <w:tcW w:w="861" w:type="dxa"/>
            <w:tcBorders/>
            <w:tcMar>
              <w:top w:w="0" w:type="dxa"/>
              <w:left w:w="0" w:type="dxa"/>
              <w:bottom w:w="0" w:type="dxa"/>
              <w:right w:w="0" w:type="dxa"/>
            </w:tcMar>
            <w:vAlign w:val="center"/>
          </w:tcPr>
          <w:p>
            <w:pPr>
              <w:pStyle w:val="TableContents"/>
              <w:bidi w:val="0"/>
              <w:spacing w:before="0" w:after="283"/>
              <w:ind w:left="0" w:right="0" w:firstLine="605"/>
              <w:jc w:val="left"/>
              <w:rPr>
                <w:rFonts w:ascii="Times New Roman" w:hAnsi="Times New Roman"/>
                <w:color w:val="000000"/>
                <w:sz w:val="20"/>
              </w:rPr>
            </w:pPr>
            <w:r>
              <w:rPr>
                <w:rFonts w:ascii="Times New Roman" w:hAnsi="Times New Roman"/>
                <w:color w:val="000000"/>
                <w:sz w:val="20"/>
              </w:rPr>
              <w:t>3</w:t>
            </w:r>
          </w:p>
        </w:tc>
      </w:tr>
      <w:tr>
        <w:trPr/>
        <w:tc>
          <w:tcPr>
            <w:tcW w:w="7388" w:type="dxa"/>
            <w:tcBorders/>
            <w:tcMar>
              <w:top w:w="0" w:type="dxa"/>
              <w:left w:w="0" w:type="dxa"/>
              <w:bottom w:w="0" w:type="dxa"/>
              <w:right w:w="0" w:type="dxa"/>
            </w:tcMar>
            <w:vAlign w:val="center"/>
          </w:tcPr>
          <w:p>
            <w:pPr>
              <w:pStyle w:val="TableContents"/>
              <w:bidi w:val="0"/>
              <w:spacing w:before="0" w:after="283"/>
              <w:ind w:left="0" w:right="0" w:firstLine="605"/>
              <w:jc w:val="left"/>
              <w:rPr/>
            </w:pPr>
            <w:hyperlink w:anchor="consolidated_statements_of_income">
              <w:r>
                <w:rPr>
                  <w:rStyle w:val="InternetLink"/>
                  <w:rFonts w:ascii="Times New Roman" w:hAnsi="Times New Roman"/>
                  <w:color w:val="0000FF"/>
                  <w:sz w:val="20"/>
                  <w:u w:val="single"/>
                </w:rPr>
                <w:t>Consolidated Statements of Income</w:t>
              </w:r>
            </w:hyperlink>
          </w:p>
        </w:tc>
        <w:tc>
          <w:tcPr>
            <w:tcW w:w="861" w:type="dxa"/>
            <w:tcBorders/>
            <w:tcMar>
              <w:top w:w="0" w:type="dxa"/>
              <w:left w:w="0" w:type="dxa"/>
              <w:bottom w:w="0" w:type="dxa"/>
              <w:right w:w="0" w:type="dxa"/>
            </w:tcMar>
            <w:vAlign w:val="center"/>
          </w:tcPr>
          <w:p>
            <w:pPr>
              <w:pStyle w:val="TableContents"/>
              <w:bidi w:val="0"/>
              <w:spacing w:before="0" w:after="283"/>
              <w:ind w:left="0" w:right="0" w:firstLine="605"/>
              <w:jc w:val="left"/>
              <w:rPr>
                <w:rFonts w:ascii="Times New Roman" w:hAnsi="Times New Roman"/>
                <w:color w:val="000000"/>
                <w:sz w:val="20"/>
              </w:rPr>
            </w:pPr>
            <w:r>
              <w:rPr>
                <w:rFonts w:ascii="Times New Roman" w:hAnsi="Times New Roman"/>
                <w:color w:val="000000"/>
                <w:sz w:val="20"/>
              </w:rPr>
              <w:t>4</w:t>
            </w:r>
          </w:p>
        </w:tc>
      </w:tr>
      <w:tr>
        <w:trPr/>
        <w:tc>
          <w:tcPr>
            <w:tcW w:w="7388" w:type="dxa"/>
            <w:tcBorders/>
            <w:tcMar>
              <w:top w:w="0" w:type="dxa"/>
              <w:left w:w="0" w:type="dxa"/>
              <w:bottom w:w="0" w:type="dxa"/>
              <w:right w:w="0" w:type="dxa"/>
            </w:tcMar>
            <w:vAlign w:val="center"/>
          </w:tcPr>
          <w:p>
            <w:pPr>
              <w:pStyle w:val="TableContents"/>
              <w:bidi w:val="0"/>
              <w:spacing w:before="0" w:after="283"/>
              <w:ind w:left="0" w:right="0" w:firstLine="605"/>
              <w:jc w:val="left"/>
              <w:rPr/>
            </w:pPr>
            <w:hyperlink w:anchor="statements_of_comprehensive_income">
              <w:r>
                <w:rPr>
                  <w:rStyle w:val="InternetLink"/>
                  <w:rFonts w:ascii="Times New Roman" w:hAnsi="Times New Roman"/>
                  <w:color w:val="0000FF"/>
                  <w:sz w:val="20"/>
                  <w:u w:val="single"/>
                </w:rPr>
                <w:t>Consolidated Statements of Comprehensive Income</w:t>
              </w:r>
            </w:hyperlink>
            <w:hyperlink w:anchor="statements_of_comprehensive_income">
              <w:r>
                <w:rPr>
                  <w:rStyle w:val="InternetLink"/>
                  <w:rFonts w:ascii="Times New Roman" w:hAnsi="Times New Roman"/>
                  <w:color w:val="0000FF"/>
                  <w:sz w:val="20"/>
                </w:rPr>
                <w:t xml:space="preserve"> </w:t>
              </w:r>
            </w:hyperlink>
          </w:p>
        </w:tc>
        <w:tc>
          <w:tcPr>
            <w:tcW w:w="861" w:type="dxa"/>
            <w:tcBorders/>
            <w:tcMar>
              <w:top w:w="0" w:type="dxa"/>
              <w:left w:w="0" w:type="dxa"/>
              <w:bottom w:w="0" w:type="dxa"/>
              <w:right w:w="0" w:type="dxa"/>
            </w:tcMar>
            <w:vAlign w:val="center"/>
          </w:tcPr>
          <w:p>
            <w:pPr>
              <w:pStyle w:val="TableContents"/>
              <w:bidi w:val="0"/>
              <w:spacing w:before="0" w:after="283"/>
              <w:ind w:left="0" w:right="0" w:firstLine="605"/>
              <w:jc w:val="left"/>
              <w:rPr>
                <w:rFonts w:ascii="Times New Roman" w:hAnsi="Times New Roman"/>
                <w:color w:val="000000"/>
                <w:sz w:val="20"/>
              </w:rPr>
            </w:pPr>
            <w:r>
              <w:rPr>
                <w:rFonts w:ascii="Times New Roman" w:hAnsi="Times New Roman"/>
                <w:color w:val="000000"/>
                <w:sz w:val="20"/>
              </w:rPr>
              <w:t>5</w:t>
            </w:r>
          </w:p>
        </w:tc>
      </w:tr>
      <w:tr>
        <w:trPr/>
        <w:tc>
          <w:tcPr>
            <w:tcW w:w="7388" w:type="dxa"/>
            <w:tcBorders/>
            <w:tcMar>
              <w:top w:w="0" w:type="dxa"/>
              <w:left w:w="0" w:type="dxa"/>
              <w:bottom w:w="0" w:type="dxa"/>
              <w:right w:w="0" w:type="dxa"/>
            </w:tcMar>
            <w:vAlign w:val="center"/>
          </w:tcPr>
          <w:p>
            <w:pPr>
              <w:pStyle w:val="TableContents"/>
              <w:bidi w:val="0"/>
              <w:spacing w:before="0" w:after="283"/>
              <w:ind w:left="0" w:right="0" w:firstLine="605"/>
              <w:jc w:val="left"/>
              <w:rPr/>
            </w:pPr>
            <w:hyperlink w:anchor="statements_of_changes_in_equity">
              <w:r>
                <w:rPr>
                  <w:rStyle w:val="InternetLink"/>
                  <w:rFonts w:ascii="Times New Roman" w:hAnsi="Times New Roman"/>
                  <w:color w:val="0000FF"/>
                  <w:sz w:val="20"/>
                  <w:u w:val="single"/>
                </w:rPr>
                <w:t>Consolidated Statements of Changes in Equity</w:t>
              </w:r>
            </w:hyperlink>
          </w:p>
        </w:tc>
        <w:tc>
          <w:tcPr>
            <w:tcW w:w="861" w:type="dxa"/>
            <w:tcBorders/>
            <w:tcMar>
              <w:top w:w="0" w:type="dxa"/>
              <w:left w:w="0" w:type="dxa"/>
              <w:bottom w:w="0" w:type="dxa"/>
              <w:right w:w="0" w:type="dxa"/>
            </w:tcMar>
            <w:vAlign w:val="center"/>
          </w:tcPr>
          <w:p>
            <w:pPr>
              <w:pStyle w:val="TableContents"/>
              <w:bidi w:val="0"/>
              <w:spacing w:before="0" w:after="283"/>
              <w:ind w:left="0" w:right="0" w:firstLine="605"/>
              <w:jc w:val="left"/>
              <w:rPr>
                <w:rFonts w:ascii="Times New Roman" w:hAnsi="Times New Roman"/>
                <w:color w:val="000000"/>
                <w:sz w:val="20"/>
              </w:rPr>
            </w:pPr>
            <w:r>
              <w:rPr>
                <w:rFonts w:ascii="Times New Roman" w:hAnsi="Times New Roman"/>
                <w:color w:val="000000"/>
                <w:sz w:val="20"/>
              </w:rPr>
              <w:t>6</w:t>
            </w:r>
          </w:p>
        </w:tc>
      </w:tr>
      <w:tr>
        <w:trPr/>
        <w:tc>
          <w:tcPr>
            <w:tcW w:w="7388" w:type="dxa"/>
            <w:tcBorders/>
            <w:tcMar>
              <w:top w:w="0" w:type="dxa"/>
              <w:left w:w="0" w:type="dxa"/>
              <w:bottom w:w="0" w:type="dxa"/>
              <w:right w:w="0" w:type="dxa"/>
            </w:tcMar>
            <w:vAlign w:val="center"/>
          </w:tcPr>
          <w:p>
            <w:pPr>
              <w:pStyle w:val="TableContents"/>
              <w:bidi w:val="0"/>
              <w:spacing w:before="0" w:after="283"/>
              <w:ind w:left="0" w:right="0" w:firstLine="605"/>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861" w:type="dxa"/>
            <w:tcBorders/>
            <w:tcMar>
              <w:top w:w="0" w:type="dxa"/>
              <w:left w:w="0" w:type="dxa"/>
              <w:bottom w:w="0" w:type="dxa"/>
              <w:right w:w="0" w:type="dxa"/>
            </w:tcMar>
            <w:vAlign w:val="center"/>
          </w:tcPr>
          <w:p>
            <w:pPr>
              <w:pStyle w:val="TableContents"/>
              <w:bidi w:val="0"/>
              <w:spacing w:before="0" w:after="283"/>
              <w:ind w:left="0" w:right="0" w:firstLine="605"/>
              <w:jc w:val="left"/>
              <w:rPr>
                <w:rFonts w:ascii="Times New Roman" w:hAnsi="Times New Roman"/>
                <w:color w:val="000000"/>
                <w:sz w:val="20"/>
              </w:rPr>
            </w:pPr>
            <w:r>
              <w:rPr>
                <w:rFonts w:ascii="Times New Roman" w:hAnsi="Times New Roman"/>
                <w:color w:val="000000"/>
                <w:sz w:val="20"/>
              </w:rPr>
              <w:t>8</w:t>
            </w:r>
          </w:p>
        </w:tc>
      </w:tr>
      <w:tr>
        <w:trPr/>
        <w:tc>
          <w:tcPr>
            <w:tcW w:w="7388" w:type="dxa"/>
            <w:tcBorders/>
            <w:tcMar>
              <w:top w:w="0" w:type="dxa"/>
              <w:left w:w="0" w:type="dxa"/>
              <w:bottom w:w="0" w:type="dxa"/>
              <w:right w:w="0" w:type="dxa"/>
            </w:tcMar>
            <w:vAlign w:val="center"/>
          </w:tcPr>
          <w:p>
            <w:pPr>
              <w:pStyle w:val="TableContents"/>
              <w:bidi w:val="0"/>
              <w:spacing w:before="0" w:after="283"/>
              <w:ind w:left="0" w:right="0" w:firstLine="605"/>
              <w:jc w:val="left"/>
              <w:rPr/>
            </w:pPr>
            <w:hyperlink w:anchor="notes_to_unaudited_consolidated_financia">
              <w:r>
                <w:rPr>
                  <w:rStyle w:val="InternetLink"/>
                  <w:rFonts w:ascii="Times New Roman" w:hAnsi="Times New Roman"/>
                  <w:color w:val="0000FF"/>
                  <w:sz w:val="20"/>
                  <w:u w:val="single"/>
                </w:rPr>
                <w:t>Notes to Unaudited Consolidated Financial Statements</w:t>
              </w:r>
            </w:hyperlink>
          </w:p>
        </w:tc>
        <w:tc>
          <w:tcPr>
            <w:tcW w:w="861"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9</w:t>
            </w:r>
          </w:p>
        </w:tc>
      </w:tr>
      <w:tr>
        <w:trPr/>
        <w:tc>
          <w:tcPr>
            <w:tcW w:w="7388"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item_2_operating_and_financial_review">
              <w:r>
                <w:rPr>
                  <w:rStyle w:val="InternetLink"/>
                  <w:rFonts w:ascii="Times New Roman" w:hAnsi="Times New Roman"/>
                  <w:color w:val="0000FF"/>
                  <w:sz w:val="20"/>
                  <w:u w:val="single"/>
                </w:rPr>
                <w:t>Item 2. Operating and Financial Review and Prospects</w:t>
              </w:r>
            </w:hyperlink>
          </w:p>
        </w:tc>
        <w:tc>
          <w:tcPr>
            <w:tcW w:w="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r>
      <w:tr>
        <w:trPr/>
        <w:tc>
          <w:tcPr>
            <w:tcW w:w="7388" w:type="dxa"/>
            <w:tcBorders/>
            <w:tcMar>
              <w:top w:w="0" w:type="dxa"/>
              <w:left w:w="0" w:type="dxa"/>
              <w:bottom w:w="0" w:type="dxa"/>
              <w:right w:w="0" w:type="dxa"/>
            </w:tcMar>
            <w:vAlign w:val="center"/>
          </w:tcPr>
          <w:p>
            <w:pPr>
              <w:pStyle w:val="TableContents"/>
              <w:bidi w:val="0"/>
              <w:spacing w:before="0" w:after="283"/>
              <w:jc w:val="left"/>
              <w:rPr/>
            </w:pPr>
            <w:hyperlink w:anchor="partii_other_information">
              <w:r>
                <w:rPr>
                  <w:rStyle w:val="InternetLink"/>
                  <w:rFonts w:ascii="Times New Roman" w:hAnsi="Times New Roman"/>
                  <w:color w:val="0000FF"/>
                  <w:sz w:val="20"/>
                  <w:u w:val="single"/>
                </w:rPr>
                <w:t>PART II OTHER INFORMATION</w:t>
              </w:r>
            </w:hyperlink>
          </w:p>
        </w:tc>
        <w:tc>
          <w:tcPr>
            <w:tcW w:w="861"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30</w:t>
            </w:r>
          </w:p>
        </w:tc>
      </w:tr>
      <w:tr>
        <w:trPr/>
        <w:tc>
          <w:tcPr>
            <w:tcW w:w="7388"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item1_changes_in_securities_use_of_proce">
              <w:r>
                <w:rPr>
                  <w:rStyle w:val="InternetLink"/>
                  <w:rFonts w:ascii="Times New Roman" w:hAnsi="Times New Roman"/>
                  <w:color w:val="0000FF"/>
                  <w:sz w:val="20"/>
                  <w:u w:val="single"/>
                </w:rPr>
                <w:t>Item 1. Changes in Securities, Use of Proceeds and Issuer Purchases of Equity Securities</w:t>
              </w:r>
            </w:hyperlink>
          </w:p>
        </w:tc>
        <w:tc>
          <w:tcPr>
            <w:tcW w:w="861"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30</w:t>
            </w:r>
          </w:p>
        </w:tc>
      </w:tr>
      <w:tr>
        <w:trPr/>
        <w:tc>
          <w:tcPr>
            <w:tcW w:w="7388"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item2_reports_on_form_6k">
              <w:r>
                <w:rPr>
                  <w:rStyle w:val="InternetLink"/>
                  <w:rFonts w:ascii="Times New Roman" w:hAnsi="Times New Roman"/>
                  <w:color w:val="0000FF"/>
                  <w:sz w:val="20"/>
                  <w:u w:val="single"/>
                </w:rPr>
                <w:t>Item 2. Reports on Form 6-K</w:t>
              </w:r>
            </w:hyperlink>
          </w:p>
        </w:tc>
        <w:tc>
          <w:tcPr>
            <w:tcW w:w="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w:t>
            </w:r>
          </w:p>
        </w:tc>
      </w:tr>
      <w:tr>
        <w:trPr/>
        <w:tc>
          <w:tcPr>
            <w:tcW w:w="7388"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i_financial_information"/>
      <w:bookmarkEnd w:id="2"/>
      <w:r>
        <w:rPr>
          <w:rFonts w:ascii="Times New Roman" w:hAnsi="Times New Roman"/>
          <w:b/>
          <w:color w:val="000000"/>
          <w:sz w:val="20"/>
        </w:rPr>
        <w:t>PART I FINANCIAL INFORMATION</w:t>
      </w:r>
    </w:p>
    <w:p>
      <w:pPr>
        <w:pStyle w:val="TextBody"/>
        <w:bidi w:val="0"/>
        <w:jc w:val="left"/>
        <w:rPr/>
      </w:pPr>
      <w:r>
        <w:rPr/>
        <w:t> </w:t>
      </w:r>
    </w:p>
    <w:p>
      <w:pPr>
        <w:pStyle w:val="TextBody"/>
        <w:bidi w:val="0"/>
        <w:jc w:val="left"/>
        <w:rPr>
          <w:rFonts w:ascii="Times New Roman" w:hAnsi="Times New Roman"/>
          <w:b/>
          <w:color w:val="000000"/>
          <w:sz w:val="20"/>
        </w:rPr>
      </w:pPr>
      <w:bookmarkStart w:id="3" w:name="item1_financial_statements"/>
      <w:bookmarkEnd w:id="3"/>
      <w:r>
        <w:rPr>
          <w:rFonts w:ascii="Times New Roman" w:hAnsi="Times New Roman"/>
          <w:b/>
          <w:color w:val="000000"/>
          <w:sz w:val="20"/>
        </w:rPr>
        <w:t>Item 1.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AMDOCS LIMITED</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(dollar and share amounts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52"/>
        <w:gridCol w:w="146"/>
        <w:gridCol w:w="211"/>
        <w:gridCol w:w="991"/>
        <w:gridCol w:w="166"/>
        <w:gridCol w:w="146"/>
        <w:gridCol w:w="211"/>
        <w:gridCol w:w="991"/>
        <w:gridCol w:w="991"/>
      </w:tblGrid>
      <w:tr>
        <w:trPr/>
        <w:tc>
          <w:tcPr>
            <w:tcW w:w="6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324,999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935,751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331,387</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1,592,137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768,557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182,088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2,890,680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156,282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660,086</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6,249,830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371,173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622,748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207,285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financing arrangements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118,861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1,358,792</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 and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218,766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140,776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 of 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646,901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413,915</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2,779,150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Amdocs Limited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Shares — Authorized 25,000 shares; £0.01 par value; 0 shares issued</w:t>
              <w:br/>
              <w:t>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Ordinary Shares — Authorized 700,000 shares; £0.01 par value; 292,481 and</w:t>
              <w:br/>
              <w:t>   290,351 issued and 104,415 and 108,448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4,573,016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188,067 and 181,903 ordinary shares,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(8,762,851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(8,335,774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7,345,969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7,164,954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20"/>
              </w:rPr>
            </w:pPr>
            <w:r>
              <w:rPr>
                <w:rFonts w:ascii="Times New Roman" w:hAnsi="Times New Roman"/>
                <w:b/>
                <w:color w:val="000000"/>
                <w:sz w:val="20"/>
              </w:rPr>
              <w:t>Total Amdocs Limited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3,429,453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41,227</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3,327,497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3,470,680</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35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20"/>
              </w:rPr>
            </w:pPr>
            <w:r>
              <w:rPr>
                <w:rFonts w:ascii="Times New Roman" w:hAnsi="Times New Roman"/>
                <w:b/>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6,249,830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AMDOCS LIMITED</w:t>
      </w:r>
    </w:p>
    <w:p>
      <w:pPr>
        <w:pStyle w:val="TextBody"/>
        <w:bidi w:val="0"/>
        <w:jc w:val="center"/>
        <w:rPr>
          <w:rFonts w:ascii="Times New Roman" w:hAnsi="Times New Roman"/>
          <w:b/>
          <w:color w:val="000000"/>
          <w:sz w:val="20"/>
        </w:rPr>
      </w:pPr>
      <w:bookmarkStart w:id="5" w:name="consolidated_statements_of_income"/>
      <w:bookmarkEnd w:id="5"/>
      <w:r>
        <w:rPr>
          <w:rFonts w:ascii="Times New Roman" w:hAnsi="Times New Roman"/>
          <w:b/>
          <w:color w:val="000000"/>
          <w:sz w:val="20"/>
        </w:rPr>
        <w:t>CONSOLIDATED STATEMENTS OF INCOME (UNAUDITED)</w:t>
      </w:r>
    </w:p>
    <w:p>
      <w:pPr>
        <w:pStyle w:val="TextBody"/>
        <w:bidi w:val="0"/>
        <w:jc w:val="center"/>
        <w:rPr>
          <w:rFonts w:ascii="Times New Roman" w:hAnsi="Times New Roman"/>
          <w:color w:val="000000"/>
          <w:sz w:val="20"/>
        </w:rPr>
      </w:pPr>
      <w:r>
        <w:rPr>
          <w:rFonts w:ascii="Times New Roman" w:hAnsi="Times New Roman"/>
          <w:color w:val="000000"/>
          <w:sz w:val="20"/>
        </w:rPr>
        <w:t>(dollar and share amounts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64"/>
        <w:gridCol w:w="146"/>
        <w:gridCol w:w="211"/>
        <w:gridCol w:w="931"/>
        <w:gridCol w:w="166"/>
        <w:gridCol w:w="146"/>
        <w:gridCol w:w="211"/>
        <w:gridCol w:w="931"/>
        <w:gridCol w:w="166"/>
        <w:gridCol w:w="146"/>
        <w:gridCol w:w="211"/>
        <w:gridCol w:w="931"/>
        <w:gridCol w:w="166"/>
        <w:gridCol w:w="146"/>
        <w:gridCol w:w="211"/>
        <w:gridCol w:w="931"/>
        <w:gridCol w:w="391"/>
      </w:tblGrid>
      <w:tr>
        <w:trPr/>
        <w:tc>
          <w:tcPr>
            <w:tcW w:w="4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3,382,695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2,091,455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purchased intangible assets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941,967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2,783,656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599,039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Amdocs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 attributable to Amdocs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 attributable to Amdocs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dividends declared per ordinary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AMDOCS LIMITED</w:t>
      </w:r>
    </w:p>
    <w:p>
      <w:pPr>
        <w:pStyle w:val="TextBody"/>
        <w:bidi w:val="0"/>
        <w:jc w:val="center"/>
        <w:rPr>
          <w:rFonts w:ascii="Times New Roman" w:hAnsi="Times New Roman"/>
          <w:b/>
          <w:color w:val="000000"/>
          <w:sz w:val="20"/>
        </w:rPr>
      </w:pPr>
      <w:bookmarkStart w:id="6" w:name="statements_of_comprehensive_income"/>
      <w:bookmarkEnd w:id="6"/>
      <w:r>
        <w:rPr>
          <w:rFonts w:ascii="Times New Roman" w:hAnsi="Times New Roman"/>
          <w:b/>
          <w:color w:val="000000"/>
          <w:sz w:val="20"/>
        </w:rPr>
        <w:t>CONSOLIDATED STATEMENTS OF COMPREHENSIVE INCOME (UNAUDITED)</w:t>
      </w:r>
    </w:p>
    <w:p>
      <w:pPr>
        <w:pStyle w:val="TextBody"/>
        <w:bidi w:val="0"/>
        <w:jc w:val="center"/>
        <w:rPr>
          <w:rFonts w:ascii="Times New Roman" w:hAnsi="Times New Roman"/>
          <w:color w:val="000000"/>
          <w:sz w:val="20"/>
        </w:rPr>
      </w:pPr>
      <w:r>
        <w:rPr>
          <w:rFonts w:ascii="Times New Roman" w:hAnsi="Times New Roman"/>
          <w:color w:val="000000"/>
          <w:sz w:val="20"/>
        </w:rPr>
        <w:t>(dollar amounts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909"/>
        <w:gridCol w:w="146"/>
        <w:gridCol w:w="211"/>
        <w:gridCol w:w="676"/>
        <w:gridCol w:w="146"/>
        <w:gridCol w:w="146"/>
        <w:gridCol w:w="211"/>
        <w:gridCol w:w="781"/>
        <w:gridCol w:w="146"/>
        <w:gridCol w:w="146"/>
        <w:gridCol w:w="211"/>
        <w:gridCol w:w="781"/>
        <w:gridCol w:w="166"/>
        <w:gridCol w:w="146"/>
        <w:gridCol w:w="211"/>
        <w:gridCol w:w="781"/>
        <w:gridCol w:w="391"/>
      </w:tblGrid>
      <w:tr>
        <w:trPr/>
        <w:tc>
          <w:tcPr>
            <w:tcW w:w="4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fair value of cash flow hedges(1)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fair value of available-for-sale securities(2)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Amdocs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Net of tax of $431 and $2,485 for the three months ended June 30, 2026 and 2025, respectively, and of $1,231 and $2,295 for the nine months ended June 30, 2026 and 2025, respectively.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No tax impact for the three and nine months ended June 30, 2026 and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AMDOCS LIMITED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statements_of_changes_in_equity"/>
      <w:bookmarkEnd w:id="7"/>
      <w:r>
        <w:rPr>
          <w:rFonts w:ascii="Times New Roman" w:hAnsi="Times New Roman"/>
          <w:b/>
          <w:color w:val="000000"/>
          <w:sz w:val="20"/>
        </w:rPr>
        <w:t>CONSOLIDATED STATEMENTS OF CHANGES IN EQUITY (UNAUDITED)</w:t>
      </w:r>
    </w:p>
    <w:p>
      <w:pPr>
        <w:pStyle w:val="TextBody"/>
        <w:bidi w:val="0"/>
        <w:jc w:val="center"/>
        <w:rPr>
          <w:rFonts w:ascii="Times New Roman" w:hAnsi="Times New Roman"/>
          <w:color w:val="000000"/>
          <w:sz w:val="20"/>
        </w:rPr>
      </w:pPr>
      <w:r>
        <w:rPr>
          <w:rFonts w:ascii="Times New Roman" w:hAnsi="Times New Roman"/>
          <w:color w:val="000000"/>
          <w:sz w:val="20"/>
        </w:rPr>
        <w:t>(dollar and share amounts in thousands, except per share data)</w:t>
      </w:r>
    </w:p>
    <w:p>
      <w:pPr>
        <w:pStyle w:val="TextBody"/>
        <w:bidi w:val="0"/>
        <w:jc w:val="center"/>
        <w:rPr/>
      </w:pPr>
      <w:r>
        <w:rPr/>
        <w:t> </w:t>
      </w:r>
    </w:p>
    <w:tbl>
      <w:tblPr>
        <w:tblW w:w="10869" w:type="dxa"/>
        <w:jc w:val="left"/>
        <w:tblInd w:w="0" w:type="dxa"/>
        <w:tblLayout w:type="fixed"/>
        <w:tblCellMar>
          <w:top w:w="28" w:type="dxa"/>
          <w:left w:w="28" w:type="dxa"/>
          <w:bottom w:w="28" w:type="dxa"/>
          <w:right w:w="28" w:type="dxa"/>
        </w:tblCellMar>
      </w:tblPr>
      <w:tblGrid>
        <w:gridCol w:w="1206"/>
        <w:gridCol w:w="146"/>
        <w:gridCol w:w="146"/>
        <w:gridCol w:w="496"/>
        <w:gridCol w:w="151"/>
        <w:gridCol w:w="146"/>
        <w:gridCol w:w="166"/>
        <w:gridCol w:w="376"/>
        <w:gridCol w:w="146"/>
        <w:gridCol w:w="146"/>
        <w:gridCol w:w="166"/>
        <w:gridCol w:w="586"/>
        <w:gridCol w:w="146"/>
        <w:gridCol w:w="146"/>
        <w:gridCol w:w="166"/>
        <w:gridCol w:w="631"/>
        <w:gridCol w:w="151"/>
        <w:gridCol w:w="146"/>
        <w:gridCol w:w="252"/>
        <w:gridCol w:w="664"/>
        <w:gridCol w:w="151"/>
        <w:gridCol w:w="146"/>
        <w:gridCol w:w="166"/>
        <w:gridCol w:w="586"/>
        <w:gridCol w:w="151"/>
        <w:gridCol w:w="146"/>
        <w:gridCol w:w="182"/>
        <w:gridCol w:w="644"/>
        <w:gridCol w:w="151"/>
        <w:gridCol w:w="146"/>
        <w:gridCol w:w="182"/>
        <w:gridCol w:w="479"/>
        <w:gridCol w:w="151"/>
        <w:gridCol w:w="146"/>
        <w:gridCol w:w="166"/>
        <w:gridCol w:w="586"/>
        <w:gridCol w:w="511"/>
      </w:tblGrid>
      <w:tr>
        <w:trPr/>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b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br/>
              <w:t>Income (Loss) (1)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Amdocs</w:t>
              <w:br/>
              <w:t>Limited</w:t>
              <w:br/>
              <w:t>Shareholders’</w:t>
              <w:b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w:t>
              <w:br/>
              <w:t>controlling</w:t>
              <w:br/>
              <w:t>Interests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Equity</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106,164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4,654,902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(8,620,287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7,343,213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3,382,292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41,131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3,423,423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63,193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2"/>
              </w:rPr>
            </w:pPr>
            <w:r>
              <w:rPr>
                <w:rFonts w:ascii="Times New Roman" w:hAnsi="Times New Roman"/>
                <w:color w:val="000000"/>
                <w:sz w:val="12"/>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2"/>
              </w:rPr>
            </w:pPr>
            <w:r>
              <w:rPr>
                <w:rFonts w:ascii="Times New Roman" w:hAnsi="Times New Roman"/>
                <w:color w:val="000000"/>
                <w:sz w:val="12"/>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63,788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64,812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Employee 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Repurchase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(142,564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(142,564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(142,564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Cash dividends declared ($0.569 per ordinary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(59,413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(59,413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(59,413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restricted stock,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Employee share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17,233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Equity-based compensation expense related to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21,603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Distribution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104,415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4,697,304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(8,762,851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7,345,969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3,286,514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3,327,497</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b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br/>
              <w:t>Loss (1)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Amdocs</w:t>
              <w:br/>
              <w:t>Limited</w:t>
              <w:br/>
              <w:t>Shareholders’</w:t>
              <w:b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w:t>
              <w:br/>
              <w:t>controlling</w:t>
              <w:br/>
              <w:t>Interests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Equity</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March 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111,219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4,495,539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(8,064,154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7,029,751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3,460,757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3,502,226</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154,802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2"/>
              </w:rPr>
            </w:pPr>
            <w:r>
              <w:rPr>
                <w:rFonts w:ascii="Times New Roman" w:hAnsi="Times New Roman"/>
                <w:color w:val="000000"/>
                <w:sz w:val="12"/>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34,333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2"/>
              </w:rPr>
            </w:pPr>
            <w:r>
              <w:rPr>
                <w:rFonts w:ascii="Times New Roman" w:hAnsi="Times New Roman"/>
                <w:color w:val="000000"/>
                <w:sz w:val="12"/>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188,334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189,135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Employee 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Repurchase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(135,204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(135,204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(135,204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Cash dividends declared ($0.527 per ordinary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(57,969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(57,969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(57,969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restricted stock,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Employee share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16,860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Equity-based compensation expense related to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25,961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Distribution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June 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109,992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4,543,090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(8,199,358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29,337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7,125,783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3,503,473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41,956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3,545,429</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jc w:val="left"/>
        <w:rPr/>
      </w:pPr>
      <w:r>
        <w:rPr/>
        <w:t> </w:t>
      </w:r>
    </w:p>
    <w:p>
      <w:pPr>
        <w:pStyle w:val="TextBody"/>
        <w:bidi w:val="0"/>
        <w:spacing w:before="0" w:after="0"/>
        <w:jc w:val="both"/>
        <w:rPr>
          <w:rFonts w:ascii="Times New Roman" w:hAnsi="Times New Roman"/>
          <w:color w:val="000000"/>
          <w:sz w:val="17"/>
        </w:rPr>
      </w:pPr>
      <w:r>
        <w:rPr>
          <w:rFonts w:ascii="Times New Roman" w:hAnsi="Times New Roman"/>
          <w:color w:val="000000"/>
          <w:sz w:val="17"/>
        </w:rPr>
        <w:t>(1)</w:t>
      </w:r>
    </w:p>
    <w:p>
      <w:pPr>
        <w:pStyle w:val="TextBody"/>
        <w:bidi w:val="0"/>
        <w:jc w:val="both"/>
        <w:rPr>
          <w:rFonts w:ascii="Times New Roman" w:hAnsi="Times New Roman"/>
          <w:color w:val="000000"/>
          <w:sz w:val="17"/>
        </w:rPr>
      </w:pPr>
      <w:r>
        <w:rPr>
          <w:rFonts w:ascii="Times New Roman" w:hAnsi="Times New Roman"/>
          <w:color w:val="000000"/>
          <w:sz w:val="17"/>
        </w:rPr>
        <w:t>As of June 30, 2026 and 2025, accumulated other comprehensive income (loss) is comprised of unrealized gain (loss) on derivatives, net of tax, of $3,068 and $33,285 unrealized loss on short-term interest-bearing investments, net of tax, of $(-) and $(1,739), and unrealized loss on defined benefit plan, net of tax, of $(1,627) and $(2,209),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AMDOCS LIMITED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CHANGES IN EQUITY (UNAUDITED)</w:t>
      </w:r>
    </w:p>
    <w:p>
      <w:pPr>
        <w:pStyle w:val="TextBody"/>
        <w:bidi w:val="0"/>
        <w:jc w:val="center"/>
        <w:rPr>
          <w:rFonts w:ascii="Times New Roman" w:hAnsi="Times New Roman"/>
          <w:color w:val="000000"/>
          <w:sz w:val="20"/>
        </w:rPr>
      </w:pPr>
      <w:r>
        <w:rPr>
          <w:rFonts w:ascii="Times New Roman" w:hAnsi="Times New Roman"/>
          <w:color w:val="000000"/>
          <w:sz w:val="20"/>
        </w:rPr>
        <w:t>(dollar and share amounts in thousands, except per share data)</w:t>
      </w:r>
    </w:p>
    <w:p>
      <w:pPr>
        <w:pStyle w:val="TextBody"/>
        <w:bidi w:val="0"/>
        <w:jc w:val="center"/>
        <w:rPr/>
      </w:pPr>
      <w:r>
        <w:rPr/>
        <w:t> </w:t>
      </w:r>
    </w:p>
    <w:tbl>
      <w:tblPr>
        <w:tblW w:w="10874" w:type="dxa"/>
        <w:jc w:val="left"/>
        <w:tblInd w:w="0" w:type="dxa"/>
        <w:tblLayout w:type="fixed"/>
        <w:tblCellMar>
          <w:top w:w="28" w:type="dxa"/>
          <w:left w:w="28" w:type="dxa"/>
          <w:bottom w:w="28" w:type="dxa"/>
          <w:right w:w="28" w:type="dxa"/>
        </w:tblCellMar>
      </w:tblPr>
      <w:tblGrid>
        <w:gridCol w:w="1206"/>
        <w:gridCol w:w="146"/>
        <w:gridCol w:w="146"/>
        <w:gridCol w:w="496"/>
        <w:gridCol w:w="151"/>
        <w:gridCol w:w="146"/>
        <w:gridCol w:w="166"/>
        <w:gridCol w:w="376"/>
        <w:gridCol w:w="146"/>
        <w:gridCol w:w="146"/>
        <w:gridCol w:w="166"/>
        <w:gridCol w:w="586"/>
        <w:gridCol w:w="146"/>
        <w:gridCol w:w="146"/>
        <w:gridCol w:w="166"/>
        <w:gridCol w:w="631"/>
        <w:gridCol w:w="151"/>
        <w:gridCol w:w="146"/>
        <w:gridCol w:w="235"/>
        <w:gridCol w:w="681"/>
        <w:gridCol w:w="151"/>
        <w:gridCol w:w="146"/>
        <w:gridCol w:w="166"/>
        <w:gridCol w:w="586"/>
        <w:gridCol w:w="151"/>
        <w:gridCol w:w="146"/>
        <w:gridCol w:w="182"/>
        <w:gridCol w:w="644"/>
        <w:gridCol w:w="151"/>
        <w:gridCol w:w="146"/>
        <w:gridCol w:w="182"/>
        <w:gridCol w:w="479"/>
        <w:gridCol w:w="151"/>
        <w:gridCol w:w="146"/>
        <w:gridCol w:w="166"/>
        <w:gridCol w:w="586"/>
        <w:gridCol w:w="516"/>
      </w:tblGrid>
      <w:tr>
        <w:trPr/>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b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br/>
              <w:t>Income (Loss) (1)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Amdocs</w:t>
              <w:br/>
              <w:t>Limited</w:t>
              <w:br/>
              <w:t>Shareholders’</w:t>
              <w:b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w:t>
              <w:br/>
              <w:t>controlling</w:t>
              <w:br/>
              <w:t>interests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Equity</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108,448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4,573,016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(8,335,774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7,164,954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3,429,453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41,227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3,470,680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357,550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357,550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360,419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2"/>
              </w:rPr>
            </w:pPr>
            <w:r>
              <w:rPr>
                <w:rFonts w:ascii="Times New Roman" w:hAnsi="Times New Roman"/>
                <w:color w:val="000000"/>
                <w:sz w:val="12"/>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(21,194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(21,194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rFonts w:ascii="Times New Roman" w:hAnsi="Times New Roman"/>
                <w:color w:val="000000"/>
                <w:sz w:val="12"/>
              </w:rPr>
            </w:pPr>
            <w:r>
              <w:rPr>
                <w:rFonts w:ascii="Times New Roman" w:hAnsi="Times New Roman"/>
                <w:color w:val="000000"/>
                <w:sz w:val="12"/>
              </w:rPr>
              <w:t>)</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2"/>
              </w:rPr>
            </w:pPr>
            <w:r>
              <w:rPr>
                <w:rFonts w:ascii="Times New Roman" w:hAnsi="Times New Roman"/>
                <w:color w:val="000000"/>
                <w:sz w:val="12"/>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336,356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339,225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Employee 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Repurchase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(427,077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(427,077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(427,077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Cash dividends declared ($1.665 per ordinary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(176,535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(176,535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(176,535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restricted stock,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Employee share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33,857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Equity-based compensation expense related to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83,692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83,692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Distribution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(3,113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104,415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4,697,304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(8,762,851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7,345,969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3,286,514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3,327,497</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b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br/>
              <w:t>Loss (1)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Amdocs</w:t>
              <w:br/>
              <w:t>Limited</w:t>
              <w:br/>
              <w:t>Shareholders’</w:t>
              <w:b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w:t>
              <w:br/>
              <w:t>controlling</w:t>
              <w:br/>
              <w:t>interests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Equity</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112,891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4,413,503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(7,784,434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6,827,719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3,456,976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42,201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3,499,177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468,377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468,377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470,655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2"/>
              </w:rPr>
            </w:pPr>
            <w:r>
              <w:rPr>
                <w:rFonts w:ascii="Times New Roman" w:hAnsi="Times New Roman"/>
                <w:color w:val="000000"/>
                <w:sz w:val="12"/>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33,747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33,747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33,747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2"/>
              </w:rPr>
            </w:pPr>
            <w:r>
              <w:rPr>
                <w:rFonts w:ascii="Times New Roman" w:hAnsi="Times New Roman"/>
                <w:color w:val="000000"/>
                <w:sz w:val="12"/>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502,124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504,402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Employee 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18,084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Repurchase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(414,924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(414,924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(414,924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Cash dividends declared ($1.533 per ordinary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(170,313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(170,313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(170,313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restricted stock,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Employee share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33,379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Equity-based compensation expense related to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78,134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78,134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Distribution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109,992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4,543,090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(8,199,358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29,337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7,125,783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3,503,473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41,956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3,545,429</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AMDOCS LIMITED</w:t>
      </w:r>
    </w:p>
    <w:p>
      <w:pPr>
        <w:pStyle w:val="TextBody"/>
        <w:bidi w:val="0"/>
        <w:jc w:val="center"/>
        <w:rPr>
          <w:rFonts w:ascii="Times New Roman" w:hAnsi="Times New Roman"/>
          <w:b/>
          <w:color w:val="000000"/>
          <w:sz w:val="20"/>
        </w:rPr>
      </w:pPr>
      <w:bookmarkStart w:id="8" w:name="consolidated_statements_of_cash_flows"/>
      <w:bookmarkEnd w:id="8"/>
      <w:r>
        <w:rPr>
          <w:rFonts w:ascii="Times New Roman" w:hAnsi="Times New Roman"/>
          <w:b/>
          <w:color w:val="000000"/>
          <w:sz w:val="20"/>
        </w:rPr>
        <w:t>CONSOLIDATED STATEMENTS OF CASH FLOWS (UNAUDITED)</w:t>
      </w:r>
    </w:p>
    <w:p>
      <w:pPr>
        <w:pStyle w:val="TextBody"/>
        <w:bidi w:val="0"/>
        <w:jc w:val="center"/>
        <w:rPr>
          <w:rFonts w:ascii="Times New Roman" w:hAnsi="Times New Roman"/>
          <w:color w:val="000000"/>
          <w:sz w:val="20"/>
        </w:rPr>
      </w:pPr>
      <w:r>
        <w:rPr>
          <w:rFonts w:ascii="Times New Roman" w:hAnsi="Times New Roman"/>
          <w:color w:val="000000"/>
          <w:sz w:val="20"/>
        </w:rPr>
        <w:t>(dollar amounts in thousands)</w:t>
      </w:r>
    </w:p>
    <w:p>
      <w:pPr>
        <w:pStyle w:val="TextBody"/>
        <w:bidi w:val="0"/>
        <w:jc w:val="left"/>
        <w:rPr/>
      </w:pPr>
      <w:r>
        <w:rPr/>
        <w:t> </w:t>
      </w:r>
    </w:p>
    <w:tbl>
      <w:tblPr>
        <w:tblW w:w="9874" w:type="dxa"/>
        <w:jc w:val="left"/>
        <w:tblInd w:w="0" w:type="dxa"/>
        <w:tblLayout w:type="fixed"/>
        <w:tblCellMar>
          <w:top w:w="28" w:type="dxa"/>
          <w:left w:w="28" w:type="dxa"/>
          <w:bottom w:w="28" w:type="dxa"/>
          <w:right w:w="28" w:type="dxa"/>
        </w:tblCellMar>
      </w:tblPr>
      <w:tblGrid>
        <w:gridCol w:w="6901"/>
        <w:gridCol w:w="146"/>
        <w:gridCol w:w="211"/>
        <w:gridCol w:w="841"/>
        <w:gridCol w:w="166"/>
        <w:gridCol w:w="146"/>
        <w:gridCol w:w="211"/>
        <w:gridCol w:w="841"/>
        <w:gridCol w:w="411"/>
      </w:tblGrid>
      <w:tr>
        <w:trPr/>
        <w:tc>
          <w:tcPr>
            <w:tcW w:w="6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amortization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issuance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short-term interest-bearing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changes in operating assets and liabilities, net of amounts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accrued expenses and accrued 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 net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short-term interest-bearing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paid for business and intangible assets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from equity investments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employee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under financing arrangements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contingent consideration and deferred payment of business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(575,374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Supplementary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net of refunds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amounts under "Purchase of property and equipment, net", include immaterial proceeds from sale of property and equipment for the nine months ended June 30, 2026 and 2025.</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(b)</w:t>
      </w:r>
    </w:p>
    <w:p>
      <w:pPr>
        <w:pStyle w:val="TextBody"/>
        <w:bidi w:val="0"/>
        <w:jc w:val="both"/>
        <w:rPr>
          <w:rFonts w:ascii="Times New Roman" w:hAnsi="Times New Roman"/>
          <w:color w:val="000000"/>
          <w:sz w:val="18"/>
        </w:rPr>
      </w:pPr>
      <w:r>
        <w:rPr>
          <w:rFonts w:ascii="Times New Roman" w:hAnsi="Times New Roman"/>
          <w:color w:val="000000"/>
          <w:sz w:val="18"/>
        </w:rPr>
        <w:t>For Further details, see also Note 10.</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AMDOCS LIMITED</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(dollar and share amounts in thousands, except per share data or as otherwise disclosed)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Nature of Entity and Basis of Presentation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Amdocs Limited (the “Company”) is a leading provider of software and services to communications and media service providers of all sizes throughout the world. The Company and its consolidated subsidiaries operate in one segment and design, develop, market, support, implement and operate its open and modular cloud offering. The Company’s comprehensive portfolio of software products and services is designed to leverage artificial intelligence, driving digital transformation, accelerate cloud adoption, and enable intelligent network automation.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 maintains strategic development centers in Israel, Cyprus and India. The Company also has regional development centers in Brazil, Canada, Mexico, the Philippines, the United Kingdom and the United States.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unaudited consolidated financial statements of the Company have been prepared in accordance with U.S. generally accepted accounting principles, or GAAP and are denominated in U.S. dollars.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2025, set forth in the Company’s Annual Report on Form 20-F filed on December 15, 2025 with the U.S. Securities and Exchange Commission, or the SEC. There have been no material changes to the Company’s significant accounting policies from its Annual Report on Form 20-F for the fiscal year ended September 30,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Reclassification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From time to time, certain immaterial amounts in prior year financial statements may be reclassified to conform to the current year presentation.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Recent Accounting Standards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December 2025, the Financial Accounting Standards Board (“FASB”) issued Accounting Standards Update (“ASU”) No. 2025-11, </w:t>
      </w:r>
      <w:r>
        <w:rPr>
          <w:rFonts w:ascii="Times New Roman" w:hAnsi="Times New Roman"/>
          <w:i/>
          <w:color w:val="000000"/>
          <w:sz w:val="20"/>
        </w:rPr>
        <w:t>"Interim Reporting (Topic 270)"</w:t>
      </w:r>
      <w:r>
        <w:rPr>
          <w:rFonts w:ascii="Times New Roman" w:hAnsi="Times New Roman"/>
          <w:color w:val="000000"/>
          <w:sz w:val="20"/>
        </w:rPr>
        <w:t>, Narrow-Scope Improvements ,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This ASU will</w:t>
      </w:r>
      <w:r>
        <w:rPr>
          <w:rFonts w:ascii="Times New Roman" w:hAnsi="Times New Roman"/>
          <w:strike/>
          <w:color w:val="000000"/>
          <w:sz w:val="20"/>
        </w:rPr>
        <w:t xml:space="preserve"> </w:t>
      </w:r>
      <w:r>
        <w:rPr>
          <w:rFonts w:ascii="Times New Roman" w:hAnsi="Times New Roman"/>
          <w:color w:val="000000"/>
          <w:sz w:val="20"/>
        </w:rPr>
        <w:t>be effective beginning with the Company's interim fiscal year 2029, on a retrospective or prospective basis, with early adoption permitted. The Company is currently evaluating the impact of the adoption on its consolidated financial statements.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November 2025, the FASB issued ASU No. 2025-09, </w:t>
      </w:r>
      <w:r>
        <w:rPr>
          <w:rFonts w:ascii="Times New Roman" w:hAnsi="Times New Roman"/>
          <w:i/>
          <w:color w:val="000000"/>
          <w:sz w:val="20"/>
        </w:rPr>
        <w:t xml:space="preserve">"Derivatives and Hedging (Topic 815), </w:t>
      </w:r>
      <w:r>
        <w:rPr>
          <w:rFonts w:ascii="Times New Roman" w:hAnsi="Times New Roman"/>
          <w:color w:val="000000"/>
          <w:sz w:val="20"/>
        </w:rPr>
        <w:t>which amends certain aspects of the hedge accounting. This ASU will be effective beginning with the Company's interim fiscal year 2028, on a prospective basis, with early adoption permitted. The Company is currently evaluating the impact of the adoption on its consolidated financial statements.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"Intangibles - Goodwill and Other - Internal-Use Software"</w:t>
      </w:r>
      <w:r>
        <w:rPr>
          <w:rFonts w:ascii="Times New Roman" w:hAnsi="Times New Roman"/>
          <w:color w:val="000000"/>
          <w:sz w:val="20"/>
        </w:rPr>
        <w:t>, which will update the requirements around the capitalization and disclosure of internal-use software. This ASU will be effective beginning with the Company's interim fiscal year 2029, with early adoption permitted and to be applied either prospectively, retroactively or a modified transition approach. The Company is currently evaluating the impact of the adoption on its consolidated financial statements.</w:t>
      </w:r>
    </w:p>
    <w:p>
      <w:pPr>
        <w:pStyle w:val="TextBody"/>
        <w:bidi w:val="0"/>
        <w:spacing w:before="200" w:after="283"/>
        <w:jc w:val="both"/>
        <w:rPr>
          <w:rFonts w:ascii="Times New Roman" w:hAnsi="Times New Roman"/>
          <w:sz w:val="20"/>
        </w:rPr>
      </w:pPr>
      <w:r>
        <w:rPr>
          <w:rFonts w:ascii="Times New Roman" w:hAnsi="Times New Roman"/>
          <w:color w:val="000000"/>
          <w:sz w:val="20"/>
        </w:rPr>
        <w:t>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This ASU allows entities to apply a practical expedient when estimating expected credit losses for current accounts receivable and current contract assets. This ASU will</w:t>
      </w:r>
      <w:r>
        <w:rPr>
          <w:rFonts w:ascii="Times New Roman" w:hAnsi="Times New Roman"/>
          <w:color w:val="000000"/>
          <w:sz w:val="20"/>
          <w:u w:val="single"/>
        </w:rPr>
        <w:t xml:space="preserve"> </w:t>
      </w:r>
      <w:r>
        <w:rPr>
          <w:rFonts w:ascii="Times New Roman" w:hAnsi="Times New Roman"/>
          <w:color w:val="000000"/>
          <w:sz w:val="20"/>
        </w:rPr>
        <w:t>be effective beginning with the Company's interim fiscal year 2027 with early adoption permitted, and should be applied prospectively. The Company does not expect that the adoption of this standard will have a significant impact on its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AMDOCS LIMITED</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(dollar and share amounts in thousands, except per share data or as otherwise disclosed)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xml:space="preserve"> to disclose in the notes of the financial statements additional information about specific expense categories. This ASU will be effective for the Company's annual report for fiscal year 2028 and for interim period reporting beginning in fiscal year 2029, with early adoption permitted and should be applied either prospectively or retroactively. The Company is currently evaluating the impact of the adoption on its consolidated financial statements.</w:t>
      </w:r>
    </w:p>
    <w:p>
      <w:pPr>
        <w:pStyle w:val="TextBody"/>
        <w:bidi w:val="0"/>
        <w:spacing w:before="200" w:after="283"/>
        <w:jc w:val="both"/>
        <w:rPr>
          <w:rFonts w:ascii="Times New Roman" w:hAnsi="Times New Roman"/>
          <w:sz w:val="20"/>
        </w:rPr>
      </w:pPr>
      <w:r>
        <w:rPr>
          <w:rFonts w:ascii="Times New Roman" w:hAnsi="Times New Roman"/>
          <w:color w:val="000000"/>
          <w:sz w:val="20"/>
        </w:rPr>
        <w:t>In December 2023, the FASB issued ASU No. 2023-09, “</w:t>
      </w:r>
      <w:r>
        <w:rPr>
          <w:rFonts w:ascii="Times New Roman" w:hAnsi="Times New Roman"/>
          <w:i/>
          <w:color w:val="000000"/>
          <w:sz w:val="20"/>
        </w:rPr>
        <w:t>Improvements to Income Tax Disclosures”,</w:t>
      </w:r>
      <w:r>
        <w:rPr>
          <w:rFonts w:ascii="Times New Roman" w:hAnsi="Times New Roman"/>
          <w:color w:val="000000"/>
          <w:sz w:val="20"/>
        </w:rPr>
        <w:t xml:space="preserve"> which requires disclosure of disaggregated income taxes paid, prescribes standard categories for the components of the effective tax rate reconciliation, and modifies other income tax-related disclosures. This ASU will be effective for the Company's annual report for fiscal year 2026 and allows adoption on a prospective basis, with a retrospective option. This ASU will only have an impact on the Company's income tax disclosures.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Acquisitions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nine months ended June 30, 2026, the Company completed two business acquisitions for an aggregate net consideration of approximately $217,000 in cash. The majority of this amount was paid for the acquisition of Matrixx Software, a privately owned company specializing in Charging &amp; Rating solutions for global communication service providers. These acquisitions, individually and in the aggregate, were not material in the results of the period presented. In allocating the total consideration based on the preliminary estimated fair values for Matrixx Software, the Company recorded $74,544 of goodwill, $80,009 of customer relationships to be amortized over approximately six years, $24,696 of core technology to be amortized over approximately seven years, and $1,276 of trademark to be amortized over approximately one year.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nine months ended June 30, 2025, the Company completed three business acquisitions for an aggregate net consideration of approximately $59,000 in cash, and a potential for additional consideration which may be paid later based on achievement of certain performance metrics. The majority of this amount was paid for the acquisition of Profinit, a data science and engineering company. These acquisitions, individually and in the aggregate, were not material in the period presented. In allocating the total consideration based on the preliminary estimated fair values for Profinit, the Company recorded $29,165 of goodwill, and $19,324 of customer relationships to be amortized over approximately five years.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Revenue </w:t>
      </w:r>
    </w:p>
    <w:p>
      <w:pPr>
        <w:pStyle w:val="TextBody"/>
        <w:bidi w:val="0"/>
        <w:spacing w:before="200" w:after="283"/>
        <w:jc w:val="both"/>
        <w:rPr>
          <w:rFonts w:ascii="Times New Roman" w:hAnsi="Times New Roman"/>
          <w:sz w:val="20"/>
        </w:rPr>
      </w:pPr>
      <w:r>
        <w:rPr>
          <w:rFonts w:ascii="Times New Roman" w:hAnsi="Times New Roman"/>
          <w:b/>
          <w:color w:val="000000"/>
          <w:sz w:val="20"/>
        </w:rPr>
        <w:t>Contract Balances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provides information about accounts receivable, both billed and unbilled and deferred revenue: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380"/>
        <w:gridCol w:w="146"/>
        <w:gridCol w:w="211"/>
        <w:gridCol w:w="841"/>
        <w:gridCol w:w="166"/>
        <w:gridCol w:w="146"/>
        <w:gridCol w:w="220"/>
        <w:gridCol w:w="882"/>
        <w:gridCol w:w="213"/>
      </w:tblGrid>
      <w:tr>
        <w:trPr/>
        <w:tc>
          <w:tcPr>
            <w:tcW w:w="7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billed (net of allowance for credit losses of $42,355 and $26,169 as of June 30, 2026 and September 30,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589,781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unbilled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345,970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unbilled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104,200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Accounts receivable - unbilled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450,170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(118,861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Revenue recognized during the three and nine months ended June 30, 2026, which was included in deferred revenue (current) as of September 30, 2025 was $11,846 and $106,343. Revenue recognized during the three and nine months ended June 30, 2025, which was included in deferred revenue (current) as of September 30, 2024 was $5,146 and $89,900,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June 30, 2026, the aggregate amount of the transaction price allocated to remaining performance obligations that are unsatisfied or partially unsatisfied was approximately $6.6 billion. Remaining performance obligations include the remaining non-cancelable, committed and fixed portion of these contracts for their entire duration and therefore it is not comparable to what the Company considers to be the next 12 months backlog. Given the profile of contract terms, the majority of this amount is expected to be recognized as revenue over the next two years. A portion of the Company’s revenue relates to projects recognized over time based on a percentage that incurred labor effort to date bears to total projected labor effort. These projects may be executed over periods longer than one year, in which the timing of recognition is subject to a certain level of uncertainty.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AMDOCS LIMITED</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(dollar and share amounts in thousands, except per share data or as otherwise disclosed)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Disaggregation of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considers information that is regularly reviewed by its chief operating decision maker in evaluating financial performance to disaggregate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provide details of revenue by nature of activities and by geography: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 by nature of activities</w:t>
      </w:r>
    </w:p>
    <w:p>
      <w:pPr>
        <w:pStyle w:val="TextBody"/>
        <w:bidi w:val="0"/>
        <w:jc w:val="both"/>
        <w:rPr/>
      </w:pPr>
      <w:r>
        <w:rPr/>
        <w:t> </w:t>
      </w:r>
    </w:p>
    <w:tbl>
      <w:tblPr>
        <w:tblW w:w="8482" w:type="dxa"/>
        <w:jc w:val="left"/>
        <w:tblInd w:w="0" w:type="dxa"/>
        <w:tblLayout w:type="fixed"/>
        <w:tblCellMar>
          <w:top w:w="28" w:type="dxa"/>
          <w:left w:w="28" w:type="dxa"/>
          <w:bottom w:w="28" w:type="dxa"/>
          <w:right w:w="28" w:type="dxa"/>
        </w:tblCellMar>
      </w:tblPr>
      <w:tblGrid>
        <w:gridCol w:w="2701"/>
        <w:gridCol w:w="146"/>
        <w:gridCol w:w="211"/>
        <w:gridCol w:w="931"/>
        <w:gridCol w:w="146"/>
        <w:gridCol w:w="146"/>
        <w:gridCol w:w="211"/>
        <w:gridCol w:w="931"/>
        <w:gridCol w:w="146"/>
        <w:gridCol w:w="146"/>
        <w:gridCol w:w="211"/>
        <w:gridCol w:w="931"/>
        <w:gridCol w:w="146"/>
        <w:gridCol w:w="146"/>
        <w:gridCol w:w="211"/>
        <w:gridCol w:w="93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services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2,247,450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1,207,671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1,135,245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1,174,895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3,502,813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3,382,695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Geographic Information</w:t>
      </w:r>
      <w:r>
        <w:rPr>
          <w:rFonts w:ascii="Times New Roman" w:hAnsi="Times New Roman"/>
          <w:color w:val="000000"/>
          <w:sz w:val="20"/>
        </w:rPr>
        <w:t xml:space="preserve"> </w:t>
      </w:r>
    </w:p>
    <w:p>
      <w:pPr>
        <w:pStyle w:val="TextBody"/>
        <w:bidi w:val="0"/>
        <w:jc w:val="left"/>
        <w:rPr/>
      </w:pPr>
      <w:r>
        <w:rPr/>
        <w:t> </w:t>
      </w:r>
    </w:p>
    <w:tbl>
      <w:tblPr>
        <w:tblW w:w="8947" w:type="dxa"/>
        <w:jc w:val="left"/>
        <w:tblInd w:w="0" w:type="dxa"/>
        <w:tblLayout w:type="fixed"/>
        <w:tblCellMar>
          <w:top w:w="28" w:type="dxa"/>
          <w:left w:w="28" w:type="dxa"/>
          <w:bottom w:w="28" w:type="dxa"/>
          <w:right w:w="28" w:type="dxa"/>
        </w:tblCellMar>
      </w:tblPr>
      <w:tblGrid>
        <w:gridCol w:w="3166"/>
        <w:gridCol w:w="146"/>
        <w:gridCol w:w="211"/>
        <w:gridCol w:w="931"/>
        <w:gridCol w:w="146"/>
        <w:gridCol w:w="146"/>
        <w:gridCol w:w="211"/>
        <w:gridCol w:w="931"/>
        <w:gridCol w:w="146"/>
        <w:gridCol w:w="146"/>
        <w:gridCol w:w="211"/>
        <w:gridCol w:w="931"/>
        <w:gridCol w:w="146"/>
        <w:gridCol w:w="146"/>
        <w:gridCol w:w="211"/>
        <w:gridCol w:w="93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 (mainly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2,221,180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the world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1,174,895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3,502,813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3,382,695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 xml:space="preserve">Fair Value Measurement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three levels of inputs that may be used to measure fair value are as follows: </w:t>
      </w:r>
    </w:p>
    <w:p>
      <w:pPr>
        <w:pStyle w:val="TextBody"/>
        <w:bidi w:val="0"/>
        <w:spacing w:before="60" w:after="283"/>
        <w:jc w:val="both"/>
        <w:rPr>
          <w:rFonts w:ascii="Times New Roman" w:hAnsi="Times New Roman"/>
          <w:sz w:val="20"/>
        </w:rPr>
      </w:pPr>
      <w:r>
        <w:rPr>
          <w:rFonts w:ascii="Times New Roman" w:hAnsi="Times New Roman"/>
          <w:i/>
          <w:color w:val="000000"/>
          <w:sz w:val="20"/>
        </w:rPr>
        <w:t xml:space="preserve">Level 1: </w:t>
      </w:r>
      <w:r>
        <w:rPr>
          <w:rFonts w:ascii="Times New Roman" w:hAnsi="Times New Roman"/>
          <w:color w:val="000000"/>
          <w:sz w:val="20"/>
        </w:rPr>
        <w:t xml:space="preserve">Quoted prices in active markets for identical assets or liabilities; </w:t>
      </w:r>
    </w:p>
    <w:p>
      <w:pPr>
        <w:pStyle w:val="TextBody"/>
        <w:bidi w:val="0"/>
        <w:spacing w:before="60" w:after="283"/>
        <w:jc w:val="both"/>
        <w:rPr>
          <w:rFonts w:ascii="Times New Roman" w:hAnsi="Times New Roman"/>
          <w:sz w:val="20"/>
        </w:rPr>
      </w:pPr>
      <w:r>
        <w:rPr>
          <w:rFonts w:ascii="Times New Roman" w:hAnsi="Times New Roman"/>
          <w:i/>
          <w:color w:val="000000"/>
          <w:sz w:val="20"/>
        </w:rPr>
        <w:t xml:space="preserve">Level 2: </w:t>
      </w:r>
      <w:r>
        <w:rPr>
          <w:rFonts w:ascii="Times New Roman" w:hAnsi="Times New Roman"/>
          <w:color w:val="000000"/>
          <w:sz w:val="20"/>
        </w:rPr>
        <w:t xml:space="preserve">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 </w:t>
      </w:r>
    </w:p>
    <w:p>
      <w:pPr>
        <w:pStyle w:val="TextBody"/>
        <w:bidi w:val="0"/>
        <w:spacing w:before="60" w:after="283"/>
        <w:jc w:val="both"/>
        <w:rPr>
          <w:rFonts w:ascii="Times New Roman" w:hAnsi="Times New Roman"/>
          <w:sz w:val="20"/>
        </w:rPr>
      </w:pPr>
      <w:r>
        <w:rPr>
          <w:rFonts w:ascii="Times New Roman" w:hAnsi="Times New Roman"/>
          <w:i/>
          <w:color w:val="000000"/>
          <w:sz w:val="20"/>
        </w:rPr>
        <w:t xml:space="preserve">Level 3: </w:t>
      </w:r>
      <w:r>
        <w:rPr>
          <w:rFonts w:ascii="Times New Roman" w:hAnsi="Times New Roman"/>
          <w:color w:val="000000"/>
          <w:sz w:val="20"/>
        </w:rPr>
        <w:t xml:space="preserve">Unobservable inputs that are supported by little or no market activity that is significant to the fair value of the assets or liabilities.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tables present the Company's assets and liabilities measured at fair value on a recurring basis as of June 30, 2026 and September 30, 2025: </w:t>
      </w:r>
    </w:p>
    <w:p>
      <w:pPr>
        <w:pStyle w:val="TextBody"/>
        <w:bidi w:val="0"/>
        <w:jc w:val="both"/>
        <w:rPr/>
      </w:pPr>
      <w:r>
        <w:rPr/>
        <w:t> </w:t>
      </w:r>
    </w:p>
    <w:tbl>
      <w:tblPr>
        <w:tblW w:w="9107" w:type="dxa"/>
        <w:jc w:val="left"/>
        <w:tblInd w:w="0" w:type="dxa"/>
        <w:tblLayout w:type="fixed"/>
        <w:tblCellMar>
          <w:top w:w="28" w:type="dxa"/>
          <w:left w:w="28" w:type="dxa"/>
          <w:bottom w:w="28" w:type="dxa"/>
          <w:right w:w="28" w:type="dxa"/>
        </w:tblCellMar>
      </w:tblPr>
      <w:tblGrid>
        <w:gridCol w:w="4186"/>
        <w:gridCol w:w="146"/>
        <w:gridCol w:w="211"/>
        <w:gridCol w:w="676"/>
        <w:gridCol w:w="146"/>
        <w:gridCol w:w="146"/>
        <w:gridCol w:w="211"/>
        <w:gridCol w:w="676"/>
        <w:gridCol w:w="146"/>
        <w:gridCol w:w="146"/>
        <w:gridCol w:w="211"/>
        <w:gridCol w:w="736"/>
        <w:gridCol w:w="166"/>
        <w:gridCol w:w="146"/>
        <w:gridCol w:w="211"/>
        <w:gridCol w:w="736"/>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 - 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AMDOCS LIMITED</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(dollar and share amounts in thousands, except per share data or as otherwise disclosed)</w:t>
      </w:r>
    </w:p>
    <w:p>
      <w:pPr>
        <w:pStyle w:val="TextBody"/>
        <w:bidi w:val="0"/>
        <w:jc w:val="both"/>
        <w:rPr/>
      </w:pPr>
      <w:r>
        <w:rPr/>
        <w:t> </w:t>
      </w:r>
    </w:p>
    <w:tbl>
      <w:tblPr>
        <w:tblW w:w="9257" w:type="dxa"/>
        <w:jc w:val="left"/>
        <w:tblInd w:w="0" w:type="dxa"/>
        <w:tblLayout w:type="fixed"/>
        <w:tblCellMar>
          <w:top w:w="28" w:type="dxa"/>
          <w:left w:w="28" w:type="dxa"/>
          <w:bottom w:w="28" w:type="dxa"/>
          <w:right w:w="28" w:type="dxa"/>
        </w:tblCellMar>
      </w:tblPr>
      <w:tblGrid>
        <w:gridCol w:w="4186"/>
        <w:gridCol w:w="146"/>
        <w:gridCol w:w="211"/>
        <w:gridCol w:w="781"/>
        <w:gridCol w:w="146"/>
        <w:gridCol w:w="146"/>
        <w:gridCol w:w="211"/>
        <w:gridCol w:w="676"/>
        <w:gridCol w:w="146"/>
        <w:gridCol w:w="146"/>
        <w:gridCol w:w="211"/>
        <w:gridCol w:w="736"/>
        <w:gridCol w:w="166"/>
        <w:gridCol w:w="146"/>
        <w:gridCol w:w="211"/>
        <w:gridCol w:w="781"/>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 - 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nine months ended June 30, 2026. Level 3 liabilities relate to certain acquisition-related liabilities, which were generally valued using a Monte-Carlo simulation model and based on estimates of potential pay-out scenarios, valued every quarter. These liabilities were included in accrued expenses and other current liabilities as of June 30, 2026 and September 30, 2025 and in other noncurrent liabilities as of September 30, 2025. The decrease in Level 3 liabilities was primarily attributable to payments of certain acquisition-related liabilities, changes in the fair value recorded in the consolidated statement of income during the three and nine months ended June 30, 2026, which were partially offset by new acquisition-related liabilities recorded against goodwill in connection with recent acquisition. The decrease in Level 3 assets is primarily due to sales of equity investments, partially offset by net positive changes in fair value recorded in the consolidated statement of income for the three and nine months ended June 30, 2026.</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carrying amounts of cash and cash equivalents, accounts receivable, accounts payable, accrued expenses and other current liabilities, accrued personnel costs, short-term financing arrangements, approximate their fair value because of the relatively short maturity of these items, for the fair value of the Senior Notes, see Note 13.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Available-For-Sale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Available-for-sale securities consist of the following interest-bearing investments: </w:t>
      </w:r>
    </w:p>
    <w:p>
      <w:pPr>
        <w:pStyle w:val="TextBody"/>
        <w:bidi w:val="0"/>
        <w:jc w:val="both"/>
        <w:rPr/>
      </w:pPr>
      <w:r>
        <w:rPr/>
        <w:t> </w:t>
      </w:r>
    </w:p>
    <w:tbl>
      <w:tblPr>
        <w:tblW w:w="6785" w:type="dxa"/>
        <w:jc w:val="left"/>
        <w:tblInd w:w="0" w:type="dxa"/>
        <w:tblLayout w:type="fixed"/>
        <w:tblCellMar>
          <w:top w:w="28" w:type="dxa"/>
          <w:left w:w="28" w:type="dxa"/>
          <w:bottom w:w="28" w:type="dxa"/>
          <w:right w:w="28" w:type="dxa"/>
        </w:tblCellMar>
      </w:tblPr>
      <w:tblGrid>
        <w:gridCol w:w="2026"/>
        <w:gridCol w:w="146"/>
        <w:gridCol w:w="211"/>
        <w:gridCol w:w="676"/>
        <w:gridCol w:w="146"/>
        <w:gridCol w:w="146"/>
        <w:gridCol w:w="335"/>
        <w:gridCol w:w="551"/>
        <w:gridCol w:w="146"/>
        <w:gridCol w:w="146"/>
        <w:gridCol w:w="335"/>
        <w:gridCol w:w="551"/>
        <w:gridCol w:w="146"/>
        <w:gridCol w:w="146"/>
        <w:gridCol w:w="211"/>
        <w:gridCol w:w="676"/>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040" w:type="dxa"/>
        <w:jc w:val="left"/>
        <w:tblInd w:w="0" w:type="dxa"/>
        <w:tblLayout w:type="fixed"/>
        <w:tblCellMar>
          <w:top w:w="28" w:type="dxa"/>
          <w:left w:w="28" w:type="dxa"/>
          <w:bottom w:w="28" w:type="dxa"/>
          <w:right w:w="28" w:type="dxa"/>
        </w:tblCellMar>
      </w:tblPr>
      <w:tblGrid>
        <w:gridCol w:w="2071"/>
        <w:gridCol w:w="146"/>
        <w:gridCol w:w="211"/>
        <w:gridCol w:w="781"/>
        <w:gridCol w:w="146"/>
        <w:gridCol w:w="146"/>
        <w:gridCol w:w="335"/>
        <w:gridCol w:w="551"/>
        <w:gridCol w:w="146"/>
        <w:gridCol w:w="146"/>
        <w:gridCol w:w="335"/>
        <w:gridCol w:w="551"/>
        <w:gridCol w:w="146"/>
        <w:gridCol w:w="146"/>
        <w:gridCol w:w="211"/>
        <w:gridCol w:w="78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and September 30, 2025, all the securities were classified as cash and cash equivalents.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did not recognize any credit losses based on its assessment during the three and nine months ended June 30, 2026 and 2025. Realized gains and losses on short-term interest-bearing investments are included in earnings and are determined based on specific identification method.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June 30, 2026, the Company’s available-for-sale securities had the following maturity dates: </w:t>
      </w:r>
    </w:p>
    <w:p>
      <w:pPr>
        <w:pStyle w:val="TextBody"/>
        <w:bidi w:val="0"/>
        <w:jc w:val="left"/>
        <w:rPr/>
      </w:pPr>
      <w:r>
        <w:rPr/>
        <w:t> </w:t>
      </w:r>
    </w:p>
    <w:tbl>
      <w:tblPr>
        <w:tblW w:w="3203" w:type="dxa"/>
        <w:jc w:val="left"/>
        <w:tblInd w:w="0" w:type="dxa"/>
        <w:tblLayout w:type="fixed"/>
        <w:tblCellMar>
          <w:top w:w="28" w:type="dxa"/>
          <w:left w:w="28" w:type="dxa"/>
          <w:bottom w:w="28" w:type="dxa"/>
          <w:right w:w="28" w:type="dxa"/>
        </w:tblCellMar>
      </w:tblPr>
      <w:tblGrid>
        <w:gridCol w:w="1756"/>
        <w:gridCol w:w="146"/>
        <w:gridCol w:w="264"/>
        <w:gridCol w:w="846"/>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w:t>
      </w:r>
    </w:p>
    <w:p>
      <w:pPr>
        <w:pStyle w:val="TextBody"/>
        <w:bidi w:val="0"/>
        <w:jc w:val="both"/>
        <w:rPr>
          <w:rFonts w:ascii="Times New Roman" w:hAnsi="Times New Roman"/>
          <w:b/>
          <w:color w:val="000000"/>
          <w:sz w:val="20"/>
        </w:rPr>
      </w:pPr>
      <w:r>
        <w:rPr>
          <w:rFonts w:ascii="Times New Roman" w:hAnsi="Times New Roman"/>
          <w:b/>
          <w:color w:val="000000"/>
          <w:sz w:val="20"/>
        </w:rPr>
        <w:t>Derivative Financial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risk management strategy includes the use of derivative financial instruments to reduce the volatility of earnings and cash flows associated with changes in foreign currency exchange rates. The Company does not enter into derivative transactions for trading purposes.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AMDOCS LIMITED</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(dollar and share amounts in thousands, except per share data or as otherwise disclosed)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$20,613 as of June 30, 2026. The Company has limited its credit risk by entering into derivative transactions exclusively with investment-grade rated financial institutions and monitors the creditworthiness of these financial institutions on an ongoing basis.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classifies cash flows from its derivative transactions as cash flows from operating activities in the consolidated statements of cash flows.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table below presents the total volume or notional amounts of the Company’s derivative instruments as of June 30, 2026. Notional values are in U.S. dollars and are translated and calculated based on forward rates as of June 30, 2026 for forward contracts.</w:t>
      </w:r>
    </w:p>
    <w:p>
      <w:pPr>
        <w:pStyle w:val="TextBody"/>
        <w:bidi w:val="0"/>
        <w:jc w:val="left"/>
        <w:rPr/>
      </w:pPr>
      <w:r>
        <w:rPr/>
        <w:t> </w:t>
      </w:r>
    </w:p>
    <w:tbl>
      <w:tblPr>
        <w:tblW w:w="3983" w:type="dxa"/>
        <w:jc w:val="left"/>
        <w:tblInd w:w="0" w:type="dxa"/>
        <w:tblLayout w:type="fixed"/>
        <w:tblCellMar>
          <w:top w:w="28" w:type="dxa"/>
          <w:left w:w="28" w:type="dxa"/>
          <w:bottom w:w="28" w:type="dxa"/>
          <w:right w:w="28" w:type="dxa"/>
        </w:tblCellMar>
      </w:tblPr>
      <w:tblGrid>
        <w:gridCol w:w="2356"/>
        <w:gridCol w:w="146"/>
        <w:gridCol w:w="238"/>
        <w:gridCol w:w="1052"/>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1,360,376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Gross notional amounts do not quantify risk or represent assets or liabilities of the Company but are used in the calculation of settlements under the contracts.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records all derivative instruments on the consolidated balance sheets at fair value. For further information, please see Note 5 to the consolidated financial statements. The fair value of the open foreign exchange contracts recorded as an asset or a liability by the Company on its consolidated balance sheets as of June 30, 2026 and September 30, 2025, is as follows: </w:t>
      </w:r>
    </w:p>
    <w:p>
      <w:pPr>
        <w:pStyle w:val="TextBody"/>
        <w:bidi w:val="0"/>
        <w:jc w:val="left"/>
        <w:rPr/>
      </w:pPr>
      <w:r>
        <w:rPr/>
        <w:t> </w:t>
      </w:r>
    </w:p>
    <w:tbl>
      <w:tblPr>
        <w:tblW w:w="7217" w:type="dxa"/>
        <w:jc w:val="left"/>
        <w:tblInd w:w="0" w:type="dxa"/>
        <w:tblLayout w:type="fixed"/>
        <w:tblCellMar>
          <w:top w:w="28" w:type="dxa"/>
          <w:left w:w="28" w:type="dxa"/>
          <w:bottom w:w="28" w:type="dxa"/>
          <w:right w:w="28" w:type="dxa"/>
        </w:tblCellMar>
      </w:tblPr>
      <w:tblGrid>
        <w:gridCol w:w="4261"/>
        <w:gridCol w:w="146"/>
        <w:gridCol w:w="211"/>
        <w:gridCol w:w="736"/>
        <w:gridCol w:w="166"/>
        <w:gridCol w:w="146"/>
        <w:gridCol w:w="271"/>
        <w:gridCol w:w="869"/>
        <w:gridCol w:w="4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Derivatives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Derivatives not designated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 Hedges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hedges its exposure to the variability in future cash flows for a maximum period of approximately three years.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effective portion of the gain or loss on the derivative instruments is initially recorded as a component of other comprehensive income (loss), net,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is recognized immediately in interest and other expense, net.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AMDOCS LIMITED</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(dollar and share amounts in thousands, except per share data or as otherwise disclosed)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effect of the Company's cash flow hedging instruments in the consolidated statements of income for the three and nine months ended June 30, 2026 and 2025, respectively, which partially offsets the foreign currency impact from the underlying exposures, is summarized as follows:</w:t>
      </w:r>
    </w:p>
    <w:p>
      <w:pPr>
        <w:pStyle w:val="TextBody"/>
        <w:bidi w:val="0"/>
        <w:jc w:val="both"/>
        <w:rPr/>
      </w:pPr>
      <w:r>
        <w:rPr/>
        <w:t> </w:t>
      </w:r>
    </w:p>
    <w:tbl>
      <w:tblPr>
        <w:tblW w:w="9716" w:type="dxa"/>
        <w:jc w:val="left"/>
        <w:tblInd w:w="0" w:type="dxa"/>
        <w:tblLayout w:type="fixed"/>
        <w:tblCellMar>
          <w:top w:w="28" w:type="dxa"/>
          <w:left w:w="28" w:type="dxa"/>
          <w:bottom w:w="28" w:type="dxa"/>
          <w:right w:w="28" w:type="dxa"/>
        </w:tblCellMar>
      </w:tblPr>
      <w:tblGrid>
        <w:gridCol w:w="4021"/>
        <w:gridCol w:w="146"/>
        <w:gridCol w:w="255"/>
        <w:gridCol w:w="817"/>
        <w:gridCol w:w="176"/>
        <w:gridCol w:w="176"/>
        <w:gridCol w:w="255"/>
        <w:gridCol w:w="690"/>
        <w:gridCol w:w="200"/>
        <w:gridCol w:w="176"/>
        <w:gridCol w:w="255"/>
        <w:gridCol w:w="817"/>
        <w:gridCol w:w="200"/>
        <w:gridCol w:w="176"/>
        <w:gridCol w:w="255"/>
        <w:gridCol w:w="690"/>
        <w:gridCol w:w="41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3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(Losses) Reclassified from</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3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 (Loss) (Effective Portion)</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 item in consolidated statements of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9,145</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13,236</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31,971</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activity related to the changes in net unrealized gains on cash flow hedges recorded in accumulated other comprehensive income (loss), net of tax, is as follows: </w:t>
      </w:r>
    </w:p>
    <w:p>
      <w:pPr>
        <w:pStyle w:val="TextBody"/>
        <w:bidi w:val="0"/>
        <w:jc w:val="left"/>
        <w:rPr/>
      </w:pPr>
      <w:r>
        <w:rPr/>
        <w:t> </w:t>
      </w:r>
    </w:p>
    <w:tbl>
      <w:tblPr>
        <w:tblW w:w="8534" w:type="dxa"/>
        <w:jc w:val="left"/>
        <w:tblInd w:w="0" w:type="dxa"/>
        <w:tblLayout w:type="fixed"/>
        <w:tblCellMar>
          <w:top w:w="28" w:type="dxa"/>
          <w:left w:w="28" w:type="dxa"/>
          <w:bottom w:w="28" w:type="dxa"/>
          <w:right w:w="28" w:type="dxa"/>
        </w:tblCellMar>
      </w:tblPr>
      <w:tblGrid>
        <w:gridCol w:w="6031"/>
        <w:gridCol w:w="146"/>
        <w:gridCol w:w="211"/>
        <w:gridCol w:w="736"/>
        <w:gridCol w:w="166"/>
        <w:gridCol w:w="146"/>
        <w:gridCol w:w="211"/>
        <w:gridCol w:w="676"/>
        <w:gridCol w:w="2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gains on cash flow hedges, net of tax,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cash flow hedges,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net (gains) losses into earnings,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gains on cash flow hedges, net of tax,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gains from cash flow hedges recognized in other comprehensive income (loss) were $9,548 and $36,739, or $7,883 and $34,024 net of taxes, during the nine months ended June 30, 2026 and 2025,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Of the net unrealized gains related to derivatives designated as cash flow hedges and recorded in accumulated other comprehensive income (loss) as of June 30, 2026, a net gain of $3,722 will be reclassified into earnings within the next 12 months and will partially offset the foreign currency impact from the underlying exposures. The amount ultimately realized in earnings will likely differ due to future changes in foreign exchange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ineffective portion of the change in fair value of a cash flow hedge, including the time value portion excluded from effectiveness testing for the three and nine months ended June 30, 2026 and 2025, was not material.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Risk Management Derivatives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instruments are generally short-term in nature, with typical maturities of less than 12 months, and are subject to fluctuations in foreign exchange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effect of the Company's derivative instruments not designated as hedging instruments in the consolidated statements of income for the three and nine months ended June 30, 2026 and 2025, respectively, which partially offsets the foreign currency impact from the underlying exposure, is summarized as follows:</w:t>
      </w:r>
    </w:p>
    <w:p>
      <w:pPr>
        <w:pStyle w:val="TextBody"/>
        <w:bidi w:val="0"/>
        <w:jc w:val="both"/>
        <w:rPr/>
      </w:pPr>
      <w:r>
        <w:rPr/>
        <w:t> </w:t>
      </w:r>
    </w:p>
    <w:tbl>
      <w:tblPr>
        <w:tblW w:w="9234" w:type="dxa"/>
        <w:jc w:val="left"/>
        <w:tblInd w:w="0" w:type="dxa"/>
        <w:tblLayout w:type="fixed"/>
        <w:tblCellMar>
          <w:top w:w="28" w:type="dxa"/>
          <w:left w:w="28" w:type="dxa"/>
          <w:bottom w:w="28" w:type="dxa"/>
          <w:right w:w="28" w:type="dxa"/>
        </w:tblCellMar>
      </w:tblPr>
      <w:tblGrid>
        <w:gridCol w:w="4021"/>
        <w:gridCol w:w="146"/>
        <w:gridCol w:w="229"/>
        <w:gridCol w:w="621"/>
        <w:gridCol w:w="180"/>
        <w:gridCol w:w="158"/>
        <w:gridCol w:w="229"/>
        <w:gridCol w:w="800"/>
        <w:gridCol w:w="166"/>
        <w:gridCol w:w="146"/>
        <w:gridCol w:w="222"/>
        <w:gridCol w:w="712"/>
        <w:gridCol w:w="153"/>
        <w:gridCol w:w="153"/>
        <w:gridCol w:w="222"/>
        <w:gridCol w:w="665"/>
        <w:gridCol w:w="41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(Losses) Recognized in Income</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 item in consolidated statements of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10,213</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AMDOCS LIMITED</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(dollar and share amounts in thousands, except per share data or as otherwise disclosed)</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w:t>
      </w:r>
    </w:p>
    <w:p>
      <w:pPr>
        <w:pStyle w:val="TextBody"/>
        <w:bidi w:val="0"/>
        <w:jc w:val="both"/>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Accrued expenses and other current liabilities consist of the following: </w:t>
      </w:r>
    </w:p>
    <w:p>
      <w:pPr>
        <w:pStyle w:val="TextBody"/>
        <w:bidi w:val="0"/>
        <w:jc w:val="both"/>
        <w:rPr/>
      </w:pPr>
      <w:r>
        <w:rPr/>
        <w:t> </w:t>
      </w:r>
    </w:p>
    <w:tbl>
      <w:tblPr>
        <w:tblW w:w="6587" w:type="dxa"/>
        <w:jc w:val="left"/>
        <w:tblInd w:w="0" w:type="dxa"/>
        <w:tblLayout w:type="fixed"/>
        <w:tblCellMar>
          <w:top w:w="28" w:type="dxa"/>
          <w:left w:w="28" w:type="dxa"/>
          <w:bottom w:w="28" w:type="dxa"/>
          <w:right w:w="28" w:type="dxa"/>
        </w:tblCellMar>
      </w:tblPr>
      <w:tblGrid>
        <w:gridCol w:w="3826"/>
        <w:gridCol w:w="146"/>
        <w:gridCol w:w="211"/>
        <w:gridCol w:w="781"/>
        <w:gridCol w:w="146"/>
        <w:gridCol w:w="146"/>
        <w:gridCol w:w="242"/>
        <w:gridCol w:w="898"/>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Ongoing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Project-related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payable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651,761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For further details, please see Note 10 to the consolidated financial statements.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Restructuring charges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 to the Company’s restructuring activities in recent years, the Company has undertaken certain additional restructuring actions to focus on operational excellence, automation and the internal deployment of generative AI based tools across its operations. Total restructuring expenses recognized in fiscal years 2024 and 2025 were $131,088 and $80,539, respectively. During the three and nine months ended June 30, 2026, the Company incurred restructuring charges of $106,424 and $128,130, respectively. The Company expects to pay the outstanding restructuring related liability during the coming several quarters and continues to evaluate further operational efficiencies.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restructuring activities as of June 30, 2026 were as follows (*):</w:t>
      </w:r>
    </w:p>
    <w:p>
      <w:pPr>
        <w:pStyle w:val="TextBody"/>
        <w:bidi w:val="0"/>
        <w:jc w:val="left"/>
        <w:rPr/>
      </w:pPr>
      <w:r>
        <w:rPr/>
        <w:t> </w:t>
      </w:r>
    </w:p>
    <w:tbl>
      <w:tblPr>
        <w:tblW w:w="7331" w:type="dxa"/>
        <w:jc w:val="left"/>
        <w:tblInd w:w="0" w:type="dxa"/>
        <w:tblLayout w:type="fixed"/>
        <w:tblCellMar>
          <w:top w:w="28" w:type="dxa"/>
          <w:left w:w="28" w:type="dxa"/>
          <w:bottom w:w="28" w:type="dxa"/>
          <w:right w:w="28" w:type="dxa"/>
        </w:tblCellMar>
      </w:tblPr>
      <w:tblGrid>
        <w:gridCol w:w="2881"/>
        <w:gridCol w:w="146"/>
        <w:gridCol w:w="211"/>
        <w:gridCol w:w="781"/>
        <w:gridCol w:w="166"/>
        <w:gridCol w:w="146"/>
        <w:gridCol w:w="372"/>
        <w:gridCol w:w="1113"/>
        <w:gridCol w:w="166"/>
        <w:gridCol w:w="146"/>
        <w:gridCol w:w="211"/>
        <w:gridCol w:w="781"/>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Workforce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Premises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as of October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The table above does not include amounts related to employees' benefit incurred in prior periods.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provision for income taxes for the following periods consisted of: </w:t>
      </w:r>
    </w:p>
    <w:p>
      <w:pPr>
        <w:pStyle w:val="TextBody"/>
        <w:bidi w:val="0"/>
        <w:jc w:val="both"/>
        <w:rPr/>
      </w:pPr>
      <w:r>
        <w:rPr/>
        <w:t> </w:t>
      </w:r>
    </w:p>
    <w:tbl>
      <w:tblPr>
        <w:tblW w:w="6309" w:type="dxa"/>
        <w:jc w:val="left"/>
        <w:tblInd w:w="0" w:type="dxa"/>
        <w:tblLayout w:type="fixed"/>
        <w:tblCellMar>
          <w:top w:w="28" w:type="dxa"/>
          <w:left w:w="28" w:type="dxa"/>
          <w:bottom w:w="28" w:type="dxa"/>
          <w:right w:w="28" w:type="dxa"/>
        </w:tblCellMar>
      </w:tblPr>
      <w:tblGrid>
        <w:gridCol w:w="1186"/>
        <w:gridCol w:w="146"/>
        <w:gridCol w:w="218"/>
        <w:gridCol w:w="761"/>
        <w:gridCol w:w="171"/>
        <w:gridCol w:w="151"/>
        <w:gridCol w:w="218"/>
        <w:gridCol w:w="699"/>
        <w:gridCol w:w="146"/>
        <w:gridCol w:w="146"/>
        <w:gridCol w:w="211"/>
        <w:gridCol w:w="781"/>
        <w:gridCol w:w="146"/>
        <w:gridCol w:w="146"/>
        <w:gridCol w:w="211"/>
        <w:gridCol w:w="781"/>
        <w:gridCol w:w="19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27,263</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AMDOCS LIMITED</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(dollar and share amounts in thousands, except per share data or as otherwise disclosed)</w:t>
      </w:r>
    </w:p>
    <w:p>
      <w:pPr>
        <w:pStyle w:val="TextBody"/>
        <w:bidi w:val="0"/>
        <w:jc w:val="both"/>
        <w:rPr>
          <w:rFonts w:ascii="Times New Roman" w:hAnsi="Times New Roman"/>
          <w:color w:val="000000"/>
          <w:sz w:val="20"/>
        </w:rPr>
      </w:pPr>
      <w:r>
        <w:rPr>
          <w:rFonts w:ascii="Times New Roman" w:hAnsi="Times New Roman"/>
          <w:color w:val="000000"/>
          <w:sz w:val="20"/>
        </w:rPr>
        <w:t>The Company's effective income tax rate varied from the statutory Guernsey tax rate as follows for the following periods:</w:t>
      </w:r>
    </w:p>
    <w:p>
      <w:pPr>
        <w:pStyle w:val="TextBody"/>
        <w:bidi w:val="0"/>
        <w:jc w:val="both"/>
        <w:rPr/>
      </w:pPr>
      <w:r>
        <w:rPr/>
        <w:t> </w:t>
      </w:r>
    </w:p>
    <w:tbl>
      <w:tblPr>
        <w:tblW w:w="6487" w:type="dxa"/>
        <w:jc w:val="left"/>
        <w:tblInd w:w="0" w:type="dxa"/>
        <w:tblLayout w:type="fixed"/>
        <w:tblCellMar>
          <w:top w:w="28" w:type="dxa"/>
          <w:left w:w="28" w:type="dxa"/>
          <w:bottom w:w="28" w:type="dxa"/>
          <w:right w:w="28" w:type="dxa"/>
        </w:tblCellMar>
      </w:tblPr>
      <w:tblGrid>
        <w:gridCol w:w="2326"/>
        <w:gridCol w:w="146"/>
        <w:gridCol w:w="146"/>
        <w:gridCol w:w="466"/>
        <w:gridCol w:w="271"/>
        <w:gridCol w:w="146"/>
        <w:gridCol w:w="146"/>
        <w:gridCol w:w="466"/>
        <w:gridCol w:w="271"/>
        <w:gridCol w:w="146"/>
        <w:gridCol w:w="146"/>
        <w:gridCol w:w="466"/>
        <w:gridCol w:w="271"/>
        <w:gridCol w:w="146"/>
        <w:gridCol w:w="146"/>
        <w:gridCol w:w="466"/>
        <w:gridCol w:w="31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Guernsey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Guernsey company subject to a corporate tax rate of zero percent, the Company's overall effective tax rate is attributable to foreign taxes. The change in rate is primarily driven by discrete items in the respective period presented as outlined below.</w:t>
      </w:r>
    </w:p>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(1)</w:t>
      </w:r>
    </w:p>
    <w:p>
      <w:pPr>
        <w:pStyle w:val="TextBody"/>
        <w:bidi w:val="0"/>
        <w:spacing w:before="40" w:after="283"/>
        <w:jc w:val="both"/>
        <w:rPr>
          <w:rFonts w:ascii="Times New Roman" w:hAnsi="Times New Roman"/>
          <w:b/>
          <w:i/>
          <w:color w:val="000000"/>
          <w:sz w:val="20"/>
          <w:u w:val="single"/>
        </w:rPr>
      </w:pPr>
      <w:r>
        <w:rPr>
          <w:rFonts w:ascii="Times New Roman" w:hAnsi="Times New Roman"/>
          <w:b/>
          <w:i/>
          <w:color w:val="000000"/>
          <w:sz w:val="20"/>
          <w:u w:val="single"/>
        </w:rPr>
        <w:t>Foreign taxes for the nine months ended June 30,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nine months ended June 30, 2026 , the Company recorded a tax benefit of $24,085 primarily related to release of gross unrecognized tax benefits due to a change in measurement of tax positions and expiration of the periods set forth in statutes of limitations in certain jurisdictions.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nine months ended June 30, 2026, the Company also recognized a tax benefit of $10,563 included in foreign taxes, primarily related to the amendment of certain tax returns.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(1)</w:t>
      </w:r>
    </w:p>
    <w:p>
      <w:pPr>
        <w:pStyle w:val="TextBody"/>
        <w:bidi w:val="0"/>
        <w:spacing w:before="200" w:after="283"/>
        <w:jc w:val="both"/>
        <w:rPr>
          <w:rFonts w:ascii="Times New Roman" w:hAnsi="Times New Roman"/>
          <w:b/>
          <w:i/>
          <w:color w:val="000000"/>
          <w:sz w:val="20"/>
          <w:u w:val="single"/>
        </w:rPr>
      </w:pPr>
      <w:r>
        <w:rPr>
          <w:rFonts w:ascii="Times New Roman" w:hAnsi="Times New Roman"/>
          <w:b/>
          <w:i/>
          <w:color w:val="000000"/>
          <w:sz w:val="20"/>
          <w:u w:val="single"/>
        </w:rPr>
        <w:t>Foreign taxes for the nine months ended June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nine months ended June 30, 2025, the Company recorded a tax benefit of $16,797 related to the release of prior periods accrued withholding taxes on unremitted earnings accumulated in a certain jurisdiction. The release of the accrued withholding taxes followed the Company’s funding decisions relating to investment allocation decision.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Foreign taxes in the nine months ended June 30, 2025 also included a benefit of $16,940 relating primarily to release of gross unrecognized tax benefits due to expiration of the periods set forth in statutes of limitations in certain jurisdictions, and settlements of tax audits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deferred tax assets of $65,144, derived primarily from tax credits, net capital and operating loss carry forwards related to some of the Company's subsidiaries, were offset by valuation allowances due to the uncertainty of realizing tax benefit for such credits and losses.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total amount of gross unrecognized tax benefits, was $176,892 as of June 30, 2026, all of which would affect the effective tax rate if realized. This amount includes an accrual of $43,143 in income taxes payable for interest and penalties relating to unrecognized tax benefits.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currently under tax audit in several jurisdictions for the tax years 2007 and onwards. Timing of the resolution of audits is highly uncertain and therefore, as of June 30, 2026, the Company cannot estimate the change in unrecognized tax benefits resulting from these audits within the next 12 months.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AMDOCS LIMITED</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(dollar and share amounts in thousands, except per share data or as otherwise disclosed)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Earnings Per Share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computation of basic and diluted earnings per share: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744"/>
        <w:gridCol w:w="146"/>
        <w:gridCol w:w="211"/>
        <w:gridCol w:w="781"/>
        <w:gridCol w:w="166"/>
        <w:gridCol w:w="146"/>
        <w:gridCol w:w="211"/>
        <w:gridCol w:w="781"/>
        <w:gridCol w:w="166"/>
        <w:gridCol w:w="146"/>
        <w:gridCol w:w="211"/>
        <w:gridCol w:w="781"/>
        <w:gridCol w:w="166"/>
        <w:gridCol w:w="146"/>
        <w:gridCol w:w="211"/>
        <w:gridCol w:w="781"/>
        <w:gridCol w:w="411"/>
      </w:tblGrid>
      <w:tr>
        <w:trPr/>
        <w:tc>
          <w:tcPr>
            <w:tcW w:w="4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Amdocs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and dividends attributable to participating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Numerator for 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Undistributed income allocated to participating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Undistributed income reallocated to participating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Numerator for diluted 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participating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dilutive equity-based compensation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110,292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per common share attributable to Amdocs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earnings per common share attributable to Amdocs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three and nine months ended June 30, 2026, 791 and 380 shares, respectively, on a weighted average basis, were attributable to antidilutive outstanding equity-based compensation awards. For the three and nine months ended June 30, 2025, 82 and 128, respectively, on a weighted average basis, were attributable to antidilutive outstanding stock options and restricted stock units. Shares attributable to antidilutive outstanding stock equity-based compensation awards were not included in the calculation of diluted earnings per share.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Repurchase of Shares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From time to time, the Company’s Board of Directors can adopt share repurchase plans authorizing the repurchase of the Company’s outstanding ordinary shares. On May 7, 2025, the Company’s Board of Directors adopted a share repurchase plan for the repurchase of up to an additional $1.0 billion of the Company’s outstanding ordinary shares with no expiration date. The May 2025 plan permits the Company to purchase our ordinary shares in the open market or through privately negotiated transactions at times and prices that the Company considers appropriate. </w:t>
      </w:r>
      <w:r>
        <w:rPr>
          <w:rFonts w:ascii="Times New Roman" w:hAnsi="Times New Roman"/>
          <w:color w:val="231F20"/>
          <w:sz w:val="20"/>
        </w:rPr>
        <w:t xml:space="preserve">During the nine months ended June 30, 2026, </w:t>
      </w:r>
      <w:r>
        <w:rPr>
          <w:rFonts w:ascii="Times New Roman" w:hAnsi="Times New Roman"/>
          <w:color w:val="000000"/>
          <w:sz w:val="20"/>
        </w:rPr>
        <w:t xml:space="preserve">the Company repurchased 6,164 ordinary shares at an average price of $69.28 per share (excluding broker and transaction fees). As of June 30, 2026, the Company had remaining authority to repurchase up to $559,415 of its outstanding ordinary shares under the May 2025 plan.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Financing Arrangements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December 2011, the Company entered into an unsecured $500,000 five-year revolving credit facility with a syndicate of banks (the “Revolving Credit Facility”). In December 2014, December 2017, March 2021 and July 2024, the Revolving Credit Facility was amended and restated to, among other things, extend the maturity date of the facility to December 2019, December 2022 March 2026 and July 2029, respectively. In March 2026 the Revolving Credit Facility was amended to increase the amount from $500,000 to an aggregate amount of $800,000. As of June 30, 2026, the Company was in compliance with the financial covenants and had $80,000 outstanding borrowing under the Revolving Credit Facility. In March 2026, the Company established a commercial paper program, supported by the Revolving Credit Facility under which it may issue unsecured commercial paper up to a total of $800,000 outstanding at any time, with maturities of up to 397 days from the date of issue. The net proceeds from the issuance of commercial paper are expected to be used for general corporate purposes. As of June 30, 2026, the Company had $200,000 outstanding borrowing amount under the commercial paper program. As a result, $520,000 remains available on the Revolving Credit Facility.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AMDOCS LIMITED</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(dollar and share amounts in thousands, except per share data or as otherwise disclosed)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total interest expense recognized in connection with the Senior Notes for the three and nine months ended June 30, 2026 were $4,276 and $12,808, respectively, and $4,272 and $12,796 for three and nine months ended June 30, 2025. The accrued interest on the Senior Notes is included in accrued expenses and other current liabilities and was $666 as of June 30, 2026. </w:t>
      </w:r>
      <w:r>
        <w:rPr>
          <w:rFonts w:ascii="Times New Roman" w:hAnsi="Times New Roman"/>
          <w:color w:val="231F20"/>
          <w:sz w:val="20"/>
        </w:rPr>
        <w:t>As of June 30, 2026, the noncurrent outstanding principal</w:t>
      </w:r>
      <w:r>
        <w:rPr>
          <w:rFonts w:ascii="Times New Roman" w:hAnsi="Times New Roman"/>
          <w:color w:val="000000"/>
          <w:sz w:val="20"/>
        </w:rPr>
        <w:t xml:space="preserve"> portion was $650,000.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total estimated fair value of the Senior Notes as of June 30, 2026 was $586,255. The fair value was determined based on observable data, such as quoted prices for similar liabilities in active markets of Senior Notes as of June 30, 2026 and is deemed a Level 2 liability within the fair value measurement framework.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additional uncommitted lines of credit available for general corporate and other specific purposes. As of June 30, 2026, the Company did not have any outstanding borrowing under the uncommitted line of credit. As of June 30, 2026, the Company had outstanding letters of credit and bank guarantees from various banks totaling $88,948, which were supported by a combination of the uncommitted lines of credit that we maintain with various banks.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Equity-based Compensation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Equity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January 1998, the Company adopted the 1998 Stock Option and Incentive Plan, or Equity Incentive Plan, which provides for the grant of restricted stock awards, restricted stock units and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February 2024, the maximum number of ordinary shares authorized to be granted under the Equity Incentive Plan was increased from 70,550 to 73,550. The amendment to the Equity Incentive Plan became effective upon the filing of a Form S-8 Registration Statement with the U.S. Securities and Exchange Commission in February 2024. Awards granted under the Equity Incentive Plan generally vest over a period of three to four years and are generally subject to service based conditions or a combination of service and performance-based conditions and stock options have a contractual term of primarily ten years. Also, in accordance with the Equity Incentive Plan, options were issued at or above the market price at the time of the grant.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nine months ended June 30, 2026, the Company granted 1,397 restricted stock and 308 restricted stock units. The weighted average fair values associated with these grants were $71.79 per restricted stock and $75.43 per restricted stock unit.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Employee Share Purchase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8, 2022, the Company’s Board of Directors adopted, subject to shareholder approval, the Amdocs Limited 2023 Employee Share Purchase Plan (the “ESPP”). The ESPP was subsequently approved by the Company’s shareholders at the annual general meeting of shareholders in January 2023. The approved number of shares that may be issued under the ESPP will not exceed in the aggregate 2,400 ordinary shares. Under its terms, the ESPP became effective upon the filing of a Form S-8 Registration Statement with the U.S. Securities and Exchange Commission. On February 13, 2023, the Company filed a registration statement on Form S-8 registering the offer and sale of 2,400 ordinary shares issuable under the ESPP. As of June 30, 2026, 1,617 ordinary shares have been issued since the commencement of the ESPP.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November 2025, the Company’s Board of Directors approved, subject to approval by the Company’s shareholders, an amendment to the ESPP. The ESPP was subsequently approved by the Company’s shareholders at the annual general meeting of shareholders in January 2026. The amendment to the ESPP will increase the maximum number of the Company’s ordinary shares that may be issued under the ESPP by 2,200 ordinary shares. Under its terms, the amendment to the ESPP became effective upon the filing of a Form S-8 Registration Statement with the U.S. Securities and Exchange Commission. On February 17, 2026, the Company filed a registration statement on Form S-8 registering the offer and sale of 2,200 ordinary shares issuable under the ESPP.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AMDOCS LIMITED</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(dollar and share amounts in thousands, except per share data or as otherwise disclosed)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ESPP, eligible employees have the right to purchase ordinary shares at the end of each purchase period based on their accumulated payroll deductions during the purchase period of a specified percentage of eligible compensation up to 10% (subject to a limitation to accrue the right to purchase ordinary shares up to twenty-five thousand dollars in any calendar year). Each purchase period lasts six months in duration, with purchases occurring in December and June. The purchase price per ordinary share will equal the lesser of 85% of the fair market value of our ordinary shares at either the beginning of the purchase period or the end of the purchase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nine months ended June 30, 2026, the Company issued 589 ordinary shares to employees under the ESPP at a weighted average price of $57.48 per share.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Equity-based Compensation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Equity-based payments to employees, including grants of employee stock options, restricted stock, restricted stock units and ESPP are recognized in the statements of income based on their fair values.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Employee equity-based compensation pre-tax expense for the three and nine months ended June 30, 2026 and 2025 was as follows:</w:t>
      </w:r>
    </w:p>
    <w:p>
      <w:pPr>
        <w:pStyle w:val="TextBody"/>
        <w:bidi w:val="0"/>
        <w:jc w:val="both"/>
        <w:rPr/>
      </w:pPr>
      <w:r>
        <w:rPr/>
        <w:t> </w:t>
      </w:r>
    </w:p>
    <w:tbl>
      <w:tblPr>
        <w:tblW w:w="7717"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11"/>
        <w:gridCol w:w="676"/>
        <w:gridCol w:w="146"/>
        <w:gridCol w:w="146"/>
        <w:gridCol w:w="211"/>
        <w:gridCol w:w="676"/>
        <w:gridCol w:w="146"/>
        <w:gridCol w:w="146"/>
        <w:gridCol w:w="211"/>
        <w:gridCol w:w="67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recognizes compensation costs for its equity incentive grants using the graded vesting attribution method. As of June 30, 2026, there was $89,408 of unrecognized compensation expense related to unvested stock options, unvested restricted stock and unvested restricted stock units which is expected to be recognized over a weighted average period of approximately one to two years, based on the vesting periods of the grants.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June 30, 2026, there was $4,025 of unrecognized compensation expense related to the ESPP which is expected to be recognized over the remaining purchase period.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Dividends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Board of Directors declared the following dividends during the nine months ended June 30, 2026 and 2025:</w:t>
      </w:r>
    </w:p>
    <w:p>
      <w:pPr>
        <w:pStyle w:val="TextBody"/>
        <w:bidi w:val="0"/>
        <w:jc w:val="left"/>
        <w:rPr/>
      </w:pPr>
      <w:r>
        <w:rPr/>
        <w:t> </w:t>
      </w:r>
    </w:p>
    <w:tbl>
      <w:tblPr>
        <w:tblW w:w="9264" w:type="dxa"/>
        <w:jc w:val="left"/>
        <w:tblInd w:w="0" w:type="dxa"/>
        <w:tblLayout w:type="fixed"/>
        <w:tblCellMar>
          <w:top w:w="28" w:type="dxa"/>
          <w:left w:w="28" w:type="dxa"/>
          <w:bottom w:w="28" w:type="dxa"/>
          <w:right w:w="28" w:type="dxa"/>
        </w:tblCellMar>
      </w:tblPr>
      <w:tblGrid>
        <w:gridCol w:w="1726"/>
        <w:gridCol w:w="146"/>
        <w:gridCol w:w="621"/>
        <w:gridCol w:w="1689"/>
        <w:gridCol w:w="146"/>
        <w:gridCol w:w="146"/>
        <w:gridCol w:w="1681"/>
        <w:gridCol w:w="146"/>
        <w:gridCol w:w="267"/>
        <w:gridCol w:w="858"/>
        <w:gridCol w:w="146"/>
        <w:gridCol w:w="146"/>
        <w:gridCol w:w="154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br/>
              <w:t>    Declaration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Dividends Per Ordinary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31, 2026</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24, 2026</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30, 2026</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25, 2025</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25, 2025</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31, 2025</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amounts payable as a result of the May 13, 2026 and May 7, 2025 declarations were included in accrued expenses and other current liabilities as of June 30, 2026 and 2025,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August 5, 2026 the Company’s Board of Directors approved the next quarterly dividend payment and set September 30, 2026 as the record date for determining the shareholders entitled to receive the dividend, which is payable on October 30,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AMDOCS LIMITED</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(dollar and share amounts in thousands, except per share data or as otherwise disclosed)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Segment Information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manages its operations as one operating segment, providing software products and services primarily for the communications and media industry service providers. The Company’s Chief Operating Decision Maker (“CODM”) is the Company’s Chief Executive Officer. The CODM evaluates the operating results of the Company on a consolidated net income basis. Refer to the consolidated statements of income. The financial information is used by the CODM for purposes of making operating decisions, allocating capital and resources, setting budgets, and assessing actual performance relative to these budgets and competitors’ information. The Company’s significant segment expenses, which are the expenses included in operating income, and other segment items, which include interest and other expense, net and income taxes, are included in the consolidated statements of income. Segment assets provided to the CODM include accounts receivable billed, current and non-current accounts receivable unbilled and current and non-current deferred revenue.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Contingencies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item_2_operating_and_financial_review"/>
      <w:bookmarkEnd w:id="9"/>
      <w:r>
        <w:rPr>
          <w:rFonts w:ascii="Times New Roman" w:hAnsi="Times New Roman"/>
          <w:b/>
          <w:color w:val="000000"/>
          <w:sz w:val="20"/>
        </w:rPr>
        <w:t>Item 2. Operating and Financial Review and Prospects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 </w:t>
      </w:r>
    </w:p>
    <w:p>
      <w:pPr>
        <w:pStyle w:val="TextBody"/>
        <w:bidi w:val="0"/>
        <w:spacing w:before="200" w:after="283"/>
        <w:jc w:val="both"/>
        <w:rPr>
          <w:rFonts w:ascii="Times New Roman" w:hAnsi="Times New Roman"/>
          <w:sz w:val="20"/>
        </w:rPr>
      </w:pPr>
      <w:r>
        <w:rPr>
          <w:rFonts w:ascii="Times New Roman" w:hAnsi="Times New Roman"/>
          <w:color w:val="000000"/>
          <w:sz w:val="20"/>
        </w:rPr>
        <w:t>Important factors that may affect these projections or expectations include, but are not limited to: the effects of general macro-economic conditions, prevailing level of macro-economic, business and operational uncertainty, including as a result of geopolitical events or other regional events or pandemics, changes to trade policies including tariffs and trade restrictions, as well as the current inflationary environment, and the effects of these conditions on our customers’ businesses and levels of business activity, including the effect of the current economic uncertainty and industry pressure on the spending decisions of our customers. Our ability to grow in the business markets that we serve, our ability to successfully integrate acquired businesses, adverse effects of market competition, rapid technological shifts that may render our products and services obsolete, security incidents, including breaches and cyber attacks to our systems and networks and those of our partners or customers, potential loss of a major customer, our ability to develop long-term relationships with our customers, our ability to successfully and effectively implement artificial intelligence and Generative AI (GenAI) in our offerings and operations, and risks associated with operating businesses in the international market.</w:t>
      </w:r>
      <w:r>
        <w:rPr>
          <w:rFonts w:ascii="Times New Roman" w:hAnsi="Times New Roman"/>
          <w:color w:val="231F20"/>
          <w:sz w:val="20"/>
        </w:rPr>
        <w:t xml:space="preserve"> </w:t>
      </w:r>
      <w:r>
        <w:rPr>
          <w:rFonts w:ascii="Times New Roman" w:hAnsi="Times New Roman"/>
          <w:color w:val="000000"/>
          <w:sz w:val="20"/>
        </w:rPr>
        <w:t xml:space="preserve">For a discussion of these and other important factors and other risks, please read the information set forth under the caption “Risk Factors” in our Annual Report on Form 20-F for fiscal year 2025, filed on December 15, 2025 with the U.S. Securities and Exchange Commission. </w:t>
      </w:r>
    </w:p>
    <w:p>
      <w:pPr>
        <w:pStyle w:val="TextBody"/>
        <w:bidi w:val="0"/>
        <w:spacing w:before="200" w:after="283"/>
        <w:jc w:val="both"/>
        <w:rPr>
          <w:rFonts w:ascii="Times New Roman" w:hAnsi="Times New Roman"/>
          <w:sz w:val="20"/>
        </w:rPr>
      </w:pPr>
      <w:r>
        <w:rPr>
          <w:rFonts w:ascii="Times New Roman" w:hAnsi="Times New Roman"/>
          <w:b/>
          <w:color w:val="000000"/>
          <w:sz w:val="20"/>
        </w:rPr>
        <w:t>Overview of Business and Trend Information</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Amdocs is a leading provider of software and services for approximately 400 communications, entertainment and media industry and other service providers in developed countries and emerging markets. Our software and services, which we develop, implement and manage in a unique accountability model, are designed to meet the business imperatives of our customers, create value for society and make our increasingly connected world more empowering by unlocking our customers’ innovative potential and enabling them to transform their boldest ideas into reality and deliver outstanding customer experiences. Our offerings enable service providers to cost-effectively engage their customers, introduce new products and services, automate service and network operations, monetize connectivity and content, support new business models and generally enhance their understanding of their customers.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believe the demand for our solutions is driven by our customers’ continued migration to the cloud, deployment of 5G standalone, fixed wireless access (FWA), B2B acceleration, and fiber networks and their transformation into digital service providers to provide connectivity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offerings, grouped by technology capabilities such as commerce and care, monetization, service and network automation, are designed to meet the challenges facing our customers as they roll out 5G, FWA and fiber networks, migrate to the cloud, introduce GenAI solutions and transform into digital service providers within the framework of a hybrid IT environment, which requires them to rapidly introduce new cloud-native applications while still operating legacy systems. Our software is designed to enable modular expansion as a service provider evolves, and its microservices-based architecture enables the rapid deployment of complex applications as suites of independently deployable services that can be frequently upgraded via DevSecOps. Our comprehensive line of services is designed to address every stage of a service provider’s lifecycle. They include consulting, experience design, data, cloud, network services, to delivery, quality engineering (testing), operations, systems integration, and content services. Our managed services provide multi-year, flexible and tailored support, managing IT business processes and applications services. They include application development, modernization and maintenance, IT and infrastructure services, testing and professional services that are designed to assist customers in the selection, implementation, operation, management and maintenance of their IT systems.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conduct our business globally, and as a result we are subject to the effects of global economic conditions and, in particular, market conditions in the communications and media industry. In the nine months ended June 30, 2026, customers in North America accounted for 64.7% of our revenue, while customers in Europe and the rest of the world accounted for 16.2% and 19.1%, respectively. We maintain and support development facilities in Brazil, Canada, Cyprus, India, Ireland, Israel, Mexico, the Philippines, the UK and the United States.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derive our revenue principally from: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initial sales of licenses to use our products and related services, including modification, implementation, integration and customization services,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providing</w:t>
      </w:r>
      <w:r>
        <w:rPr>
          <w:color w:val="000000"/>
        </w:rPr>
        <w:t xml:space="preserve"> </w:t>
      </w:r>
      <w:r>
        <w:rPr>
          <w:rFonts w:ascii="Times New Roman" w:hAnsi="Times New Roman"/>
          <w:color w:val="000000"/>
          <w:sz w:val="20"/>
        </w:rPr>
        <w:t>managed services in our domain expertise and other related services,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recurring revenue from ongoing support, maintenance and enhancements provided to our customers, and from incremental license fees resulting from increases in a customer’s business volume.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results of operations are affected by general economic conditions, including macro-economic conditions, and the level of economic activity in the industries and markets that we serve. In addition, the prevailing level of macro-economic, business, and operational uncertainty, as well as the current inflationary environment and foreign exchange rates fluctuation, may continue to present challenges in future periods and may affect the spending decisions of our customers. Although we try to mitigate the foreign currency exchange rates impact on our results through our hedging policy, we cannot assure that we will be able to effectively limit all of our exposure.</w:t>
      </w:r>
    </w:p>
    <w:p>
      <w:pPr>
        <w:pStyle w:val="TextBody"/>
        <w:bidi w:val="0"/>
        <w:spacing w:before="200" w:after="283"/>
        <w:jc w:val="both"/>
        <w:rPr>
          <w:rFonts w:ascii="Times New Roman" w:hAnsi="Times New Roman"/>
          <w:sz w:val="20"/>
        </w:rPr>
      </w:pPr>
      <w:r>
        <w:rPr>
          <w:rFonts w:ascii="Times New Roman" w:hAnsi="Times New Roman"/>
          <w:i/>
          <w:color w:val="000000"/>
          <w:sz w:val="20"/>
        </w:rPr>
        <w:t>Revenue Recognition</w:t>
      </w:r>
      <w:r>
        <w:rPr>
          <w:rFonts w:ascii="Times New Roman" w:hAnsi="Times New Roman"/>
          <w:color w:val="000000"/>
          <w:sz w:val="20"/>
        </w:rPr>
        <w:t xml:space="preserve">, we recognize revenue under the five-step methodology required under ASC 606, which requires us to identify the contract with the customer, identify the performance obligations in the contract, determine the transaction price, allocate the transaction price to the performance obligations identified, and recognize revenue when (or as) each performance obligation is satisfied.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our primary revenue categories, related performance obligations, and associated recognition patterns please see Note 4 to our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generated in connection with managed services arrangements is a significant part of our business, generating substantial, long-term recurring revenue streams and cash flow. Managed services arrangements include management of data center operations and IT and cloud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$790.5 million and 771.5 million in the three months ended June 30, 2026 and 2025, respectively, and 2.30 billion and 2.25 billion in the nine months ended June 30, 2026 and 2025. This is supported by historical renewal rate of close to 100% for our managed services arrangements.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Twelve-month backlog was $4.26 billion as of June 30, 2026, up approximately 2.7% as compared to June 30, 2025. Twelve-month backlog includes anticipated revenue related to contracts, estimated revenue from managed services contracts, letters of intent, maintenance and estimated on-going support activities.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 Accounting Standards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Please see Note 2 to our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our results of operations for the three and nine months ended June 30, 2026 and 2025. Certain items in our consolidated statements of income are reflected as a percentage of revenue (figures may not sum because of rounding):</w:t>
      </w:r>
    </w:p>
    <w:p>
      <w:pPr>
        <w:pStyle w:val="TextBody"/>
        <w:bidi w:val="0"/>
        <w:jc w:val="left"/>
        <w:rPr/>
      </w:pPr>
      <w:r>
        <w:rPr/>
        <w:t> </w:t>
      </w:r>
    </w:p>
    <w:tbl>
      <w:tblPr>
        <w:tblW w:w="9985" w:type="dxa"/>
        <w:jc w:val="left"/>
        <w:tblInd w:w="0" w:type="dxa"/>
        <w:tblLayout w:type="fixed"/>
        <w:tblCellMar>
          <w:top w:w="28" w:type="dxa"/>
          <w:left w:w="28" w:type="dxa"/>
          <w:bottom w:w="28" w:type="dxa"/>
          <w:right w:w="28" w:type="dxa"/>
        </w:tblCellMar>
      </w:tblPr>
      <w:tblGrid>
        <w:gridCol w:w="4686"/>
        <w:gridCol w:w="146"/>
        <w:gridCol w:w="197"/>
        <w:gridCol w:w="630"/>
        <w:gridCol w:w="366"/>
        <w:gridCol w:w="197"/>
        <w:gridCol w:w="197"/>
        <w:gridCol w:w="630"/>
        <w:gridCol w:w="271"/>
        <w:gridCol w:w="146"/>
        <w:gridCol w:w="189"/>
        <w:gridCol w:w="605"/>
        <w:gridCol w:w="351"/>
        <w:gridCol w:w="189"/>
        <w:gridCol w:w="189"/>
        <w:gridCol w:w="605"/>
        <w:gridCol w:w="391"/>
      </w:tblGrid>
      <w:tr>
        <w:trPr/>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purchased intangible assets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Amdocs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Nine Months Ended June 30, 2026 and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is a tabular presentation of our results of operations for the nine months ended June 30, 2026 compared to the nine months ended June 30, 2025. Following the table is a discussion and analysis of our business and results of operations for such periods.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529"/>
        <w:gridCol w:w="146"/>
        <w:gridCol w:w="211"/>
        <w:gridCol w:w="931"/>
        <w:gridCol w:w="166"/>
        <w:gridCol w:w="146"/>
        <w:gridCol w:w="211"/>
        <w:gridCol w:w="931"/>
        <w:gridCol w:w="166"/>
        <w:gridCol w:w="146"/>
        <w:gridCol w:w="211"/>
        <w:gridCol w:w="841"/>
        <w:gridCol w:w="166"/>
        <w:gridCol w:w="146"/>
        <w:gridCol w:w="146"/>
        <w:gridCol w:w="721"/>
        <w:gridCol w:w="391"/>
      </w:tblGrid>
      <w:tr>
        <w:trPr/>
        <w:tc>
          <w:tcPr>
            <w:tcW w:w="4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purchased intangible assets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Amdocs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8287" w:type="dxa"/>
        <w:jc w:val="left"/>
        <w:tblInd w:w="0" w:type="dxa"/>
        <w:tblLayout w:type="fixed"/>
        <w:tblCellMar>
          <w:top w:w="28" w:type="dxa"/>
          <w:left w:w="28" w:type="dxa"/>
          <w:bottom w:w="28" w:type="dxa"/>
          <w:right w:w="28" w:type="dxa"/>
        </w:tblCellMar>
      </w:tblPr>
      <w:tblGrid>
        <w:gridCol w:w="3166"/>
        <w:gridCol w:w="146"/>
        <w:gridCol w:w="211"/>
        <w:gridCol w:w="931"/>
        <w:gridCol w:w="146"/>
        <w:gridCol w:w="146"/>
        <w:gridCol w:w="211"/>
        <w:gridCol w:w="931"/>
        <w:gridCol w:w="146"/>
        <w:gridCol w:w="146"/>
        <w:gridCol w:w="211"/>
        <w:gridCol w:w="781"/>
        <w:gridCol w:w="146"/>
        <w:gridCol w:w="146"/>
        <w:gridCol w:w="146"/>
        <w:gridCol w:w="361"/>
        <w:gridCol w:w="3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Geographic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 (mainly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the world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3,502,813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3,382,695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Revenue</w:t>
      </w:r>
      <w:r>
        <w:rPr>
          <w:rFonts w:ascii="Times New Roman" w:hAnsi="Times New Roman"/>
          <w:i/>
          <w:color w:val="000000"/>
          <w:sz w:val="20"/>
        </w:rPr>
        <w:t>.</w:t>
      </w:r>
      <w:r>
        <w:rPr>
          <w:rFonts w:ascii="Times New Roman" w:hAnsi="Times New Roman"/>
          <w:color w:val="000000"/>
          <w:sz w:val="20"/>
        </w:rPr>
        <w:t xml:space="preserve"> Revenue increased by $120.1 million, or 3.6%, to $3,502.8 million in the nine months ended June 30, 2026, from $3,382.7 million in the nine months ended June 30, 2025, including approximately 1.0% positive foreign exchange fluctuations impact. The increase in revenue for the nine months ended June 30, 2026, was attributable to increased activity across all regions and was positively affected by activities related to recent completed acquisitions.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the nine months ended June 30, 2026, revenue from customers in North America, Europe and the rest of the world accounted for 64.7%, 16.2% and 19.1%, respectively, of total revenue, compared to 65.7%, 15.5% and 18.8%, respectively, in the nine months ended June 30,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Revenue from customers in North America increased in absolute amounts during the nine months ended June 30, 2026 compared to the nine months ended June 30, 2025, while total revenue increased at a higher rate, which resulted in a decrease of revenue from customers in North America as a percentage of total revenue in the nine months ended June 30, 2026. The increase in revenue from customers in North America in absolute amount was primarily attributable to increased activities from some of our key customers in North America.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Revenue from customers in Europe increased during the nine months ended June 30, 2026, as we expand managed services and project activities in this region, as well as contribution from the previously completed acquisitions. The increase in revenue in Europe was also positively affected by foreign exchange fluctuations.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from customers in the rest of the world increased during the nine months ended June 30, 2026, primarily as a result of contribution from the previously completed acquisitions, as well as new activities that continued to ramp up with various customers in Asia Pacific region.</w:t>
      </w:r>
    </w:p>
    <w:p>
      <w:pPr>
        <w:pStyle w:val="TextBody"/>
        <w:bidi w:val="0"/>
        <w:spacing w:before="200" w:after="283"/>
        <w:jc w:val="both"/>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Cost of revenue consists primarily of costs associated with providing services to customers, including compensation expense and costs of third-party products, as well as fee and royalty payments to software suppliers. Cost of revenue increased by $60.7 million, or 2.9%, to $2,152.2 million in the nine months ended June 30, 2026, from $2,091.5 million in the nine months ended June 30, 2025. Cost of revenue as a percentage of revenue slightly decreased to 61.4% in the nine months ended June 30, 2026, from 61.8% in the nine months ended June 30, 2025. Our cost of revenue in the nine months ended June 30, 2026 was negatively impacted by foreign exchange fluctuations. Cost of revenue as a percentage of revenue may fluctuate based on the different stages within customers' projects and engagements as we derive benefit from meeting key delivery milestones and implementing operational efficiencies and AI and GenAI capabilities.</w:t>
      </w:r>
    </w:p>
    <w:p>
      <w:pPr>
        <w:pStyle w:val="TextBody"/>
        <w:bidi w:val="0"/>
        <w:spacing w:before="200" w:after="283"/>
        <w:jc w:val="both"/>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Research and development expense is primarily comprised of compensation expense. Research and development expense slightly increased by $2.4 million, or 0.9%, to $255.3 million in the nine months ended June 30, 2026, from $253.0 million in the nine months ended June 30, 2025. Research and development expense slightly decreased as a percentage of total revenue from 7.5% in the nine months ended June 30, 2025, to 7.3% in the nine months ended June 30, 2026, as total revenue increased at a higher rate than research and development expense, and includes contribution of recent completed acquisitions. We continue to invest in AI and GenAI capabilities, and in our cloud offerings, network related innovation,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pStyle w:val="TextBody"/>
        <w:bidi w:val="0"/>
        <w:spacing w:before="200" w:after="283"/>
        <w:jc w:val="both"/>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Selling, general and administrative expense, which is primarily comprised of compensation expense, increased by $32.3 million, or 8.4%, to $416.7 million in the nine months ended June 30, 2026, from $384.3 million in the nine months ended June 30, 2025. Selling, general and administrative expense increased as a percentage of total revenue was from 11.4% in the nine months ended June 30, 2025, to 11.9% in the nine months ended June 30, 2026. Selling, general and administrative expense may fluctuate from time to time, depending upon such factors as changes in our workforce and sales efforts and the results of any operational efficiency programs that we may undertake. The increase in absolute amount was primarily attributable to an increase in equity based compensation expense, changes of certain acquisition-related liabilities measured at fair value and contribution of recent completed acquisitions. </w:t>
      </w:r>
    </w:p>
    <w:p>
      <w:pPr>
        <w:pStyle w:val="TextBody"/>
        <w:bidi w:val="0"/>
        <w:spacing w:before="200" w:after="283"/>
        <w:jc w:val="both"/>
        <w:rPr>
          <w:rFonts w:ascii="Times New Roman" w:hAnsi="Times New Roman"/>
          <w:sz w:val="20"/>
        </w:rPr>
      </w:pPr>
      <w:r>
        <w:rPr>
          <w:rFonts w:ascii="Times New Roman" w:hAnsi="Times New Roman"/>
          <w:b/>
          <w:i/>
          <w:color w:val="000000"/>
          <w:sz w:val="20"/>
        </w:rPr>
        <w:t>Amortization of Purchased Intangible Assets and Other</w:t>
      </w:r>
      <w:r>
        <w:rPr>
          <w:rFonts w:ascii="Times New Roman" w:hAnsi="Times New Roman"/>
          <w:i/>
          <w:color w:val="000000"/>
          <w:sz w:val="20"/>
        </w:rPr>
        <w:t>.</w:t>
      </w:r>
      <w:r>
        <w:rPr>
          <w:rFonts w:ascii="Times New Roman" w:hAnsi="Times New Roman"/>
          <w:color w:val="000000"/>
          <w:sz w:val="20"/>
        </w:rPr>
        <w:t xml:space="preserve"> Amortization of purchased intangible assets and other in the nine months ended June 30, 2026, increased by $8.3 million, or 17.2% to $56.4 million from $48.1 million in the nine months ended June 30, 2025. The increase in amortization of purchased intangible assets and other was primarily attributable to an increase in amortization of intangible assets due to recent completed acquisitions, partially offset by a decrease in amortization of previously purchased intangible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Restructuring Charges. </w:t>
      </w:r>
      <w:r>
        <w:rPr>
          <w:rFonts w:ascii="Times New Roman" w:hAnsi="Times New Roman"/>
          <w:color w:val="000000"/>
          <w:sz w:val="20"/>
        </w:rPr>
        <w:t>Restructuring charges for the nine months ended June 30, 2026, were $128.1 million, and were $6.8 million in the nine months ended June 30, 2025. Further to our restructuring activities in prior fiscal years, we have undertaken certain additional restructuring actions to focus on operational excellence, automation and the internal deployment of GenAI based tools across our operations. We continue to evaluate further operational efficiencies. For the restructuring charges for the comparable period and for more details, please see Note 9 to our consolidated financial statements.</w:t>
      </w:r>
    </w:p>
    <w:p>
      <w:pPr>
        <w:pStyle w:val="TextBody"/>
        <w:bidi w:val="0"/>
        <w:spacing w:before="200" w:after="283"/>
        <w:jc w:val="both"/>
        <w:rPr>
          <w:rFonts w:ascii="Times New Roman" w:hAnsi="Times New Roman"/>
          <w:sz w:val="20"/>
        </w:rPr>
      </w:pPr>
      <w:r>
        <w:rPr>
          <w:rFonts w:ascii="Times New Roman" w:hAnsi="Times New Roman"/>
          <w:b/>
          <w:i/>
          <w:color w:val="000000"/>
          <w:sz w:val="20"/>
        </w:rPr>
        <w:t>Operating Income</w:t>
      </w:r>
      <w:r>
        <w:rPr>
          <w:rFonts w:ascii="Times New Roman" w:hAnsi="Times New Roman"/>
          <w:color w:val="000000"/>
          <w:sz w:val="20"/>
        </w:rPr>
        <w:t xml:space="preserve">. Operating income decreased by $105.0 million, or 17.5%, in the nine months ended June 30, 2026, to $494.1 million, from $599.0 million, in the nine months ended June 30, 2025. Operating income decreased as a percentage of revenue from 17.7% in the nine months ended June 30, 2025, to 14.1% in the nine months ended June 30, 2026. The decrease in operating income as a percentage of revenue was primarily attributable to higher level of restructuring charges recognized in the nine months ended June 30, 2026, compared to the nine months ended June 30, 2025. The foreign exchange impacts on our operating income were immaterial. </w:t>
      </w:r>
    </w:p>
    <w:p>
      <w:pPr>
        <w:pStyle w:val="TextBody"/>
        <w:bidi w:val="0"/>
        <w:spacing w:before="200" w:after="283"/>
        <w:jc w:val="both"/>
        <w:rPr>
          <w:rFonts w:ascii="Times New Roman" w:hAnsi="Times New Roman"/>
          <w:sz w:val="20"/>
        </w:rPr>
      </w:pPr>
      <w:r>
        <w:rPr>
          <w:rFonts w:ascii="Times New Roman" w:hAnsi="Times New Roman"/>
          <w:b/>
          <w:i/>
          <w:color w:val="000000"/>
          <w:sz w:val="20"/>
        </w:rPr>
        <w:t>Interest and Other Expense, Net</w:t>
      </w:r>
      <w:r>
        <w:rPr>
          <w:rFonts w:ascii="Times New Roman" w:hAnsi="Times New Roman"/>
          <w:i/>
          <w:color w:val="000000"/>
          <w:sz w:val="20"/>
        </w:rPr>
        <w:t>.</w:t>
      </w:r>
      <w:r>
        <w:rPr>
          <w:rFonts w:ascii="Times New Roman" w:hAnsi="Times New Roman"/>
          <w:color w:val="000000"/>
          <w:sz w:val="20"/>
        </w:rPr>
        <w:t xml:space="preserve"> Interest and other expense, net, increased from a net expense of $26.6 million in the nine months ended June 30, 2025, to a net expense of $31.3 million in the nine months ended June 30, 2026. The increase in interest and other expense, net, was primarily attributable to an increase in interest expenses net of interest income, as a result of lower level of cash balances and higher short-term borrowing, partially offset by net gains related to equity investments.</w:t>
      </w:r>
    </w:p>
    <w:p>
      <w:pPr>
        <w:pStyle w:val="TextBody"/>
        <w:bidi w:val="0"/>
        <w:spacing w:before="200" w:after="283"/>
        <w:jc w:val="both"/>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Income tax expense for the nine months ended June 30, 2026 were $102.3, million, on pre-tax income of $462.8 million, resulting in an effective tax rate of 22.1%, compared to 17.8% in the nine months ended June 30, 2025. Please see also Note 10 to our consolidated financial statements. Our effective tax rate may fluctuate between periods as a result of discrete items that may affect a particular period. </w:t>
      </w:r>
    </w:p>
    <w:p>
      <w:pPr>
        <w:pStyle w:val="TextBody"/>
        <w:bidi w:val="0"/>
        <w:spacing w:before="200" w:after="283"/>
        <w:jc w:val="both"/>
        <w:rPr>
          <w:rFonts w:ascii="Times New Roman" w:hAnsi="Times New Roman"/>
          <w:sz w:val="20"/>
        </w:rPr>
      </w:pPr>
      <w:r>
        <w:rPr>
          <w:rFonts w:ascii="Times New Roman" w:hAnsi="Times New Roman"/>
          <w:b/>
          <w:i/>
          <w:color w:val="000000"/>
          <w:sz w:val="20"/>
        </w:rPr>
        <w:t>Net income attributable to Amdocs Limited</w:t>
      </w:r>
      <w:r>
        <w:rPr>
          <w:rFonts w:ascii="Times New Roman" w:hAnsi="Times New Roman"/>
          <w:color w:val="000000"/>
          <w:sz w:val="20"/>
        </w:rPr>
        <w:t>. Net income decreased by $110.8 million, or 23.7%, to $357.6 million in the nine months ended June 30, 2026, from $468.4 million in the nine months ended June 30, 2025. The decrease in net income is primarily attributable a decrease in operating income.</w:t>
      </w:r>
    </w:p>
    <w:p>
      <w:pPr>
        <w:pStyle w:val="TextBody"/>
        <w:bidi w:val="0"/>
        <w:spacing w:before="200" w:after="283"/>
        <w:jc w:val="both"/>
        <w:rPr>
          <w:rFonts w:ascii="Times New Roman" w:hAnsi="Times New Roman"/>
          <w:sz w:val="20"/>
        </w:rPr>
      </w:pPr>
      <w:r>
        <w:rPr>
          <w:rFonts w:ascii="Times New Roman" w:hAnsi="Times New Roman"/>
          <w:b/>
          <w:i/>
          <w:color w:val="000000"/>
          <w:sz w:val="20"/>
        </w:rPr>
        <w:t>Diluted Earnings Per Share</w:t>
      </w:r>
      <w:r>
        <w:rPr>
          <w:rFonts w:ascii="Times New Roman" w:hAnsi="Times New Roman"/>
          <w:i/>
          <w:color w:val="000000"/>
          <w:sz w:val="20"/>
        </w:rPr>
        <w:t>.</w:t>
      </w:r>
      <w:r>
        <w:rPr>
          <w:rFonts w:ascii="Times New Roman" w:hAnsi="Times New Roman"/>
          <w:color w:val="000000"/>
          <w:sz w:val="20"/>
        </w:rPr>
        <w:t xml:space="preserve"> Diluted earnings per share decreased by $0.84, or 20.1%, to $3.33 in the nine months ended June 30, 2026, from $4.17 in the nine months ended June 30, 2025. The decrease in diluted earnings per share was primarily attributable to decrease in net income, and specifically, to the higher level of restructuring charges in the nine months ended June 30, 2026, partially offset by a decrease in the diluted weighted average number of shares outstanding which resulted from share repurchases. Excluding the impact of the restructuring charges of $1.07, diluted earnings per share would have been $4.40 in the nine months ended June 30, 2026. Please see also Note 11 to our consolidated financial statements.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Three Months Ended June 30, 2026 and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is a tabular presentation of our results of operations for the three months ended June 30, 2026 compared to the three months ended June 30, 2025. Following the table is a discussion and analysis of our business and results of operations for such periods.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59"/>
        <w:gridCol w:w="146"/>
        <w:gridCol w:w="211"/>
        <w:gridCol w:w="931"/>
        <w:gridCol w:w="166"/>
        <w:gridCol w:w="146"/>
        <w:gridCol w:w="211"/>
        <w:gridCol w:w="931"/>
        <w:gridCol w:w="166"/>
        <w:gridCol w:w="146"/>
        <w:gridCol w:w="211"/>
        <w:gridCol w:w="841"/>
        <w:gridCol w:w="166"/>
        <w:gridCol w:w="146"/>
        <w:gridCol w:w="146"/>
        <w:gridCol w:w="571"/>
        <w:gridCol w:w="611"/>
      </w:tblGrid>
      <w:tr>
        <w:trPr/>
        <w:tc>
          <w:tcPr>
            <w:tcW w:w="4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purchased intangible assets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941,967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Amdocs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8287" w:type="dxa"/>
        <w:jc w:val="left"/>
        <w:tblInd w:w="0" w:type="dxa"/>
        <w:tblLayout w:type="fixed"/>
        <w:tblCellMar>
          <w:top w:w="28" w:type="dxa"/>
          <w:left w:w="28" w:type="dxa"/>
          <w:bottom w:w="28" w:type="dxa"/>
          <w:right w:w="28" w:type="dxa"/>
        </w:tblCellMar>
      </w:tblPr>
      <w:tblGrid>
        <w:gridCol w:w="3166"/>
        <w:gridCol w:w="146"/>
        <w:gridCol w:w="211"/>
        <w:gridCol w:w="931"/>
        <w:gridCol w:w="146"/>
        <w:gridCol w:w="146"/>
        <w:gridCol w:w="211"/>
        <w:gridCol w:w="931"/>
        <w:gridCol w:w="146"/>
        <w:gridCol w:w="146"/>
        <w:gridCol w:w="211"/>
        <w:gridCol w:w="676"/>
        <w:gridCol w:w="146"/>
        <w:gridCol w:w="146"/>
        <w:gridCol w:w="146"/>
        <w:gridCol w:w="466"/>
        <w:gridCol w:w="3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Geographic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 (mainly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the world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1,174,895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Revenue</w:t>
      </w:r>
      <w:r>
        <w:rPr>
          <w:rFonts w:ascii="Times New Roman" w:hAnsi="Times New Roman"/>
          <w:i/>
          <w:color w:val="000000"/>
          <w:sz w:val="20"/>
        </w:rPr>
        <w:t>.</w:t>
      </w:r>
      <w:r>
        <w:rPr>
          <w:rFonts w:ascii="Times New Roman" w:hAnsi="Times New Roman"/>
          <w:color w:val="000000"/>
          <w:sz w:val="20"/>
        </w:rPr>
        <w:t xml:space="preserve"> Revenue increased by $30.5 million, or 2.7%, to $1,174.9 million in the three months ended June 30, 2026, from $1,144.4 million in the three months ended June 30, 2025 including approximately 0.5% positive foreign exchange fluctuations impact . The increase in revenue for the three months ended June 30, 2026, was attributable to increased activity across all regions, and was positively affected by activities related to recent completed acquisitions.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the three months ended June 30, 2026, revenue from customers in North America, Europe and the rest of the world accounted for 63.7%, 16.4% and 19.9%, respectively, of total revenue, compared to 65.1%, 16.6% and 18.3%, respectively, in the three months ended June 30,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Revenue from customers in North America remained relatively stable in absolute amounts during the three months ended June 30, 2026, while total revenue increased, which resulted in a decrease of revenue from customers in North America as a percentage of total revenue in the three months ended June 30,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Revenue from customers in Europe increased during the three months ended June 30, 2026, is primarily attributable to new acquisitions activities mentioned above, as well as positive foreign exchange fluctuation.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from customers in the rest of the world increased during the three months ended June 30, 2026, primarily as a result of new activities that continued to ramp up with various customers in Asia Pacific region as well as contribution from the previously completed acquisitions.</w:t>
      </w:r>
    </w:p>
    <w:p>
      <w:pPr>
        <w:pStyle w:val="TextBody"/>
        <w:bidi w:val="0"/>
        <w:spacing w:before="200" w:after="283"/>
        <w:jc w:val="both"/>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Cost of revenue consists primarily of costs associated with providing services to customers, including compensation expense and costs of third-party products, as well as fee and royalty payments to software suppliers. Cost of revenue decreased by $3.4 million, or 0.5%, to $707.7 million in the three months ended June 30, 2026, from $711.1 million in the three months ended June 30, 2025. Cost of revenue as a percentage of revenue decreased to 60.2% in the three months ended June 30, 2026, from 62.1% in the three months ended June 30, 2025 which is primarily attributable to the continued focus on operational excellence and efficiency improvements. Cost of revenue as a percentage of revenue may fluctuate based on the different stages within customers' projects and engagements as we derive benefit from meeting key delivery milestones and implementing operational efficiencies and AI and GenAI capabilities.</w:t>
      </w:r>
    </w:p>
    <w:p>
      <w:pPr>
        <w:pStyle w:val="TextBody"/>
        <w:bidi w:val="0"/>
        <w:spacing w:before="200" w:after="283"/>
        <w:jc w:val="both"/>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Research and development expense is primarily comprised of compensation expense. Research and development expense decreased by $0.5 million, or 0.6%, to $86.4 million in the three months ended June 30, 2026, from $86.9 million in the three months ended June 30, 2025. Research and development expense slightly decreased as a percentage of total revenue from 7.6% in the three months ended June 30, 2025, to 7.4 % in the three months ended June 30, 2026, as total revenue increased at a higher rate than research and development expense, and includes contribution of recent completed acquisitions. We continue to invest in AI and GenAI capabilities, and in our cloud offerings, network related innovation,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pStyle w:val="TextBody"/>
        <w:bidi w:val="0"/>
        <w:spacing w:before="200" w:after="283"/>
        <w:jc w:val="both"/>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Selling, general and administrative expense, which is primarily comprised of compensation expense, increased in absolute amounts by $21.7 million, or 17.0%, to $149.3 million in the three months ended June 30, 2026, from $127.6 million in the three months ended June 30, 2025. Selling, general and administrative expense increased as a percentage of revenue from 11.1% in the three months ended June 30, 2025, to 12.7% in the three months ended June 30, 2026. The increase in was primarily attributable to an increase in account receivable allowances and to a lesser extent to contribution from the previously completed acquisitions. Selling, general and administrative expense may fluctuate from time to time, depending upon such factors as changes in our workforce and sales efforts and the results of any operational efficiency programs that we may undertake.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Amortization of Purchased Intangible Assets and Other</w:t>
      </w:r>
      <w:r>
        <w:rPr>
          <w:rFonts w:ascii="Times New Roman" w:hAnsi="Times New Roman"/>
          <w:i/>
          <w:color w:val="000000"/>
          <w:sz w:val="20"/>
        </w:rPr>
        <w:t>.</w:t>
      </w:r>
      <w:r>
        <w:rPr>
          <w:rFonts w:ascii="Times New Roman" w:hAnsi="Times New Roman"/>
          <w:color w:val="000000"/>
          <w:sz w:val="20"/>
        </w:rPr>
        <w:t xml:space="preserve"> Amortization of purchased intangible assets and other in the three months ended June 30, 2026, increased by $4.2 million, or 25.6% to $20.6 million from $16.4 million in the three months ended June 30, 2025. The increase in amortization of purchased intangible assets and other was primarily attributable to an increase in amortization of intangible assets due to recent completed acquisitions, partially offset by a decrease in amortization of previously purchased intangible assets. </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Restructuring Charges. </w:t>
      </w:r>
      <w:r>
        <w:rPr>
          <w:rFonts w:ascii="Times New Roman" w:hAnsi="Times New Roman"/>
          <w:color w:val="000000"/>
          <w:sz w:val="20"/>
        </w:rPr>
        <w:t>Restructuring charges for the three months ended June 30, 2026, were $106.4, while there were no such restructuring charges in the three months ended June 30, 2025. Further to our restructuring activities in prior fiscal years, we have undertaken certain additional restructuring actions to focus on operational excellence, automation and the internal deployment of GenAI based tools across our operations. We continue to evaluate further operational efficiencies. For the restructuring charges for the comparable period and for more details, please see Note 9 to our consolidated financial statements.</w:t>
      </w:r>
    </w:p>
    <w:p>
      <w:pPr>
        <w:pStyle w:val="TextBody"/>
        <w:bidi w:val="0"/>
        <w:spacing w:before="180" w:after="283"/>
        <w:jc w:val="both"/>
        <w:rPr>
          <w:rFonts w:ascii="Times New Roman" w:hAnsi="Times New Roman"/>
          <w:sz w:val="20"/>
        </w:rPr>
      </w:pPr>
      <w:r>
        <w:rPr>
          <w:rFonts w:ascii="Times New Roman" w:hAnsi="Times New Roman"/>
          <w:b/>
          <w:i/>
          <w:color w:val="000000"/>
          <w:sz w:val="20"/>
        </w:rPr>
        <w:t>Operating Income</w:t>
      </w:r>
      <w:r>
        <w:rPr>
          <w:rFonts w:ascii="Times New Roman" w:hAnsi="Times New Roman"/>
          <w:color w:val="000000"/>
          <w:sz w:val="20"/>
        </w:rPr>
        <w:t xml:space="preserve">. Operating income decreased by $97.9 million, or 48.4%, in the three months ended June 30, 2026, to $104.5 million, or 8.9% of revenue, from $202.5 million, or 17.7% of revenue, in the three months ended June 30, 2025. The decrease in operating income was primarily attributable to increase in (i) restructuring charges recorded in the three months ended June 30, 2026, while there were no such charges in the three months ended June 30, 2025, and (ii) selling, general and administrative expense, partially offset by decrease in cost of revenue. The foreign exchange impacts on our operating income were immaterial. </w:t>
      </w:r>
    </w:p>
    <w:p>
      <w:pPr>
        <w:pStyle w:val="TextBody"/>
        <w:bidi w:val="0"/>
        <w:spacing w:before="180" w:after="283"/>
        <w:jc w:val="both"/>
        <w:rPr>
          <w:rFonts w:ascii="Times New Roman" w:hAnsi="Times New Roman"/>
          <w:sz w:val="20"/>
        </w:rPr>
      </w:pPr>
      <w:r>
        <w:rPr>
          <w:rFonts w:ascii="Times New Roman" w:hAnsi="Times New Roman"/>
          <w:b/>
          <w:i/>
          <w:color w:val="000000"/>
          <w:sz w:val="20"/>
        </w:rPr>
        <w:t>Interest and Other Expense, Net</w:t>
      </w:r>
      <w:r>
        <w:rPr>
          <w:rFonts w:ascii="Times New Roman" w:hAnsi="Times New Roman"/>
          <w:i/>
          <w:color w:val="000000"/>
          <w:sz w:val="20"/>
        </w:rPr>
        <w:t>.</w:t>
      </w:r>
      <w:r>
        <w:rPr>
          <w:rFonts w:ascii="Times New Roman" w:hAnsi="Times New Roman"/>
          <w:color w:val="000000"/>
          <w:sz w:val="20"/>
        </w:rPr>
        <w:t xml:space="preserve"> Interest and other expense, net, increased from a net expense of $11.7 million in the three months ended June 30, 2025 to a net expense of $14.1 million in the three months ended June 30, 2026. The increase in interest and other expense, net, was primarily attributable to an increase in interest expenses net of interest income, as a result of lower level of cash balances and higher short-term borrowing, as well as an increase in foreign exchange fluctuation charges, partially offset by net gains related to equity investments.</w:t>
      </w:r>
    </w:p>
    <w:p>
      <w:pPr>
        <w:pStyle w:val="TextBody"/>
        <w:bidi w:val="0"/>
        <w:spacing w:before="180" w:after="283"/>
        <w:jc w:val="both"/>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Income tax expense for the three months ended June 30, 2026 were $27.3 million on pre-tax income of $90.5 million, resulting in an effective tax rate of 30.1%, compared to effective tax rate of 18.9% in the three months ended June 30, 2025. Our effective tax rate may fluctuate between periods as a result of discrete items that may affect a particular period, please see Note 10 to our consolidated financial statements.</w:t>
      </w:r>
    </w:p>
    <w:p>
      <w:pPr>
        <w:pStyle w:val="TextBody"/>
        <w:bidi w:val="0"/>
        <w:spacing w:before="200" w:after="283"/>
        <w:jc w:val="both"/>
        <w:rPr>
          <w:rFonts w:ascii="Times New Roman" w:hAnsi="Times New Roman"/>
          <w:sz w:val="20"/>
        </w:rPr>
      </w:pPr>
      <w:r>
        <w:rPr>
          <w:rFonts w:ascii="Times New Roman" w:hAnsi="Times New Roman"/>
          <w:b/>
          <w:i/>
          <w:color w:val="000000"/>
          <w:sz w:val="20"/>
        </w:rPr>
        <w:t>Net income attributable to Amdocs Limited</w:t>
      </w:r>
      <w:r>
        <w:rPr>
          <w:rFonts w:ascii="Times New Roman" w:hAnsi="Times New Roman"/>
          <w:color w:val="000000"/>
          <w:sz w:val="20"/>
        </w:rPr>
        <w:t xml:space="preserve">. Net income decreased by $91.8 million, or 59.6%, to $62.2 million in the three months ended June 30, 2026, from $154.0 million in the three months ended June 30, 2025. The decrease in net income is primarily attributable to a decrease in operating income, partially offset by decrease in income tax expense, in the three months ended June 30, 2026 compared to the three months ended June 30, 2025. </w:t>
      </w:r>
    </w:p>
    <w:p>
      <w:pPr>
        <w:pStyle w:val="TextBody"/>
        <w:bidi w:val="0"/>
        <w:spacing w:before="200" w:after="283"/>
        <w:jc w:val="both"/>
        <w:rPr>
          <w:rFonts w:ascii="Times New Roman" w:hAnsi="Times New Roman"/>
          <w:sz w:val="20"/>
        </w:rPr>
      </w:pPr>
      <w:r>
        <w:rPr>
          <w:rFonts w:ascii="Times New Roman" w:hAnsi="Times New Roman"/>
          <w:b/>
          <w:i/>
          <w:color w:val="000000"/>
          <w:sz w:val="20"/>
        </w:rPr>
        <w:t>Diluted Earnings Per Share</w:t>
      </w:r>
      <w:r>
        <w:rPr>
          <w:rFonts w:ascii="Times New Roman" w:hAnsi="Times New Roman"/>
          <w:i/>
          <w:color w:val="000000"/>
          <w:sz w:val="20"/>
        </w:rPr>
        <w:t>.</w:t>
      </w:r>
      <w:r>
        <w:rPr>
          <w:rFonts w:ascii="Times New Roman" w:hAnsi="Times New Roman"/>
          <w:color w:val="000000"/>
          <w:sz w:val="20"/>
        </w:rPr>
        <w:t xml:space="preserve"> Diluted earnings per share decreased by $0.8, or 57.6%, to $0.59 in the three months ended June 30, 2026, from $1.39 in the three months ended June 30, 2025. The decrease in diluted earnings per share was primarily attributable to a decrease in net income in the three months ended June 30, 2026, partially offset by a decrease in the diluted weighted average number of shares outstanding which resulted from share repurchases. Excluding the impact of the restructuring charges of $0.91, diluted earnings per share would have been $1.50 in the three months ended June 30, 2026. Please see also Note 11 to our consolidated financial statements.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200" w:after="283"/>
        <w:jc w:val="both"/>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Cash, cash equivalents, totaled $206.5 million as of June 30, 2026, compared to $325.0 million as of September 30, 2025. The decrease was mainly attributable to $427.1 million repurchase of our ordinary shares pursuant to our repurchase program, $217.6 million payments for business acquisitions, $174.3 million of cash dividend payment, $37.3 million deferred payments of business acquisitions and $78.8 million for capital expenditures, net, partially offset by $519.0 million positive cash flow from operating activities, $280 million borrowing under short-term financing arrangements, $13.8 million net proceeds from equity investments and other and $6.8 million of proceeds from stock options. Net cash provided by operating activities amounted to $519.0 million and $519.3 million in the nine months ended June 30, 2026 and 2025,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free cash flow for the nine months ended June 30, 2026 was $440.2 million and is calculated as net cash provided by operating activities of $519.0 million for the period less $78.8 million for capital expenditures, net, and is after restructuring payments of approximately $87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flow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that our current cash balances, cash generated from operations, our current lines of credit, commercial paper, loans, Senior Notes and our ability to access capital markets serve as sources of liquidity if needed and will provide sufficient resources to meet our operational needs, loan and debt repayment needs, fund share repurchases and the payment of cash dividends for at least the next twelve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short-term interest-bearing investments comprised of marketable securities and bank deposits. We classify all of our marketable securities as available-for-sale securities. Such marketable securities consist primarily of money market funds, which are stated at market value and are classified as cash and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we have conservative investment policy guidelines. Our interest-bearing investments are stated at fair value with the unrealized gains or losses, if applicable, reported as a separate component of accumulated other comprehensive income (loss), net of tax, unless a security is impaired due to a credit loss, in which case the loss is recorded in the consolidated statements of income. Our interest-bearing investments are priced by pricing vendors and are classified as Level 1, since these vendors either provide a quoted market price in an active market or use other observable inputs to price these securities. During the nine months ended June 30, 2026 and 2025, we did not recognize any credit losses. Please see Notes 5 and 6 to the consolidated financial statements.</w:t>
      </w:r>
    </w:p>
    <w:p>
      <w:pPr>
        <w:pStyle w:val="TextBody"/>
        <w:bidi w:val="0"/>
        <w:spacing w:before="200" w:after="283"/>
        <w:jc w:val="both"/>
        <w:rPr>
          <w:rFonts w:ascii="Times New Roman" w:hAnsi="Times New Roman"/>
          <w:sz w:val="20"/>
        </w:rPr>
      </w:pPr>
      <w:r>
        <w:rPr>
          <w:rFonts w:ascii="Times New Roman" w:hAnsi="Times New Roman"/>
          <w:i/>
          <w:color w:val="000000"/>
          <w:sz w:val="20"/>
        </w:rPr>
        <w:t>Revolving Credit Facility, Commercial Paper, Loans,</w:t>
      </w:r>
      <w:r>
        <w:rPr>
          <w:rFonts w:ascii="Times New Roman" w:hAnsi="Times New Roman"/>
          <w:color w:val="000000"/>
          <w:sz w:val="20"/>
        </w:rPr>
        <w:t xml:space="preserve"> </w:t>
      </w:r>
      <w:r>
        <w:rPr>
          <w:rFonts w:ascii="Times New Roman" w:hAnsi="Times New Roman"/>
          <w:i/>
          <w:color w:val="000000"/>
          <w:sz w:val="20"/>
        </w:rPr>
        <w:t xml:space="preserve">Senior Notes, Letters of Credit, Guarantees and Contractual Obligations. </w:t>
      </w:r>
      <w:r>
        <w:rPr>
          <w:rFonts w:ascii="Times New Roman" w:hAnsi="Times New Roman"/>
          <w:color w:val="000000"/>
          <w:sz w:val="20"/>
        </w:rPr>
        <w:t xml:space="preserve">In December 2011, the Company entered into an unsecured $500.0 million five-year revolving credit facility with a syndicate of banks (the “Revolving Credit Facility”). In December 2014, December 2017, March 2021 and July 2024, the Revolving Credit Facility was amended and restated to, among other things, extend the maturity date of the facility to December 2019, December 2022 March 2026 and July 2029, respectively. In March 2026 the Revolving Credit Facility was amended to increase the amount from $500.0 million to an aggregate amount of $800.0 million. As of June 30, 2026, the Company was in compliance with the financial covenants and had $80.0 million outstanding borrowing under the Revolving Credit Facility. In March 2026, the Company established a commercial paper program, supported by the Revolving Credit Facility under which it may issue unsecured commercial paper up to a total of $800.0 million outstanding at any time, with maturities of up to 397 days from the date of issue. The net proceeds from the issuance of commercial paper are expected to be used for general corporate purposes. As of June 30, 2026, the Company had $200.0 million outstanding borrowing amount under the commercial paper program. As a result, $520.0 million remains available on the Revolving Credit Facility.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senior unsecured obligations and rank equally in right of payment with all of our existing and future senior indebtedness, including any indebtedness we may incur from time to time under the Revolving Credit Facility. </w:t>
      </w:r>
      <w:r>
        <w:rPr>
          <w:rFonts w:ascii="Times New Roman" w:hAnsi="Times New Roman"/>
          <w:color w:val="231F20"/>
          <w:sz w:val="20"/>
        </w:rPr>
        <w:t>As of June 30, 2026, the noncurrent outstanding principal portion was $650.0 million. P</w:t>
      </w:r>
      <w:r>
        <w:rPr>
          <w:rFonts w:ascii="Times New Roman" w:hAnsi="Times New Roman"/>
          <w:color w:val="000000"/>
          <w:sz w:val="20"/>
        </w:rPr>
        <w:t>lease see Note 13 to our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additional uncommitted lines of credit available for general corporate and other specific purposes. As of June 30, 2026, the Company did not have any outstanding borrowing under the uncommitted line of credit. As of June 30, 2026, we had outstanding letters of credit and bank guarantees from various banks totaling $88.9 million as of June 30, 2026, which were supported by a combination of the uncommitted lines of credit that we maintain with various banks.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contractual obligations for Long-term debt and accrued interests, operating leases, purchase obligations, pension funding and unrecognized tax benefits, summarized in the disclosure of contractual obligations set forth in our Annual Report on Form 20-F for the fiscal year ended September 30, 2025, filed on December 15, 2025 with the SEC. During the three months ended December 31, 2025, we renewed our framework agreement with a strategic cloud provider, encompassing a commitment by us for service usage (including cloud consumption) totaling $570.0 million for five years. </w:t>
      </w:r>
    </w:p>
    <w:p>
      <w:pPr>
        <w:pStyle w:val="TextBody"/>
        <w:bidi w:val="0"/>
        <w:spacing w:before="200" w:after="283"/>
        <w:jc w:val="both"/>
        <w:rPr>
          <w:rFonts w:ascii="Times New Roman" w:hAnsi="Times New Roman"/>
          <w:sz w:val="20"/>
        </w:rPr>
      </w:pPr>
      <w:r>
        <w:rPr>
          <w:rFonts w:ascii="Times New Roman" w:hAnsi="Times New Roman"/>
          <w:i/>
          <w:color w:val="000000"/>
          <w:sz w:val="20"/>
        </w:rPr>
        <w:t>Acquisitions</w:t>
      </w:r>
      <w:r>
        <w:rPr>
          <w:rFonts w:ascii="Times New Roman" w:hAnsi="Times New Roman"/>
          <w:color w:val="000000"/>
          <w:sz w:val="20"/>
        </w:rPr>
        <w:t>. During the nine months ended June 30, 2026, we completed two business acquisitions for an aggregate net consideration of approximately $217 million The majority of this amount was paid to the acquisition of Matrixx Software, a privately owned company specializing in Charging &amp; Rating solutions for global communication service providers, please see Note 3 to our consolidated financial statements.</w:t>
      </w:r>
    </w:p>
    <w:p>
      <w:pPr>
        <w:pStyle w:val="TextBody"/>
        <w:bidi w:val="0"/>
        <w:spacing w:before="200" w:after="283"/>
        <w:jc w:val="both"/>
        <w:rPr>
          <w:rFonts w:ascii="Times New Roman" w:hAnsi="Times New Roman"/>
          <w:sz w:val="20"/>
        </w:rPr>
      </w:pPr>
      <w:r>
        <w:rPr>
          <w:rFonts w:ascii="Times New Roman" w:hAnsi="Times New Roman"/>
          <w:i/>
          <w:color w:val="000000"/>
          <w:sz w:val="20"/>
        </w:rPr>
        <w:t>Capital Expenditures.</w:t>
      </w:r>
      <w:r>
        <w:rPr>
          <w:rFonts w:ascii="Times New Roman" w:hAnsi="Times New Roman"/>
          <w:color w:val="000000"/>
          <w:sz w:val="20"/>
        </w:rPr>
        <w:t xml:space="preserve"> Generally, the majority of our capital expenditures consist of purchases of computer, related equipment and software, and the remainder is attributable mainly to building and leasehold improvements. Our capital expenditures were approximately $78.8 million in the nine months ended June 30, 2026 and were mainly attributable to investments in our operating facilities and our development centers around the world. </w:t>
      </w:r>
    </w:p>
    <w:p>
      <w:pPr>
        <w:pStyle w:val="TextBody"/>
        <w:bidi w:val="0"/>
        <w:spacing w:before="200" w:after="283"/>
        <w:jc w:val="both"/>
        <w:rPr>
          <w:rFonts w:ascii="Times New Roman" w:hAnsi="Times New Roman"/>
          <w:sz w:val="20"/>
        </w:rPr>
      </w:pPr>
      <w:r>
        <w:rPr>
          <w:rFonts w:ascii="Times New Roman" w:hAnsi="Times New Roman"/>
          <w:i/>
          <w:color w:val="000000"/>
          <w:sz w:val="20"/>
        </w:rPr>
        <w:t>Share Repurchases</w:t>
      </w:r>
      <w:r>
        <w:rPr>
          <w:rFonts w:ascii="Times New Roman" w:hAnsi="Times New Roman"/>
          <w:color w:val="000000"/>
          <w:sz w:val="20"/>
        </w:rPr>
        <w:t xml:space="preserve">. From time to time, our Board of Directors can adopt share repurchase plans authorizing the repurchase of our outstanding ordinary shares. On May 7, 2025, our Board of Directors adopted a share repurchase plan for the repurchase of up to an additional $1.0 billion of our outstanding ordinary shares with no expiration date. The May 2025 plan permits us to purchase our ordinary shares in the open market or through privately negotiated transactions at times and prices that we consider appropriate. </w:t>
      </w:r>
      <w:r>
        <w:rPr>
          <w:rFonts w:ascii="Times New Roman" w:hAnsi="Times New Roman"/>
          <w:color w:val="231F20"/>
          <w:sz w:val="20"/>
        </w:rPr>
        <w:t xml:space="preserve">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nine months ended June 30, 2026</w:t>
      </w:r>
      <w:r>
        <w:rPr>
          <w:rFonts w:ascii="Times New Roman" w:hAnsi="Times New Roman"/>
          <w:color w:val="231F20"/>
          <w:sz w:val="20"/>
        </w:rPr>
        <w:t xml:space="preserve"> we</w:t>
      </w:r>
      <w:r>
        <w:rPr>
          <w:rFonts w:ascii="Times New Roman" w:hAnsi="Times New Roman"/>
          <w:color w:val="000000"/>
          <w:sz w:val="20"/>
        </w:rPr>
        <w:t xml:space="preserve"> repurchased 6.2 million ordinary shares at an average price of $69.28 per share (excluding broker and transaction fees). As of June 30, 2026, we had remaining authority to repurchase up to $559.4 million of our outstanding ordinary shares under the May 2025 plan. </w:t>
      </w:r>
    </w:p>
    <w:p>
      <w:pPr>
        <w:pStyle w:val="TextBody"/>
        <w:bidi w:val="0"/>
        <w:spacing w:before="200" w:after="283"/>
        <w:jc w:val="both"/>
        <w:rPr>
          <w:rFonts w:ascii="Times New Roman" w:hAnsi="Times New Roman"/>
          <w:sz w:val="20"/>
        </w:rPr>
      </w:pPr>
      <w:r>
        <w:rPr>
          <w:rFonts w:ascii="Times New Roman" w:hAnsi="Times New Roman"/>
          <w:i/>
          <w:color w:val="000000"/>
          <w:sz w:val="20"/>
        </w:rPr>
        <w:t>Cash Dividends.</w:t>
      </w:r>
      <w:r>
        <w:rPr>
          <w:rFonts w:ascii="Times New Roman" w:hAnsi="Times New Roman"/>
          <w:color w:val="000000"/>
          <w:sz w:val="20"/>
        </w:rPr>
        <w:t xml:space="preserve"> Our Board of Directors declared the following dividends during the nine months ended June 30, 2026 and 2025:</w:t>
      </w:r>
    </w:p>
    <w:tbl>
      <w:tblPr>
        <w:tblW w:w="8214" w:type="dxa"/>
        <w:jc w:val="left"/>
        <w:tblInd w:w="0" w:type="dxa"/>
        <w:tblLayout w:type="fixed"/>
        <w:tblCellMar>
          <w:top w:w="28" w:type="dxa"/>
          <w:left w:w="28" w:type="dxa"/>
          <w:bottom w:w="28" w:type="dxa"/>
          <w:right w:w="28" w:type="dxa"/>
        </w:tblCellMar>
      </w:tblPr>
      <w:tblGrid>
        <w:gridCol w:w="1726"/>
        <w:gridCol w:w="146"/>
        <w:gridCol w:w="338"/>
        <w:gridCol w:w="922"/>
        <w:gridCol w:w="146"/>
        <w:gridCol w:w="146"/>
        <w:gridCol w:w="1681"/>
        <w:gridCol w:w="146"/>
        <w:gridCol w:w="350"/>
        <w:gridCol w:w="775"/>
        <w:gridCol w:w="146"/>
        <w:gridCol w:w="146"/>
        <w:gridCol w:w="154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Declaration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Dividends Per</w:t>
              <w:br/>
              <w:t>Ordinary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31, 2026</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24, 2026</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30, 2026</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25, 2025</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25, 2025</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31, 2025</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5, 2026 our Board of Directors approved the next quarterly dividend payment and set September 30, 2026 as the record date for determining the shareholders entitled to receive the dividend, which is payable on October 30,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Currency Fluctuations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nine months ended June 30, 2026 and 2025,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10" w:name="partii_other_information"/>
      <w:bookmarkEnd w:id="10"/>
      <w:r>
        <w:rPr>
          <w:rFonts w:ascii="Times New Roman" w:hAnsi="Times New Roman"/>
          <w:b/>
          <w:color w:val="000000"/>
          <w:sz w:val="20"/>
        </w:rPr>
        <w:t>PART II OTHER INFORMATION</w:t>
      </w:r>
    </w:p>
    <w:p>
      <w:pPr>
        <w:pStyle w:val="TextBody"/>
        <w:bidi w:val="0"/>
        <w:spacing w:before="200" w:after="283"/>
        <w:jc w:val="both"/>
        <w:rPr>
          <w:rFonts w:ascii="Times New Roman" w:hAnsi="Times New Roman"/>
          <w:sz w:val="20"/>
        </w:rPr>
      </w:pPr>
      <w:bookmarkStart w:id="11" w:name="item1_changes_in_securities_use_of_proce"/>
      <w:bookmarkEnd w:id="11"/>
      <w:r>
        <w:rPr>
          <w:rFonts w:ascii="Times New Roman" w:hAnsi="Times New Roman"/>
          <w:b/>
          <w:color w:val="000000"/>
          <w:sz w:val="20"/>
        </w:rPr>
        <w:t>Item 1. Changes in Securities, Use of Proceeds and Issuer Purchases of Equity</w:t>
      </w:r>
      <w:r>
        <w:rPr>
          <w:rFonts w:ascii="Times New Roman" w:hAnsi="Times New Roman"/>
          <w:color w:val="000000"/>
          <w:sz w:val="20"/>
        </w:rPr>
        <w:t xml:space="preserve"> </w:t>
      </w:r>
      <w:r>
        <w:rPr>
          <w:rFonts w:ascii="Times New Roman" w:hAnsi="Times New Roman"/>
          <w:b/>
          <w:color w:val="000000"/>
          <w:sz w:val="20"/>
        </w:rPr>
        <w:t>Securities.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Ordinary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provides information about purchases by us and our affiliated purchasers during the three months ended June 30, 2026 of equity securities that are registered by us pursuant to Section 12 of the Exchange Act:</w:t>
      </w:r>
    </w:p>
    <w:p>
      <w:pPr>
        <w:pStyle w:val="TextBody"/>
        <w:bidi w:val="0"/>
        <w:jc w:val="both"/>
        <w:rPr/>
      </w:pPr>
      <w:r>
        <w:rPr/>
        <w:t> </w:t>
      </w:r>
    </w:p>
    <w:tbl>
      <w:tblPr>
        <w:tblW w:w="8534" w:type="dxa"/>
        <w:jc w:val="left"/>
        <w:tblInd w:w="0" w:type="dxa"/>
        <w:tblLayout w:type="fixed"/>
        <w:tblCellMar>
          <w:top w:w="28" w:type="dxa"/>
          <w:left w:w="28" w:type="dxa"/>
          <w:bottom w:w="28" w:type="dxa"/>
          <w:right w:w="28" w:type="dxa"/>
        </w:tblCellMar>
      </w:tblPr>
      <w:tblGrid>
        <w:gridCol w:w="1681"/>
        <w:gridCol w:w="146"/>
        <w:gridCol w:w="179"/>
        <w:gridCol w:w="1141"/>
        <w:gridCol w:w="146"/>
        <w:gridCol w:w="146"/>
        <w:gridCol w:w="376"/>
        <w:gridCol w:w="1019"/>
        <w:gridCol w:w="146"/>
        <w:gridCol w:w="146"/>
        <w:gridCol w:w="193"/>
        <w:gridCol w:w="1232"/>
        <w:gridCol w:w="146"/>
        <w:gridCol w:w="146"/>
        <w:gridCol w:w="234"/>
        <w:gridCol w:w="126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t> </w:t>
              <w:br/>
              <w:t> </w:t>
              <w:br/>
              <w:t> </w:t>
              <w:br/>
              <w:t> </w:t>
              <w:br/>
              <w:t> </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 Share(1)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w:t>
              <w:br/>
              <w:t>Purchased as Part</w:t>
              <w:br/>
              <w:t>of Publicly</w:t>
              <w:br/>
              <w:t>Announced 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w:t>
              <w:br/>
              <w:t>(or Approximate</w:t>
              <w:br/>
              <w:t>Dollar Value)</w:t>
              <w:br/>
              <w:t>of Shares that May</w:t>
              <w:br/>
              <w:t>Yet Be Purchased</w:t>
              <w:br/>
              <w:t>Under the Plans</w:t>
              <w:br/>
              <w:t>or Programs(2)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04/01/26-04/30/26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671,942,850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05/01/26-05/31/26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616,954,641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06/01/26-06/30/26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559,414,606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559,414,606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Excludes broker and transaction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7, 2025, our Board of Directors adopted a share repurchase plan for the repurchase of up to an additional $1.0 billion of our outstanding ordinary shares with no expiration date. The May 2025 plan permits us to purchase our ordinary shares in the open market or through privately negotiated transactions at times and prices that we consider appropriate.</w:t>
      </w:r>
    </w:p>
    <w:p>
      <w:pPr>
        <w:pStyle w:val="TextBody"/>
        <w:bidi w:val="0"/>
        <w:spacing w:before="200" w:after="283"/>
        <w:jc w:val="both"/>
        <w:rPr>
          <w:rFonts w:ascii="Times New Roman" w:hAnsi="Times New Roman"/>
          <w:sz w:val="20"/>
        </w:rPr>
      </w:pPr>
      <w:bookmarkStart w:id="12" w:name="item2_reports_on_form_6k"/>
      <w:bookmarkEnd w:id="12"/>
      <w:r>
        <w:rPr>
          <w:rFonts w:ascii="Times New Roman" w:hAnsi="Times New Roman"/>
          <w:b/>
          <w:color w:val="000000"/>
          <w:sz w:val="20"/>
        </w:rPr>
        <w:t>Item 2. Reports on Form 6-K</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furnished or filed the following reports on Form 6-K during the three months ended June 30, 2026:</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Form 6-K dated May 26,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Form 6-K dated May 14,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bookmarkStart w:id="13" w:name="signatures"/>
      <w:bookmarkEnd w:id="13"/>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042" w:type="dxa"/>
        <w:jc w:val="left"/>
        <w:tblInd w:w="0" w:type="dxa"/>
        <w:tblLayout w:type="fixed"/>
        <w:tblCellMar>
          <w:top w:w="28" w:type="dxa"/>
          <w:left w:w="28" w:type="dxa"/>
          <w:bottom w:w="28" w:type="dxa"/>
          <w:right w:w="28" w:type="dxa"/>
        </w:tblCellMar>
      </w:tblPr>
      <w:tblGrid>
        <w:gridCol w:w="1951"/>
        <w:gridCol w:w="3091"/>
      </w:tblGrid>
      <w:tr>
        <w:trPr/>
        <w:tc>
          <w:tcPr>
            <w:tcW w:w="1951"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AMDOCS LIMITED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Matthew E. Smith</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Matthew E. Smith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Secretary and Authorized Signatory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18, 2026</w:t>
            </w:r>
          </w:p>
        </w:tc>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16026</Words>
  <Characters>87870</Characters>
  <CharactersWithSpaces>105773</CharactersWithSpaces>
  <Paragraphs>6790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