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0001974455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AMDOCS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001-14840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P.O BOX 263, HIRZEL HOUSE, SMITH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 PETER PORT</w:t>
      </w:r>
    </w:p>
    <w:p>
      <w:pPr>
        <w:spacing w:after="0" w:line="230" w:lineRule="auto"/>
        <w:rPr>
          <w:sz w:val="20"/>
          <w:szCs w:val="20"/>
          <w:color w:val="auto"/>
        </w:rPr>
      </w:pPr>
      <w:r>
        <w:rPr>
          <w:rFonts w:ascii="Times New Roman" w:cs="Times New Roman" w:eastAsia="Times New Roman" w:hAnsi="Times New Roman"/>
          <w:sz w:val="22"/>
          <w:szCs w:val="22"/>
          <w:color w:val="auto"/>
        </w:rPr>
        <w:t>GUERNSEY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011-44-1481-728444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Sheffer Yhoshua</w:t>
      </w:r>
    </w:p>
    <w:p>
      <w:pPr>
        <w:spacing w:after="0" w:line="44" w:lineRule="exact"/>
        <w:rPr>
          <w:sz w:val="24"/>
          <w:szCs w:val="24"/>
          <w:color w:val="auto"/>
        </w:rPr>
      </w:pPr>
    </w:p>
    <w:p>
      <w:pPr>
        <w:sectPr>
          <w:pgSz w:w="11900" w:h="16838" w:orient="portrait"/>
          <w:cols w:equalWidth="0" w:num="2">
            <w:col w:w="5740" w:space="580"/>
            <w:col w:w="49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101796</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5239440.10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108448276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8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20" w:space="480"/>
            <w:col w:w="3920" w:space="260"/>
            <w:col w:w="266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Ordinary</w:t>
            </w:r>
          </w:p>
        </w:tc>
        <w:tc>
          <w:tcPr>
            <w:tcW w:w="29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11/10/2024 Shares issued</w:t>
            </w:r>
          </w:p>
        </w:tc>
        <w:tc>
          <w:tcPr>
            <w:tcW w:w="23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AMDOCS LTD</w:t>
            </w:r>
          </w:p>
        </w:tc>
        <w:tc>
          <w:tcPr>
            <w:tcW w:w="170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39963</w:t>
            </w:r>
          </w:p>
        </w:tc>
        <w:tc>
          <w:tcPr>
            <w:tcW w:w="30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11/10/2024 No consideration,</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9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2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04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w w:val="96"/>
              </w:rPr>
              <w:t>shares issued upon</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9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RSUs</w:t>
            </w:r>
          </w:p>
        </w:tc>
        <w:tc>
          <w:tcPr>
            <w:tcW w:w="2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vesting of RSUs</w:t>
            </w:r>
          </w:p>
        </w:tc>
        <w:tc>
          <w:tcPr>
            <w:tcW w:w="0" w:type="dxa"/>
            <w:vAlign w:val="bottom"/>
          </w:tcPr>
          <w:p>
            <w:pPr>
              <w:spacing w:after="0"/>
              <w:rPr>
                <w:sz w:val="1"/>
                <w:szCs w:val="1"/>
                <w:color w:val="auto"/>
              </w:rPr>
            </w:pPr>
          </w:p>
        </w:tc>
      </w:tr>
      <w:tr>
        <w:trPr>
          <w:trHeight w:val="271"/>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29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Shares issued</w:t>
            </w:r>
          </w:p>
        </w:tc>
        <w:tc>
          <w:tcPr>
            <w:tcW w:w="23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30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No consideration,</w:t>
            </w:r>
          </w:p>
        </w:tc>
        <w:tc>
          <w:tcPr>
            <w:tcW w:w="0" w:type="dxa"/>
            <w:vAlign w:val="bottom"/>
          </w:tcPr>
          <w:p>
            <w:pPr>
              <w:spacing w:after="0"/>
              <w:rPr>
                <w:sz w:val="1"/>
                <w:szCs w:val="1"/>
                <w:color w:val="auto"/>
              </w:rPr>
            </w:pPr>
          </w:p>
        </w:tc>
      </w:tr>
      <w:tr>
        <w:trPr>
          <w:trHeight w:val="121"/>
        </w:trPr>
        <w:tc>
          <w:tcPr>
            <w:tcW w:w="1120" w:type="dxa"/>
            <w:vAlign w:val="bottom"/>
            <w:vMerge w:val="continue"/>
          </w:tcPr>
          <w:p>
            <w:pPr>
              <w:spacing w:after="0"/>
              <w:rPr>
                <w:sz w:val="10"/>
                <w:szCs w:val="10"/>
                <w:color w:val="auto"/>
              </w:rPr>
            </w:pPr>
          </w:p>
        </w:tc>
        <w:tc>
          <w:tcPr>
            <w:tcW w:w="290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11/05/2022 upon vesting of</w:t>
            </w:r>
          </w:p>
        </w:tc>
        <w:tc>
          <w:tcPr>
            <w:tcW w:w="2360" w:type="dxa"/>
            <w:vAlign w:val="bottom"/>
            <w:vMerge w:val="restart"/>
          </w:tcPr>
          <w:p>
            <w:pPr>
              <w:ind w:left="180"/>
              <w:spacing w:after="0" w:line="243" w:lineRule="exact"/>
              <w:rPr>
                <w:sz w:val="20"/>
                <w:szCs w:val="20"/>
                <w:color w:val="auto"/>
              </w:rPr>
            </w:pPr>
            <w:r>
              <w:rPr>
                <w:rFonts w:ascii="Times New Roman" w:cs="Times New Roman" w:eastAsia="Times New Roman" w:hAnsi="Times New Roman"/>
                <w:sz w:val="22"/>
                <w:szCs w:val="22"/>
                <w:color w:val="auto"/>
              </w:rPr>
              <w:t>AMDOCS LTD</w:t>
            </w:r>
          </w:p>
        </w:tc>
        <w:tc>
          <w:tcPr>
            <w:tcW w:w="1700" w:type="dxa"/>
            <w:vAlign w:val="bottom"/>
            <w:vMerge w:val="restart"/>
          </w:tcPr>
          <w:p>
            <w:pPr>
              <w:jc w:val="right"/>
              <w:ind w:right="272"/>
              <w:spacing w:after="0" w:line="243" w:lineRule="exact"/>
              <w:rPr>
                <w:sz w:val="20"/>
                <w:szCs w:val="20"/>
                <w:color w:val="auto"/>
              </w:rPr>
            </w:pPr>
            <w:r>
              <w:rPr>
                <w:rFonts w:ascii="Times New Roman" w:cs="Times New Roman" w:eastAsia="Times New Roman" w:hAnsi="Times New Roman"/>
                <w:sz w:val="22"/>
                <w:szCs w:val="22"/>
                <w:color w:val="auto"/>
              </w:rPr>
              <w:t>35368</w:t>
            </w:r>
          </w:p>
        </w:tc>
        <w:tc>
          <w:tcPr>
            <w:tcW w:w="3040" w:type="dxa"/>
            <w:vAlign w:val="bottom"/>
            <w:vMerge w:val="restart"/>
          </w:tcPr>
          <w:p>
            <w:pPr>
              <w:ind w:left="380"/>
              <w:spacing w:after="0" w:line="243" w:lineRule="exact"/>
              <w:rPr>
                <w:sz w:val="20"/>
                <w:szCs w:val="20"/>
                <w:color w:val="auto"/>
              </w:rPr>
            </w:pPr>
            <w:r>
              <w:rPr>
                <w:rFonts w:ascii="Times New Roman" w:cs="Times New Roman" w:eastAsia="Times New Roman" w:hAnsi="Times New Roman"/>
                <w:sz w:val="22"/>
                <w:szCs w:val="22"/>
                <w:color w:val="auto"/>
                <w:w w:val="97"/>
              </w:rPr>
              <w:t>11/05/2022 shares issued upon</w:t>
            </w:r>
          </w:p>
        </w:tc>
        <w:tc>
          <w:tcPr>
            <w:tcW w:w="0" w:type="dxa"/>
            <w:vAlign w:val="bottom"/>
          </w:tcPr>
          <w:p>
            <w:pPr>
              <w:spacing w:after="0"/>
              <w:rPr>
                <w:sz w:val="1"/>
                <w:szCs w:val="1"/>
                <w:color w:val="auto"/>
              </w:rPr>
            </w:pPr>
          </w:p>
        </w:tc>
      </w:tr>
      <w:tr>
        <w:trPr>
          <w:trHeight w:val="12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900" w:type="dxa"/>
            <w:vAlign w:val="bottom"/>
            <w:vMerge w:val="continue"/>
          </w:tcPr>
          <w:p>
            <w:pPr>
              <w:spacing w:after="0"/>
              <w:rPr>
                <w:sz w:val="10"/>
                <w:szCs w:val="10"/>
                <w:color w:val="auto"/>
              </w:rPr>
            </w:pPr>
          </w:p>
        </w:tc>
        <w:tc>
          <w:tcPr>
            <w:tcW w:w="236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3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20" w:type="dxa"/>
            <w:vAlign w:val="bottom"/>
            <w:vMerge w:val="continue"/>
          </w:tcPr>
          <w:p>
            <w:pPr>
              <w:spacing w:after="0"/>
              <w:rPr>
                <w:sz w:val="13"/>
                <w:szCs w:val="13"/>
                <w:color w:val="auto"/>
              </w:rPr>
            </w:pPr>
          </w:p>
        </w:tc>
        <w:tc>
          <w:tcPr>
            <w:tcW w:w="290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RSUs</w:t>
            </w:r>
          </w:p>
        </w:tc>
        <w:tc>
          <w:tcPr>
            <w:tcW w:w="2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040" w:type="dxa"/>
            <w:vAlign w:val="bottom"/>
            <w:vMerge w:val="restart"/>
          </w:tcPr>
          <w:p>
            <w:pPr>
              <w:ind w:left="1420"/>
              <w:spacing w:after="0"/>
              <w:rPr>
                <w:sz w:val="20"/>
                <w:szCs w:val="20"/>
                <w:color w:val="auto"/>
              </w:rPr>
            </w:pPr>
            <w:r>
              <w:rPr>
                <w:rFonts w:ascii="Times New Roman" w:cs="Times New Roman" w:eastAsia="Times New Roman" w:hAnsi="Times New Roman"/>
                <w:sz w:val="22"/>
                <w:szCs w:val="22"/>
                <w:color w:val="auto"/>
              </w:rPr>
              <w:t>vesting of RSUs</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2900" w:type="dxa"/>
            <w:vAlign w:val="bottom"/>
            <w:vMerge w:val="continue"/>
          </w:tcPr>
          <w:p>
            <w:pPr>
              <w:spacing w:after="0"/>
              <w:rPr>
                <w:sz w:val="10"/>
                <w:szCs w:val="10"/>
                <w:color w:val="auto"/>
              </w:rPr>
            </w:pPr>
          </w:p>
        </w:tc>
        <w:tc>
          <w:tcPr>
            <w:tcW w:w="23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29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Shares issued</w:t>
            </w:r>
          </w:p>
        </w:tc>
        <w:tc>
          <w:tcPr>
            <w:tcW w:w="23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0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No consideration,</w:t>
            </w:r>
          </w:p>
        </w:tc>
        <w:tc>
          <w:tcPr>
            <w:tcW w:w="0" w:type="dxa"/>
            <w:vAlign w:val="bottom"/>
          </w:tcPr>
          <w:p>
            <w:pPr>
              <w:spacing w:after="0"/>
              <w:rPr>
                <w:sz w:val="1"/>
                <w:szCs w:val="1"/>
                <w:color w:val="auto"/>
              </w:rPr>
            </w:pPr>
          </w:p>
        </w:tc>
      </w:tr>
      <w:tr>
        <w:trPr>
          <w:trHeight w:val="122"/>
        </w:trPr>
        <w:tc>
          <w:tcPr>
            <w:tcW w:w="1120" w:type="dxa"/>
            <w:vAlign w:val="bottom"/>
            <w:vMerge w:val="continue"/>
          </w:tcPr>
          <w:p>
            <w:pPr>
              <w:spacing w:after="0"/>
              <w:rPr>
                <w:sz w:val="10"/>
                <w:szCs w:val="10"/>
                <w:color w:val="auto"/>
              </w:rPr>
            </w:pPr>
          </w:p>
        </w:tc>
        <w:tc>
          <w:tcPr>
            <w:tcW w:w="290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11/11/2021 upon vesting of</w:t>
            </w:r>
          </w:p>
        </w:tc>
        <w:tc>
          <w:tcPr>
            <w:tcW w:w="2360" w:type="dxa"/>
            <w:vAlign w:val="bottom"/>
            <w:vMerge w:val="restart"/>
          </w:tcPr>
          <w:p>
            <w:pPr>
              <w:ind w:left="180"/>
              <w:spacing w:after="0" w:line="243" w:lineRule="exact"/>
              <w:rPr>
                <w:sz w:val="20"/>
                <w:szCs w:val="20"/>
                <w:color w:val="auto"/>
              </w:rPr>
            </w:pPr>
            <w:r>
              <w:rPr>
                <w:rFonts w:ascii="Times New Roman" w:cs="Times New Roman" w:eastAsia="Times New Roman" w:hAnsi="Times New Roman"/>
                <w:sz w:val="22"/>
                <w:szCs w:val="22"/>
                <w:color w:val="auto"/>
              </w:rPr>
              <w:t>AMDOCS LTD</w:t>
            </w:r>
          </w:p>
        </w:tc>
        <w:tc>
          <w:tcPr>
            <w:tcW w:w="1700" w:type="dxa"/>
            <w:vAlign w:val="bottom"/>
            <w:vMerge w:val="restart"/>
          </w:tcPr>
          <w:p>
            <w:pPr>
              <w:jc w:val="right"/>
              <w:ind w:right="272"/>
              <w:spacing w:after="0" w:line="243" w:lineRule="exact"/>
              <w:rPr>
                <w:sz w:val="20"/>
                <w:szCs w:val="20"/>
                <w:color w:val="auto"/>
              </w:rPr>
            </w:pPr>
            <w:r>
              <w:rPr>
                <w:rFonts w:ascii="Times New Roman" w:cs="Times New Roman" w:eastAsia="Times New Roman" w:hAnsi="Times New Roman"/>
                <w:sz w:val="22"/>
                <w:szCs w:val="22"/>
                <w:color w:val="auto"/>
              </w:rPr>
              <w:t>39786</w:t>
            </w:r>
          </w:p>
        </w:tc>
        <w:tc>
          <w:tcPr>
            <w:tcW w:w="3040" w:type="dxa"/>
            <w:vAlign w:val="bottom"/>
            <w:vMerge w:val="restart"/>
          </w:tcPr>
          <w:p>
            <w:pPr>
              <w:ind w:left="380"/>
              <w:spacing w:after="0" w:line="243" w:lineRule="exact"/>
              <w:rPr>
                <w:sz w:val="20"/>
                <w:szCs w:val="20"/>
                <w:color w:val="auto"/>
              </w:rPr>
            </w:pPr>
            <w:r>
              <w:rPr>
                <w:rFonts w:ascii="Times New Roman" w:cs="Times New Roman" w:eastAsia="Times New Roman" w:hAnsi="Times New Roman"/>
                <w:sz w:val="22"/>
                <w:szCs w:val="22"/>
                <w:color w:val="auto"/>
                <w:w w:val="97"/>
              </w:rPr>
              <w:t>11/11/2021 shares issued upon</w:t>
            </w:r>
          </w:p>
        </w:tc>
        <w:tc>
          <w:tcPr>
            <w:tcW w:w="0" w:type="dxa"/>
            <w:vAlign w:val="bottom"/>
          </w:tcPr>
          <w:p>
            <w:pPr>
              <w:spacing w:after="0"/>
              <w:rPr>
                <w:sz w:val="1"/>
                <w:szCs w:val="1"/>
                <w:color w:val="auto"/>
              </w:rPr>
            </w:pPr>
          </w:p>
        </w:tc>
      </w:tr>
      <w:tr>
        <w:trPr>
          <w:trHeight w:val="12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900" w:type="dxa"/>
            <w:vAlign w:val="bottom"/>
            <w:vMerge w:val="continue"/>
          </w:tcPr>
          <w:p>
            <w:pPr>
              <w:spacing w:after="0"/>
              <w:rPr>
                <w:sz w:val="10"/>
                <w:szCs w:val="10"/>
                <w:color w:val="auto"/>
              </w:rPr>
            </w:pPr>
          </w:p>
        </w:tc>
        <w:tc>
          <w:tcPr>
            <w:tcW w:w="236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3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20" w:type="dxa"/>
            <w:vAlign w:val="bottom"/>
            <w:vMerge w:val="continue"/>
          </w:tcPr>
          <w:p>
            <w:pPr>
              <w:spacing w:after="0"/>
              <w:rPr>
                <w:sz w:val="13"/>
                <w:szCs w:val="13"/>
                <w:color w:val="auto"/>
              </w:rPr>
            </w:pPr>
          </w:p>
        </w:tc>
        <w:tc>
          <w:tcPr>
            <w:tcW w:w="290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RSUs</w:t>
            </w:r>
          </w:p>
        </w:tc>
        <w:tc>
          <w:tcPr>
            <w:tcW w:w="2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040" w:type="dxa"/>
            <w:vAlign w:val="bottom"/>
            <w:vMerge w:val="restart"/>
          </w:tcPr>
          <w:p>
            <w:pPr>
              <w:ind w:left="1420"/>
              <w:spacing w:after="0"/>
              <w:rPr>
                <w:sz w:val="20"/>
                <w:szCs w:val="20"/>
                <w:color w:val="auto"/>
              </w:rPr>
            </w:pPr>
            <w:r>
              <w:rPr>
                <w:rFonts w:ascii="Times New Roman" w:cs="Times New Roman" w:eastAsia="Times New Roman" w:hAnsi="Times New Roman"/>
                <w:sz w:val="22"/>
                <w:szCs w:val="22"/>
                <w:color w:val="auto"/>
              </w:rPr>
              <w:t>vesting of RSUs</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2900" w:type="dxa"/>
            <w:vAlign w:val="bottom"/>
            <w:vMerge w:val="continue"/>
          </w:tcPr>
          <w:p>
            <w:pPr>
              <w:spacing w:after="0"/>
              <w:rPr>
                <w:sz w:val="10"/>
                <w:szCs w:val="10"/>
                <w:color w:val="auto"/>
              </w:rPr>
            </w:pPr>
          </w:p>
        </w:tc>
        <w:tc>
          <w:tcPr>
            <w:tcW w:w="23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-1473200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Yhoshua Sheffer</w:t>
      </w:r>
    </w:p>
    <w:p>
      <w:pPr>
        <w:spacing w:after="0" w:line="14" w:lineRule="exact"/>
        <w:rPr>
          <w:sz w:val="20"/>
          <w:szCs w:val="20"/>
          <w:color w:val="auto"/>
        </w:rPr>
      </w:pPr>
    </w:p>
    <w:p>
      <w:pPr>
        <w:ind w:left="40" w:right="180"/>
        <w:spacing w:after="0" w:line="230" w:lineRule="auto"/>
        <w:rPr>
          <w:sz w:val="20"/>
          <w:szCs w:val="20"/>
          <w:color w:val="auto"/>
        </w:rPr>
      </w:pPr>
      <w:r>
        <w:rPr>
          <w:rFonts w:ascii="Times New Roman" w:cs="Times New Roman" w:eastAsia="Times New Roman" w:hAnsi="Times New Roman"/>
          <w:sz w:val="22"/>
          <w:szCs w:val="22"/>
          <w:color w:val="auto"/>
        </w:rPr>
        <w:t>P.O BOX 263, HIRZEL HOUSE, SMITH STREET</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 PETER PORT  Y7  0000</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05/15/2026 50853</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3130002.15</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20" w:space="540"/>
            <w:col w:w="7580"/>
          </w:cols>
          <w:pgMar w:left="320" w:top="102"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3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06/22/2026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16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7"/>
              </w:rPr>
              <w:t>Yhoshua Sheffer By: /s/ Meirav Shemesh Title: Authorized Signatory, Oppenheimer Israel (pursuant to</w:t>
            </w:r>
          </w:p>
        </w:tc>
        <w:tc>
          <w:tcPr>
            <w:tcW w:w="0" w:type="dxa"/>
            <w:vAlign w:val="bottom"/>
          </w:tcPr>
          <w:p>
            <w:pPr>
              <w:spacing w:after="0"/>
              <w:rPr>
                <w:sz w:val="1"/>
                <w:szCs w:val="1"/>
                <w:color w:val="auto"/>
              </w:rPr>
            </w:pPr>
          </w:p>
        </w:tc>
      </w:tr>
      <w:tr>
        <w:trPr>
          <w:trHeight w:val="161"/>
        </w:trPr>
        <w:tc>
          <w:tcPr>
            <w:tcW w:w="1080" w:type="dxa"/>
            <w:vAlign w:val="bottom"/>
            <w:vMerge w:val="continue"/>
          </w:tcPr>
          <w:p>
            <w:pPr>
              <w:spacing w:after="0"/>
              <w:rPr>
                <w:sz w:val="13"/>
                <w:szCs w:val="13"/>
                <w:color w:val="auto"/>
              </w:rPr>
            </w:pPr>
          </w:p>
        </w:tc>
        <w:tc>
          <w:tcPr>
            <w:tcW w:w="91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delegation)</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9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2026-06-23T07:25:26Z</dcterms:created>
  <dcterms:modified xsi:type="dcterms:W3CDTF">2026-06-23T07:25:26Z</dcterms:modified>
</cp:coreProperties>
</file>