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7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ind w:right="-7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7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79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0"/>
          <w:szCs w:val="20"/>
          <w:color w:val="auto"/>
        </w:rPr>
      </w:pPr>
    </w:p>
    <w:p>
      <w:pPr>
        <w:jc w:val="center"/>
        <w:ind w:right="-7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0"/>
          <w:szCs w:val="20"/>
          <w:color w:val="auto"/>
        </w:rPr>
      </w:pPr>
    </w:p>
    <w:p>
      <w:pPr>
        <w:jc w:val="center"/>
        <w:ind w:right="-799"/>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7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For the month of April, 2008.</w:t>
      </w:r>
    </w:p>
    <w:p>
      <w:pPr>
        <w:spacing w:after="0" w:line="225"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Commission File Number 1-14840</w:t>
      </w:r>
    </w:p>
    <w:p>
      <w:pPr>
        <w:spacing w:after="0" w:line="200" w:lineRule="exact"/>
        <w:rPr>
          <w:sz w:val="20"/>
          <w:szCs w:val="20"/>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46"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Suite 5, Tower Hill House Le Bordage</w:t>
      </w:r>
    </w:p>
    <w:p>
      <w:pPr>
        <w:spacing w:after="0" w:line="27"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St. Peter Port, Island of Guernsey, GY1 3QT Channel Islands</w:t>
      </w:r>
    </w:p>
    <w:p>
      <w:pPr>
        <w:spacing w:after="0" w:line="182" w:lineRule="exact"/>
        <w:rPr>
          <w:sz w:val="20"/>
          <w:szCs w:val="20"/>
          <w:color w:val="auto"/>
        </w:rPr>
      </w:pPr>
    </w:p>
    <w:p>
      <w:pPr>
        <w:jc w:val="center"/>
        <w:ind w:right="-799"/>
        <w:spacing w:after="0"/>
        <w:rPr>
          <w:sz w:val="20"/>
          <w:szCs w:val="20"/>
          <w:color w:val="auto"/>
        </w:rPr>
      </w:pPr>
      <w:r>
        <w:rPr>
          <w:rFonts w:ascii="Arial" w:cs="Arial" w:eastAsia="Arial" w:hAnsi="Arial"/>
          <w:sz w:val="43"/>
          <w:szCs w:val="43"/>
          <w:b w:val="1"/>
          <w:bCs w:val="1"/>
          <w:color w:val="auto"/>
        </w:rPr>
        <w:t>Amdocs, Inc.</w:t>
      </w:r>
    </w:p>
    <w:p>
      <w:pPr>
        <w:spacing w:after="0" w:line="50"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1390 Timberlake Manor Parkway, Chesterfield, Missouri 63017</w:t>
      </w:r>
    </w:p>
    <w:p>
      <w:pPr>
        <w:spacing w:after="0" w:line="20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(Address of principal executive offices)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0"/>
          <w:szCs w:val="20"/>
          <w:color w:val="auto"/>
        </w:rPr>
      </w:pPr>
    </w:p>
    <w:p>
      <w:pPr>
        <w:ind w:left="4280"/>
        <w:spacing w:after="0" w:line="207" w:lineRule="exact"/>
        <w:tabs>
          <w:tab w:leader="none" w:pos="61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FORM 40-F o</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0"/>
          <w:szCs w:val="20"/>
          <w:color w:val="auto"/>
        </w:rPr>
      </w:pPr>
    </w:p>
    <w:p>
      <w:pPr>
        <w:ind w:left="4860"/>
        <w:spacing w:after="0" w:line="207" w:lineRule="exact"/>
        <w:tabs>
          <w:tab w:leader="none" w:pos="608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591185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927" w:right="1039" w:bottom="1440" w:gutter="0" w:footer="0" w:header="0"/>
        </w:sectPr>
      </w:pPr>
    </w:p>
    <w:bookmarkStart w:id="2" w:name="page3"/>
    <w:bookmarkEnd w:id="2"/>
    <w:p>
      <w:pPr>
        <w:ind w:firstLine="225"/>
        <w:spacing w:after="0" w:line="277" w:lineRule="auto"/>
        <w:rPr>
          <w:sz w:val="20"/>
          <w:szCs w:val="20"/>
          <w:color w:val="auto"/>
        </w:rPr>
      </w:pPr>
      <w:r>
        <w:rPr>
          <w:rFonts w:ascii="Arial" w:cs="Arial" w:eastAsia="Arial" w:hAnsi="Arial"/>
          <w:sz w:val="18"/>
          <w:szCs w:val="18"/>
          <w:color w:val="auto"/>
        </w:rPr>
        <w:t>On April 17, 2008, Amdocs Limited (“Amdocs”) issued a press release announcing financial results for the quarter ended March 31, 2008. A copy of the press release is furnished as Exhibit 99.1 to this Report of Foreign Private Issuer on Form 6-K.</w:t>
      </w:r>
    </w:p>
    <w:p>
      <w:pPr>
        <w:spacing w:after="0" w:line="62" w:lineRule="exact"/>
        <w:rPr>
          <w:sz w:val="20"/>
          <w:szCs w:val="20"/>
          <w:color w:val="auto"/>
        </w:rPr>
      </w:pPr>
    </w:p>
    <w:p>
      <w:pPr>
        <w:jc w:val="both"/>
        <w:ind w:right="300" w:firstLine="225"/>
        <w:spacing w:after="0" w:line="264" w:lineRule="auto"/>
        <w:rPr>
          <w:sz w:val="20"/>
          <w:szCs w:val="20"/>
          <w:color w:val="auto"/>
        </w:rPr>
      </w:pPr>
      <w:r>
        <w:rPr>
          <w:rFonts w:ascii="Arial" w:cs="Arial" w:eastAsia="Arial" w:hAnsi="Arial"/>
          <w:sz w:val="18"/>
          <w:szCs w:val="18"/>
          <w:color w:val="auto"/>
        </w:rPr>
        <w:t>On April 17, 2008, Amdocs issued a press release announcing that Eli Gelman will relinquish his role as chief operating officer of Amdocs effective immediately, though he will remain as a member of the Amdocs management team effective January 1, 2009. A copy of the press release is furnished as exhibit 99.2 to this Report of Foreign Private Issuer on Form 6-k.</w:t>
      </w:r>
    </w:p>
    <w:p>
      <w:pPr>
        <w:spacing w:after="0" w:line="73" w:lineRule="exact"/>
        <w:rPr>
          <w:sz w:val="20"/>
          <w:szCs w:val="20"/>
          <w:color w:val="auto"/>
        </w:rPr>
      </w:pPr>
    </w:p>
    <w:p>
      <w:pPr>
        <w:ind w:right="240" w:firstLine="222"/>
        <w:spacing w:after="0" w:line="264" w:lineRule="auto"/>
        <w:rPr>
          <w:sz w:val="20"/>
          <w:szCs w:val="20"/>
          <w:color w:val="auto"/>
        </w:rPr>
      </w:pPr>
      <w:r>
        <w:rPr>
          <w:rFonts w:ascii="Arial" w:cs="Arial" w:eastAsia="Arial" w:hAnsi="Arial"/>
          <w:sz w:val="18"/>
          <w:szCs w:val="18"/>
          <w:color w:val="auto"/>
        </w:rPr>
        <w:t>The information in this Form 6-K (including Exhibit 99.1 and Exhibit 99.2)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5" w:right="399" w:bottom="1440" w:gutter="0" w:footer="0" w:header="0"/>
        </w:sectPr>
      </w:pPr>
    </w:p>
    <w:bookmarkStart w:id="3" w:name="page4"/>
    <w:bookmarkEnd w:id="3"/>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Thomas G. O’Brien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Treasurer and Secretary</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Authorized U.S. Representative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58" w:right="3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0" w:type="dxa"/>
            <w:vAlign w:val="bottom"/>
          </w:tcPr>
          <w:p>
            <w:pPr>
              <w:ind w:left="3640"/>
              <w:spacing w:after="0"/>
              <w:rPr>
                <w:sz w:val="20"/>
                <w:szCs w:val="20"/>
                <w:color w:val="auto"/>
              </w:rPr>
            </w:pPr>
            <w:r>
              <w:rPr>
                <w:rFonts w:ascii="Arial" w:cs="Arial" w:eastAsia="Arial" w:hAnsi="Arial"/>
                <w:sz w:val="18"/>
                <w:szCs w:val="18"/>
                <w:color w:val="auto"/>
              </w:rPr>
              <w:t>EXHIBIT INDEX</w:t>
            </w:r>
          </w:p>
        </w:tc>
      </w:tr>
      <w:tr>
        <w:trPr>
          <w:trHeight w:val="365"/>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NO.</w:t>
            </w:r>
          </w:p>
        </w:tc>
        <w:tc>
          <w:tcPr>
            <w:tcW w:w="540" w:type="dxa"/>
            <w:vAlign w:val="bottom"/>
          </w:tcPr>
          <w:p>
            <w:pPr>
              <w:spacing w:after="0"/>
              <w:rPr>
                <w:sz w:val="24"/>
                <w:szCs w:val="24"/>
                <w:color w:val="auto"/>
              </w:rPr>
            </w:pPr>
          </w:p>
        </w:tc>
        <w:tc>
          <w:tcPr>
            <w:tcW w:w="10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Amdocs Limited Press Release dated April 17, 2008.</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99.2</w:t>
            </w:r>
          </w:p>
        </w:tc>
        <w:tc>
          <w:tcPr>
            <w:tcW w:w="54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Amdocs Limited Press Release dated April 17, 2008.</w:t>
            </w:r>
          </w:p>
        </w:tc>
      </w:tr>
    </w:tbl>
    <w:p>
      <w:pPr>
        <w:sectPr>
          <w:pgSz w:w="11900" w:h="16838" w:orient="portrait"/>
          <w:cols w:equalWidth="0" w:num="1">
            <w:col w:w="11420"/>
          </w:cols>
          <w:pgMar w:left="240" w:top="962"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Amdocs Limited Reports Strong Revenue Growth</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Reports Record Quarterly Revenue of $774 Million, Exceeding Guidance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Key highlights:</w:t>
      </w:r>
    </w:p>
    <w:p>
      <w:pPr>
        <w:spacing w:after="0" w:line="104" w:lineRule="exact"/>
        <w:rPr>
          <w:sz w:val="20"/>
          <w:szCs w:val="20"/>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Second quarter revenue increased to $774 million, exceeding guidance of $757-$767 million</w:t>
      </w:r>
    </w:p>
    <w:p>
      <w:pPr>
        <w:spacing w:after="0" w:line="117" w:lineRule="exact"/>
        <w:rPr>
          <w:rFonts w:ascii="Arial" w:cs="Arial" w:eastAsia="Arial" w:hAnsi="Arial"/>
          <w:sz w:val="18"/>
          <w:szCs w:val="18"/>
          <w:b w:val="1"/>
          <w:bCs w:val="1"/>
          <w:color w:val="auto"/>
        </w:rPr>
      </w:pPr>
    </w:p>
    <w:p>
      <w:pPr>
        <w:ind w:left="660" w:hanging="436"/>
        <w:spacing w:after="0" w:line="246"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Second quarter diluted non-GAAP EPS, excluding acquisition-related costs and equity-based compensation expense, net of related tax effects, increased to $0.58, in line with guidance of $0.57-$0.59 diluted EPS</w:t>
      </w:r>
    </w:p>
    <w:p>
      <w:pPr>
        <w:spacing w:after="0" w:line="102"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Diluted GAAP EPS of $0.46 for the quarter</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Free cash flow of $63 million for the quarter</w:t>
      </w:r>
    </w:p>
    <w:p>
      <w:pPr>
        <w:spacing w:after="0" w:line="117" w:lineRule="exact"/>
        <w:rPr>
          <w:rFonts w:ascii="Arial" w:cs="Arial" w:eastAsia="Arial" w:hAnsi="Arial"/>
          <w:sz w:val="18"/>
          <w:szCs w:val="18"/>
          <w:b w:val="1"/>
          <w:bCs w:val="1"/>
          <w:color w:val="auto"/>
        </w:rPr>
      </w:pPr>
    </w:p>
    <w:p>
      <w:pPr>
        <w:ind w:left="660" w:right="40" w:hanging="436"/>
        <w:spacing w:after="0" w:line="239"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Third quarter fiscal 2008 guidance: Expected revenue of approximately $790-$805 million and diluted non-GAAP EPS of $0.59-$0.61, excluding acquisition-related costs and approximately $0.06-$0.07 per share of equity-based compensation expense, net of related tax effects. Diluted GAAP EPS is expected to be approximately $0.45-$0.48, without taking into account potential purchase price adjustments relating to the acquisition of Jacobs Rimell in April 2008</w:t>
      </w:r>
    </w:p>
    <w:p>
      <w:pPr>
        <w:spacing w:after="0" w:line="107" w:lineRule="exact"/>
        <w:rPr>
          <w:rFonts w:ascii="Arial" w:cs="Arial" w:eastAsia="Arial" w:hAnsi="Arial"/>
          <w:sz w:val="18"/>
          <w:szCs w:val="18"/>
          <w:b w:val="1"/>
          <w:bCs w:val="1"/>
          <w:color w:val="auto"/>
        </w:rPr>
      </w:pPr>
    </w:p>
    <w:p>
      <w:pPr>
        <w:ind w:left="660" w:right="40" w:hanging="436"/>
        <w:spacing w:after="0" w:line="239"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Updated fiscal 2008 guidance: Expected revenue of approximately $3.09–$3.15 billion and diluted non-GAAP EPS of $2.31-$2.37, excluding acquisition-related costs and approximately $0.21-$0.24 per share of equity-based compensation expense, net of related tax effects. Diluted GAAP EPS is expected to be approximately $1.81-$1.90, without taking into account potential purchase price adjustments relating to the acquisition of Jacobs Rimell in April 2008</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 Louis, MO – April 17, 2008 </w:t>
      </w:r>
      <w:r>
        <w:rPr>
          <w:rFonts w:ascii="Arial" w:cs="Arial" w:eastAsia="Arial" w:hAnsi="Arial"/>
          <w:sz w:val="18"/>
          <w:szCs w:val="18"/>
          <w:color w:val="auto"/>
        </w:rPr>
        <w:t>– Amdocs Limited (NYSE: DOX) today reported that for the quarter ended March 31, 2008, revenue was</w:t>
      </w:r>
    </w:p>
    <w:p>
      <w:pPr>
        <w:spacing w:after="0" w:line="18"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$774.3 million, an increase of 9.6% from last year’s second quarter. Net income on a non-GAAP basis was $126.6 million, or $0.58 per diluted share (excluding acquisition-related costs, which include amortization of purchased intangible assets, and excluding equity-based compensation expense, net of related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6" w:name="page7"/>
    <w:bookmarkEnd w:id="6"/>
    <w:p>
      <w:pPr>
        <w:ind w:right="100"/>
        <w:spacing w:after="0" w:line="237" w:lineRule="auto"/>
        <w:rPr>
          <w:sz w:val="20"/>
          <w:szCs w:val="20"/>
          <w:color w:val="auto"/>
        </w:rPr>
      </w:pPr>
      <w:r>
        <w:rPr>
          <w:rFonts w:ascii="Arial" w:cs="Arial" w:eastAsia="Arial" w:hAnsi="Arial"/>
          <w:sz w:val="18"/>
          <w:szCs w:val="18"/>
          <w:color w:val="auto"/>
        </w:rPr>
        <w:t>effects, of $26.8 million), compared to non-GAAP net income of $114.5 million, or $0.52 per diluted share, in the second quarter of fiscal 2007 (excluding acquisition-related costs, which include amortization of purchased intangible assets, in-process research and development write-off and other, and excluding restructuring charges and equity-based compensation expense, net of related tax effects, of $27.3 million). The Company’s GAAP net income was $99.9 million, or $0.46 per diluted share, compared to GAAP net income of $87.2 million, or $0.40 per diluted share, in the second quarter of fiscal 2007. Free cash flow for the quarter was $63.1 million, comprised of cash flow from operations of $97.3 million less $34.2 million in net capital expenditures and other.</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pleased to report that we have exceeded our plans for this quarter and for the first half of fiscal 2008,” said Dov Baharav, chief executive officer of Amdocs Management Limited. “Our strong results are driven by an expansion of our managed services business and by expanding our implementations of mission-critical systems in both developed and emerging markets. We recognize that there is uncertainty in the market as economic conditions have become more challenging and we believe that our forecasts for the second half of this fiscal year take this into account. Our customers recognize that Amdocs systems including our new CES 7.5 offering can help them to increase revenue and reduce costs; the result for Amdocs is greater customer commitments and a strong pipeline of potential business. We continue to see demand for projects supporting new initiatives as well as from projects focused more on cost savings, including managed services opportunities, and we look forward to continued growth in the second half of fiscal 2008.”</w:t>
      </w:r>
    </w:p>
    <w:p>
      <w:pPr>
        <w:spacing w:after="0" w:line="10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the second quarter Amdocs had numerous wins across lines of business and geographies. The Company continued to show progress in the operational support systems (OSS) area by winning a strategic deal with a large North American service provider. In Europe, Amdocs signed an important CRM deal with a large wireless carrier to help them improve their customer experience. The Company had several wins with wireless carriers including a consulting engagement to help a service provider introduce new, innovative offerings. Amdocs won several new deals in emerging markets based on the Amdocs Compact Convergence Suite.</w:t>
      </w:r>
    </w:p>
    <w:p>
      <w:pPr>
        <w:spacing w:after="0" w:line="95" w:lineRule="exact"/>
        <w:rPr>
          <w:sz w:val="20"/>
          <w:szCs w:val="20"/>
          <w:color w:val="auto"/>
        </w:rPr>
      </w:pPr>
    </w:p>
    <w:p>
      <w:pPr>
        <w:ind w:right="740"/>
        <w:spacing w:after="0" w:line="246" w:lineRule="auto"/>
        <w:rPr>
          <w:sz w:val="20"/>
          <w:szCs w:val="20"/>
          <w:color w:val="auto"/>
        </w:rPr>
      </w:pPr>
      <w:r>
        <w:rPr>
          <w:rFonts w:ascii="Arial" w:cs="Arial" w:eastAsia="Arial" w:hAnsi="Arial"/>
          <w:sz w:val="18"/>
          <w:szCs w:val="18"/>
          <w:color w:val="auto"/>
        </w:rPr>
        <w:t>Amdocs is continuing to expand and strengthen its position in the broadband cable and satellite market with several wins and a recent acquisition. In addition to the wins noted above, a large broadband cable operator in North America has chosen Amdocs to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7" w:name="page8"/>
    <w:bookmarkEnd w:id="7"/>
    <w:p>
      <w:pPr>
        <w:ind w:right="60"/>
        <w:spacing w:after="0"/>
        <w:rPr>
          <w:sz w:val="20"/>
          <w:szCs w:val="20"/>
          <w:color w:val="auto"/>
        </w:rPr>
      </w:pPr>
      <w:r>
        <w:rPr>
          <w:rFonts w:ascii="Arial" w:cs="Arial" w:eastAsia="Arial" w:hAnsi="Arial"/>
          <w:sz w:val="18"/>
          <w:szCs w:val="18"/>
          <w:color w:val="auto"/>
        </w:rPr>
        <w:t>self-service capabilities including an eBill presentment and payment solution. The Company also won service projects related to requirements scoping, which can be the initial phase of system transformation. Shortly after the end of the quarter, Amdocs announced the acquisition of Jacobs Rimell in order to expand its capabilities in OSS for broadband.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12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Amdocs expects that revenue for the third quarter of fiscal 2008 will be approximately $790-$805 million. Diluted earnings per share on a non-GAAP basis for the third quarter are expected to be $0.59-$0.61, excluding acquisition-related costs and approximately $0.06-$0.07 per share of equity-based compensation expense, net of related tax effects. Diluted GAAP EPS is expected to be approximately $0.45-$0.48, without taking into account potential purchase price adjustments relating to the acquisition of Jacobs Rimell in April 2008.</w:t>
      </w:r>
    </w:p>
    <w:p>
      <w:pPr>
        <w:spacing w:after="0" w:line="9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Updated fiscal 2008 guidance: Expected revenue of approximately $3.09-$3.15 billion and diluted non-GAAP EPS of $2.31-$ 2.37, excluding acquisition-related costs and approximately $0.21-$0.24 per share of equity-based compensation expense, net of related tax effects. Diluted GAAP EPS is expected to be approximately $1.81-$1.90, without taking into account potential purchase price adjustments relating to the acquisition of Jacobs Rimell in April 2008.</w:t>
      </w:r>
    </w:p>
    <w:p>
      <w:pPr>
        <w:spacing w:after="0" w:line="94"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Amdocs will host a conference call on April 17, 2008 at 5 p.m. Eastern Time to discuss the Company’s second quarter results. The call will be carried live on the Internet via www.InvestorCalendar.com and the Amdocs website, www.amdocs.com.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This release includes non-GAAP diluted earnings per share and other non-GAAP financial measures, including free cash flow, non-GAAP cost of service, non-GAAP research and development, non-GAAP selling, general and administrative, non-GAAP operating income, non-GAAP income taxes and non-GAAP net income. These non-GAAP measures exclude the following items:</w:t>
      </w:r>
    </w:p>
    <w:p>
      <w:pPr>
        <w:spacing w:after="0" w:line="95"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amortization of purchased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49" w:right="339" w:bottom="1440" w:gutter="0" w:footer="0" w:header="0"/>
        </w:sectPr>
      </w:pPr>
    </w:p>
    <w:bookmarkStart w:id="8" w:name="page9"/>
    <w:bookmarkEnd w:id="8"/>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in-process research and development write-off and other,</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restructuring charges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equity-based compensation expense; and</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tax effects related to the above.</w:t>
      </w:r>
    </w:p>
    <w:p>
      <w:pPr>
        <w:spacing w:after="0" w:line="10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Amdocs believes that the presentation of non-GAAP diluted earnings per share and other financial measures, including free cash flow, non-GAAP cost of service, non-GAAP research and development, non-GAAP selling, general and administrative, non-GAAP operating income, non-GAAP income taxes and non-GAAP net income,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97"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For its internal budgeting process and in monitoring the results of the business, Amdocs’ management uses financial statements that do not include amortization of purchased intangible assets, in-process research and development write-off and other, restructuring charges,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non-cash expenses in reviewing its results and those of its competitors, because the amounts of the expenses between companies can vary greatly depending on the assumptions used by an individual company in determining the amounts of the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376555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49" w:right="339" w:bottom="1440" w:gutter="0" w:footer="0" w:header="0"/>
        </w:sectPr>
      </w:pPr>
    </w:p>
    <w:bookmarkStart w:id="9" w:name="page10"/>
    <w:bookmarkEnd w:id="9"/>
    <w:p>
      <w:pPr>
        <w:spacing w:after="0" w:line="239" w:lineRule="auto"/>
        <w:rPr>
          <w:sz w:val="20"/>
          <w:szCs w:val="20"/>
          <w:color w:val="auto"/>
        </w:rPr>
      </w:pPr>
      <w:r>
        <w:rPr>
          <w:rFonts w:ascii="Arial" w:cs="Arial" w:eastAsia="Arial" w:hAnsi="Arial"/>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service, research and development, selling, general and administrative, operating income, income taxes and net income), it is useful to investors to understand how these specific line items in the Consolidated Statements of Income are affected by these adjustments.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the Reconciliation of Selected Financial Metrics from GAAP to Non-GAAP tables below.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Amdocs is the market leader in customer experience systems innovation, enabling world-leading service providers to deliver an integrated, innovative and the intentional customer experience</w:t>
      </w:r>
      <w:r>
        <w:rPr>
          <w:rFonts w:ascii="Arial" w:cs="Arial" w:eastAsia="Arial" w:hAnsi="Arial"/>
          <w:sz w:val="15"/>
          <w:szCs w:val="15"/>
          <w:color w:val="auto"/>
        </w:rPr>
        <w:t>TM</w:t>
      </w:r>
      <w:r>
        <w:rPr>
          <w:rFonts w:ascii="Arial" w:cs="Arial" w:eastAsia="Arial" w:hAnsi="Arial"/>
          <w:sz w:val="18"/>
          <w:szCs w:val="18"/>
          <w:color w:val="auto"/>
        </w:rPr>
        <w:t xml:space="preserve"> – at every point of service. Amdocs provides solutions that deliver customer experience excellence, combining the software, service and expertise to help its customers execute their strategies and achieve service, operational and financial excellence. A global company with revenue of $2.84 billion in fiscal 2007, Amdocs has more than 17,000 employees and serves customers in more than 50 countries around the world. For more information, visit Amdocs at </w:t>
      </w:r>
      <w:r>
        <w:rPr>
          <w:rFonts w:ascii="Arial" w:cs="Arial" w:eastAsia="Arial" w:hAnsi="Arial"/>
          <w:sz w:val="18"/>
          <w:szCs w:val="18"/>
          <w:u w:val="single" w:color="auto"/>
          <w:color w:val="auto"/>
        </w:rPr>
        <w:t>www.amdocs.com.</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49" w:right="319" w:bottom="1440" w:gutter="0" w:footer="0" w:header="0"/>
        </w:sectPr>
      </w:pPr>
    </w:p>
    <w:bookmarkStart w:id="10" w:name="page11"/>
    <w:bookmarkEnd w:id="10"/>
    <w:p>
      <w:pPr>
        <w:spacing w:after="0" w:line="246" w:lineRule="auto"/>
        <w:rPr>
          <w:sz w:val="20"/>
          <w:szCs w:val="20"/>
          <w:color w:val="auto"/>
        </w:rPr>
      </w:pPr>
      <w:r>
        <w:rPr>
          <w:rFonts w:ascii="Arial" w:cs="Arial" w:eastAsia="Arial" w:hAnsi="Arial"/>
          <w:sz w:val="18"/>
          <w:szCs w:val="18"/>
          <w:color w:val="auto"/>
        </w:rPr>
        <w:t>discussed at greater length in the Company’s filings with the Securities and Exchange Commission, including in our Annual Report on Form 20-F for the fiscal year ended September 30, 2007 filed on December 3, 2007 and on Form 6-K furnished on February 11, 2008.</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Thomas G. O’Brien</w:t>
      </w:r>
    </w:p>
    <w:p>
      <w:pPr>
        <w:spacing w:after="0" w:line="234" w:lineRule="auto"/>
        <w:rPr>
          <w:sz w:val="20"/>
          <w:szCs w:val="20"/>
          <w:color w:val="auto"/>
        </w:rPr>
      </w:pPr>
      <w:r>
        <w:rPr>
          <w:rFonts w:ascii="Arial" w:cs="Arial" w:eastAsia="Arial" w:hAnsi="Arial"/>
          <w:sz w:val="18"/>
          <w:szCs w:val="18"/>
          <w:color w:val="auto"/>
        </w:rPr>
        <w:t>Treasurer and Vice President of Investor Relations</w:t>
      </w:r>
    </w:p>
    <w:p>
      <w:pPr>
        <w:spacing w:after="0" w:line="235" w:lineRule="auto"/>
        <w:rPr>
          <w:sz w:val="20"/>
          <w:szCs w:val="20"/>
          <w:color w:val="auto"/>
        </w:rPr>
      </w:pPr>
      <w:r>
        <w:rPr>
          <w:rFonts w:ascii="Arial" w:cs="Arial" w:eastAsia="Arial" w:hAnsi="Arial"/>
          <w:sz w:val="18"/>
          <w:szCs w:val="18"/>
          <w:color w:val="auto"/>
        </w:rPr>
        <w:t>Amdocs Limited</w:t>
      </w:r>
    </w:p>
    <w:p>
      <w:pPr>
        <w:spacing w:after="0" w:line="235" w:lineRule="auto"/>
        <w:rPr>
          <w:sz w:val="20"/>
          <w:szCs w:val="20"/>
          <w:color w:val="auto"/>
        </w:rPr>
      </w:pPr>
      <w:r>
        <w:rPr>
          <w:rFonts w:ascii="Arial" w:cs="Arial" w:eastAsia="Arial" w:hAnsi="Arial"/>
          <w:sz w:val="18"/>
          <w:szCs w:val="18"/>
          <w:color w:val="auto"/>
        </w:rPr>
        <w:t>314-212-8328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04"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Consolidated Statements of Income</w:t>
      </w:r>
    </w:p>
    <w:p>
      <w:pPr>
        <w:spacing w:after="0" w:line="104"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5"/>
          </w:tcPr>
          <w:p>
            <w:pPr>
              <w:ind w:lef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200"/>
              <w:spacing w:after="0" w:line="202" w:lineRule="exact"/>
              <w:rPr>
                <w:sz w:val="20"/>
                <w:szCs w:val="20"/>
                <w:color w:val="auto"/>
              </w:rPr>
            </w:pPr>
            <w:r>
              <w:rPr>
                <w:rFonts w:ascii="Arial" w:cs="Arial" w:eastAsia="Arial" w:hAnsi="Arial"/>
                <w:sz w:val="18"/>
                <w:szCs w:val="18"/>
                <w:color w:val="auto"/>
              </w:rPr>
              <w:t>License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32,109</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37,526</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58,326</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69,270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w w:val="98"/>
              </w:rPr>
              <w:t>742,172</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8"/>
              </w:rPr>
              <w:t>668,835</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w w:val="99"/>
              </w:rPr>
              <w:t>1,458,205</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9"/>
              </w:rPr>
              <w:t>1,328,123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w w:val="98"/>
              </w:rPr>
              <w:t>774,281</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706,361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1,516,531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1,397,393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200"/>
              <w:spacing w:after="0" w:line="202" w:lineRule="exact"/>
              <w:rPr>
                <w:sz w:val="20"/>
                <w:szCs w:val="20"/>
                <w:color w:val="auto"/>
              </w:rPr>
            </w:pPr>
            <w:r>
              <w:rPr>
                <w:rFonts w:ascii="Arial" w:cs="Arial" w:eastAsia="Arial" w:hAnsi="Arial"/>
                <w:sz w:val="18"/>
                <w:szCs w:val="18"/>
                <w:color w:val="auto"/>
              </w:rPr>
              <w:t>Cost of license</w:t>
            </w:r>
          </w:p>
        </w:tc>
        <w:tc>
          <w:tcPr>
            <w:tcW w:w="100" w:type="dxa"/>
            <w:vAlign w:val="bottom"/>
          </w:tcPr>
          <w:p>
            <w:pPr>
              <w:spacing w:after="0"/>
              <w:rPr>
                <w:sz w:val="17"/>
                <w:szCs w:val="17"/>
                <w:color w:val="auto"/>
              </w:rPr>
            </w:pPr>
          </w:p>
        </w:tc>
        <w:tc>
          <w:tcPr>
            <w:tcW w:w="130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938</w:t>
            </w:r>
          </w:p>
        </w:tc>
        <w:tc>
          <w:tcPr>
            <w:tcW w:w="100" w:type="dxa"/>
            <w:vAlign w:val="bottom"/>
          </w:tcPr>
          <w:p>
            <w:pPr>
              <w:spacing w:after="0"/>
              <w:rPr>
                <w:sz w:val="17"/>
                <w:szCs w:val="17"/>
                <w:color w:val="auto"/>
              </w:rPr>
            </w:pP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1,016</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1,712</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w w:val="98"/>
              </w:rPr>
              <w:t>493,956</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8"/>
              </w:rPr>
              <w:t>446,860</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964,697</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881,981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7"/>
                <w:szCs w:val="17"/>
                <w:color w:val="auto"/>
              </w:rPr>
            </w:pPr>
          </w:p>
        </w:tc>
        <w:tc>
          <w:tcPr>
            <w:tcW w:w="130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56,088</w:t>
            </w:r>
          </w:p>
        </w:tc>
        <w:tc>
          <w:tcPr>
            <w:tcW w:w="100" w:type="dxa"/>
            <w:vAlign w:val="bottom"/>
          </w:tcPr>
          <w:p>
            <w:pPr>
              <w:spacing w:after="0"/>
              <w:rPr>
                <w:sz w:val="17"/>
                <w:szCs w:val="17"/>
                <w:color w:val="auto"/>
              </w:rPr>
            </w:pP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57,734</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112,103</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118,202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98,666</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91,280</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196,331</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180,450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purchased intangible assets</w:t>
            </w:r>
          </w:p>
        </w:tc>
        <w:tc>
          <w:tcPr>
            <w:tcW w:w="100" w:type="dxa"/>
            <w:vAlign w:val="bottom"/>
          </w:tcPr>
          <w:p>
            <w:pPr>
              <w:spacing w:after="0"/>
              <w:rPr>
                <w:sz w:val="17"/>
                <w:szCs w:val="17"/>
                <w:color w:val="auto"/>
              </w:rPr>
            </w:pPr>
          </w:p>
        </w:tc>
        <w:tc>
          <w:tcPr>
            <w:tcW w:w="130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21,753</w:t>
            </w:r>
          </w:p>
        </w:tc>
        <w:tc>
          <w:tcPr>
            <w:tcW w:w="100" w:type="dxa"/>
            <w:vAlign w:val="bottom"/>
          </w:tcPr>
          <w:p>
            <w:pPr>
              <w:spacing w:after="0"/>
              <w:rPr>
                <w:sz w:val="17"/>
                <w:szCs w:val="17"/>
                <w:color w:val="auto"/>
              </w:rPr>
            </w:pP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18,912</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43,506</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36,610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Restructuring charges, in-process research and development and other</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6,761</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6,761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w w:val="98"/>
              </w:rPr>
              <w:t>671,401</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622,563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1,318,349</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1,226,089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w w:val="98"/>
              </w:rPr>
              <w:t>102,880</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83,798</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198,182</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171,304</w:t>
            </w:r>
          </w:p>
        </w:tc>
        <w:tc>
          <w:tcPr>
            <w:tcW w:w="0" w:type="dxa"/>
            <w:vAlign w:val="bottom"/>
          </w:tcPr>
          <w:p>
            <w:pPr>
              <w:spacing w:after="0"/>
              <w:rPr>
                <w:sz w:val="1"/>
                <w:szCs w:val="1"/>
                <w:color w:val="auto"/>
              </w:rPr>
            </w:pPr>
          </w:p>
        </w:tc>
      </w:tr>
      <w:tr>
        <w:trPr>
          <w:trHeight w:val="405"/>
        </w:trPr>
        <w:tc>
          <w:tcPr>
            <w:tcW w:w="6040" w:type="dxa"/>
            <w:vAlign w:val="bottom"/>
            <w:gridSpan w:val="2"/>
          </w:tcPr>
          <w:p>
            <w:pPr>
              <w:spacing w:after="0"/>
              <w:rPr>
                <w:sz w:val="20"/>
                <w:szCs w:val="20"/>
                <w:color w:val="auto"/>
              </w:rPr>
            </w:pPr>
            <w:r>
              <w:rPr>
                <w:rFonts w:ascii="Arial" w:cs="Arial" w:eastAsia="Arial" w:hAnsi="Arial"/>
                <w:sz w:val="18"/>
                <w:szCs w:val="18"/>
                <w:color w:val="auto"/>
              </w:rPr>
              <w:t>Interest income and other, net</w:t>
            </w:r>
          </w:p>
        </w:tc>
        <w:tc>
          <w:tcPr>
            <w:tcW w:w="100" w:type="dxa"/>
            <w:vAlign w:val="bottom"/>
          </w:tcPr>
          <w:p>
            <w:pPr>
              <w:spacing w:after="0"/>
              <w:rPr>
                <w:sz w:val="24"/>
                <w:szCs w:val="24"/>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8,822</w:t>
            </w:r>
          </w:p>
        </w:tc>
        <w:tc>
          <w:tcPr>
            <w:tcW w:w="10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10,899</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17,638</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22,638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w w:val="98"/>
              </w:rPr>
              <w:t>111,702</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94,697</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215,820</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193,942</w:t>
            </w:r>
          </w:p>
        </w:tc>
        <w:tc>
          <w:tcPr>
            <w:tcW w:w="0" w:type="dxa"/>
            <w:vAlign w:val="bottom"/>
          </w:tcPr>
          <w:p>
            <w:pPr>
              <w:spacing w:after="0"/>
              <w:rPr>
                <w:sz w:val="1"/>
                <w:szCs w:val="1"/>
                <w:color w:val="auto"/>
              </w:rPr>
            </w:pPr>
          </w:p>
        </w:tc>
      </w:tr>
      <w:tr>
        <w:trPr>
          <w:trHeight w:val="405"/>
        </w:trPr>
        <w:tc>
          <w:tcPr>
            <w:tcW w:w="60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24"/>
                <w:szCs w:val="24"/>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11,843</w:t>
            </w:r>
          </w:p>
        </w:tc>
        <w:tc>
          <w:tcPr>
            <w:tcW w:w="10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7,526</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20,297</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13,429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99,859</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87,171</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195,523</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180,513</w:t>
            </w:r>
          </w:p>
        </w:tc>
        <w:tc>
          <w:tcPr>
            <w:tcW w:w="0" w:type="dxa"/>
            <w:vAlign w:val="bottom"/>
          </w:tcPr>
          <w:p>
            <w:pPr>
              <w:spacing w:after="0"/>
              <w:rPr>
                <w:sz w:val="1"/>
                <w:szCs w:val="1"/>
                <w:color w:val="auto"/>
              </w:rPr>
            </w:pPr>
          </w:p>
        </w:tc>
      </w:tr>
      <w:tr>
        <w:trPr>
          <w:trHeight w:val="20"/>
        </w:trPr>
        <w:tc>
          <w:tcPr>
            <w:tcW w:w="60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gridSpan w:val="2"/>
          </w:tcPr>
          <w:p>
            <w:pPr>
              <w:spacing w:after="0" w:line="196" w:lineRule="exact"/>
              <w:rPr>
                <w:sz w:val="20"/>
                <w:szCs w:val="20"/>
                <w:color w:val="auto"/>
              </w:rPr>
            </w:pPr>
            <w:r>
              <w:rPr>
                <w:rFonts w:ascii="Arial" w:cs="Arial" w:eastAsia="Arial" w:hAnsi="Arial"/>
                <w:sz w:val="18"/>
                <w:szCs w:val="18"/>
                <w:color w:val="auto"/>
              </w:rPr>
              <w:t>Basic earnings per share</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40"/>
              <w:spacing w:after="0" w:line="196" w:lineRule="exact"/>
              <w:rPr>
                <w:sz w:val="20"/>
                <w:szCs w:val="20"/>
                <w:color w:val="auto"/>
              </w:rPr>
            </w:pPr>
            <w:r>
              <w:rPr>
                <w:rFonts w:ascii="Arial" w:cs="Arial" w:eastAsia="Arial" w:hAnsi="Arial"/>
                <w:sz w:val="18"/>
                <w:szCs w:val="18"/>
                <w:color w:val="auto"/>
              </w:rPr>
              <w:t>0.48</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0.42</w:t>
            </w: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0.94</w:t>
            </w:r>
          </w:p>
        </w:tc>
        <w:tc>
          <w:tcPr>
            <w:tcW w:w="64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earnings per share (1)</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40"/>
              <w:spacing w:after="0" w:line="196" w:lineRule="exact"/>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0.40</w:t>
            </w:r>
          </w:p>
        </w:tc>
        <w:tc>
          <w:tcPr>
            <w:tcW w:w="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0.89</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0"/>
        </w:trPr>
        <w:tc>
          <w:tcPr>
            <w:tcW w:w="60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gridSpan w:val="2"/>
          </w:tcPr>
          <w:p>
            <w:pPr>
              <w:spacing w:after="0" w:line="196" w:lineRule="exact"/>
              <w:rPr>
                <w:sz w:val="20"/>
                <w:szCs w:val="20"/>
                <w:color w:val="auto"/>
              </w:rPr>
            </w:pPr>
            <w:r>
              <w:rPr>
                <w:rFonts w:ascii="Arial" w:cs="Arial" w:eastAsia="Arial" w:hAnsi="Arial"/>
                <w:sz w:val="18"/>
                <w:szCs w:val="18"/>
                <w:color w:val="auto"/>
              </w:rPr>
              <w:t>Basic weighted average number of shares outstanding</w:t>
            </w:r>
          </w:p>
        </w:tc>
        <w:tc>
          <w:tcPr>
            <w:tcW w:w="100" w:type="dxa"/>
            <w:vAlign w:val="bottom"/>
          </w:tcPr>
          <w:p>
            <w:pPr>
              <w:spacing w:after="0"/>
              <w:rPr>
                <w:sz w:val="17"/>
                <w:szCs w:val="17"/>
                <w:color w:val="auto"/>
              </w:rPr>
            </w:pPr>
          </w:p>
        </w:tc>
        <w:tc>
          <w:tcPr>
            <w:tcW w:w="1300" w:type="dxa"/>
            <w:vAlign w:val="bottom"/>
            <w:gridSpan w:val="2"/>
          </w:tcPr>
          <w:p>
            <w:pPr>
              <w:jc w:val="right"/>
              <w:ind w:right="640"/>
              <w:spacing w:after="0" w:line="196" w:lineRule="exact"/>
              <w:rPr>
                <w:sz w:val="20"/>
                <w:szCs w:val="20"/>
                <w:color w:val="auto"/>
              </w:rPr>
            </w:pPr>
            <w:r>
              <w:rPr>
                <w:rFonts w:ascii="Arial" w:cs="Arial" w:eastAsia="Arial" w:hAnsi="Arial"/>
                <w:sz w:val="18"/>
                <w:szCs w:val="18"/>
                <w:color w:val="auto"/>
                <w:w w:val="98"/>
              </w:rPr>
              <w:t>206,759</w:t>
            </w:r>
          </w:p>
        </w:tc>
        <w:tc>
          <w:tcPr>
            <w:tcW w:w="100" w:type="dxa"/>
            <w:vAlign w:val="bottom"/>
          </w:tcPr>
          <w:p>
            <w:pPr>
              <w:spacing w:after="0"/>
              <w:rPr>
                <w:sz w:val="17"/>
                <w:szCs w:val="17"/>
                <w:color w:val="auto"/>
              </w:rPr>
            </w:pPr>
          </w:p>
        </w:tc>
        <w:tc>
          <w:tcPr>
            <w:tcW w:w="98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w w:val="98"/>
              </w:rPr>
              <w:t>207,293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207,437</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206,867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40"/>
              <w:spacing w:after="0" w:line="196" w:lineRule="exact"/>
              <w:rPr>
                <w:sz w:val="20"/>
                <w:szCs w:val="20"/>
                <w:color w:val="auto"/>
              </w:rPr>
            </w:pPr>
            <w:r>
              <w:rPr>
                <w:rFonts w:ascii="Arial" w:cs="Arial" w:eastAsia="Arial" w:hAnsi="Arial"/>
                <w:sz w:val="18"/>
                <w:szCs w:val="18"/>
                <w:color w:val="auto"/>
                <w:w w:val="98"/>
              </w:rPr>
              <w:t>219,786</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w w:val="98"/>
              </w:rPr>
              <w:t>222,499</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220,912</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222,608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right="4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reflect the impact of assumed conversion of the convertible notes, $985 and $1,970, representing interest expense and amortization of issuance costs, were added back to net income for the three and six months ended March 31, 2008 and 2007, for the purpose of computing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Metrics</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5"/>
          </w:tcPr>
          <w:p>
            <w:pPr>
              <w:ind w:left="52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6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60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7"/>
              <w:spacing w:after="0" w:line="155" w:lineRule="exact"/>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3"/>
                <w:szCs w:val="13"/>
                <w:color w:val="auto"/>
              </w:rPr>
            </w:pPr>
          </w:p>
        </w:tc>
      </w:tr>
      <w:tr>
        <w:trPr>
          <w:trHeight w:val="196"/>
        </w:trPr>
        <w:tc>
          <w:tcPr>
            <w:tcW w:w="6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40"/>
              <w:spacing w:after="0" w:line="196" w:lineRule="exact"/>
              <w:rPr>
                <w:sz w:val="20"/>
                <w:szCs w:val="20"/>
                <w:color w:val="auto"/>
              </w:rPr>
            </w:pPr>
            <w:r>
              <w:rPr>
                <w:rFonts w:ascii="Arial" w:cs="Arial" w:eastAsia="Arial" w:hAnsi="Arial"/>
                <w:sz w:val="18"/>
                <w:szCs w:val="18"/>
                <w:color w:val="auto"/>
                <w:w w:val="98"/>
              </w:rPr>
              <w:t>774,281</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w w:val="98"/>
              </w:rPr>
              <w:t>706,361</w:t>
            </w:r>
          </w:p>
        </w:tc>
        <w:tc>
          <w:tcPr>
            <w:tcW w:w="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line="196" w:lineRule="exact"/>
              <w:rPr>
                <w:sz w:val="20"/>
                <w:szCs w:val="20"/>
                <w:color w:val="auto"/>
              </w:rPr>
            </w:pPr>
            <w:r>
              <w:rPr>
                <w:rFonts w:ascii="Arial" w:cs="Arial" w:eastAsia="Arial" w:hAnsi="Arial"/>
                <w:sz w:val="18"/>
                <w:szCs w:val="18"/>
                <w:color w:val="auto"/>
                <w:w w:val="99"/>
              </w:rPr>
              <w:t>1,516,531</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9"/>
              </w:rPr>
              <w:t>1,397,393</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Non-GAAP operating income</w:t>
            </w:r>
          </w:p>
        </w:tc>
        <w:tc>
          <w:tcPr>
            <w:tcW w:w="100" w:type="dxa"/>
            <w:vAlign w:val="bottom"/>
          </w:tcPr>
          <w:p>
            <w:pPr>
              <w:spacing w:after="0"/>
              <w:rPr>
                <w:sz w:val="17"/>
                <w:szCs w:val="17"/>
                <w:color w:val="auto"/>
              </w:rPr>
            </w:pPr>
          </w:p>
        </w:tc>
        <w:tc>
          <w:tcPr>
            <w:tcW w:w="130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w w:val="98"/>
              </w:rPr>
              <w:t>138,046</w:t>
            </w:r>
          </w:p>
        </w:tc>
        <w:tc>
          <w:tcPr>
            <w:tcW w:w="100" w:type="dxa"/>
            <w:vAlign w:val="bottom"/>
          </w:tcPr>
          <w:p>
            <w:pPr>
              <w:spacing w:after="0"/>
              <w:rPr>
                <w:sz w:val="17"/>
                <w:szCs w:val="17"/>
                <w:color w:val="auto"/>
              </w:rPr>
            </w:pP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w w:val="98"/>
              </w:rPr>
              <w:t>121,437</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269,317</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241,966</w:t>
            </w: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Non-GAAP net income</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w w:val="98"/>
              </w:rPr>
              <w:t>126,647</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8"/>
              </w:rPr>
              <w:t>114,471</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249,937</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232,587</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Non-GAAP diluted earnings per share (1)</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0.58</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0.52</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c>
          <w:tcPr>
            <w:tcW w:w="6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1.05</w:t>
            </w: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w w:val="98"/>
              </w:rPr>
              <w:t>219,786</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8"/>
              </w:rPr>
              <w:t>222,499</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220,912</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222,608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4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reflect the impact of assumed conversion of the convertible notes, $985 and $1,970, representing interest expense and amortization of issuance costs, were added back to net income for the three and six months ended March 31, 2008 and 2007, for the purpose of computing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20" w:type="dxa"/>
            <w:vAlign w:val="bottom"/>
            <w:gridSpan w:val="2"/>
          </w:tcPr>
          <w:p>
            <w:pPr>
              <w:jc w:val="center"/>
              <w:ind w:right="32"/>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2"/>
          </w:tcPr>
          <w:p>
            <w:pPr>
              <w:jc w:val="center"/>
              <w:ind w:right="32"/>
              <w:spacing w:after="0"/>
              <w:rPr>
                <w:sz w:val="20"/>
                <w:szCs w:val="20"/>
                <w:color w:val="auto"/>
              </w:rPr>
            </w:pPr>
            <w:r>
              <w:rPr>
                <w:rFonts w:ascii="Arial" w:cs="Arial" w:eastAsia="Arial" w:hAnsi="Arial"/>
                <w:sz w:val="14"/>
                <w:szCs w:val="14"/>
                <w:b w:val="1"/>
                <w:bCs w:val="1"/>
                <w:color w:val="auto"/>
              </w:rPr>
              <w:t>March 31, 2008</w:t>
            </w:r>
          </w:p>
        </w:tc>
        <w:tc>
          <w:tcPr>
            <w:tcW w:w="4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2"/>
          </w:tcPr>
          <w:p>
            <w:pPr>
              <w:jc w:val="center"/>
              <w:ind w:right="52"/>
              <w:spacing w:after="0" w:line="155" w:lineRule="exact"/>
              <w:rPr>
                <w:sz w:val="20"/>
                <w:szCs w:val="20"/>
                <w:color w:val="auto"/>
              </w:rPr>
            </w:pPr>
            <w:r>
              <w:rPr>
                <w:rFonts w:ascii="Arial" w:cs="Arial" w:eastAsia="Arial" w:hAnsi="Arial"/>
                <w:sz w:val="14"/>
                <w:szCs w:val="14"/>
                <w:b w:val="1"/>
                <w:bCs w:val="1"/>
                <w:color w:val="auto"/>
              </w:rPr>
              <w:t>Reconciliation items</w:t>
            </w: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6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Amortization</w:t>
            </w: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of purchased</w:t>
            </w:r>
          </w:p>
        </w:tc>
        <w:tc>
          <w:tcPr>
            <w:tcW w:w="2020" w:type="dxa"/>
            <w:vAlign w:val="bottom"/>
            <w:gridSpan w:val="2"/>
          </w:tcPr>
          <w:p>
            <w:pPr>
              <w:jc w:val="center"/>
              <w:ind w:left="143"/>
              <w:spacing w:after="0"/>
              <w:rPr>
                <w:sz w:val="20"/>
                <w:szCs w:val="20"/>
                <w:color w:val="auto"/>
              </w:rPr>
            </w:pPr>
            <w:r>
              <w:rPr>
                <w:rFonts w:ascii="Arial" w:cs="Arial" w:eastAsia="Arial" w:hAnsi="Arial"/>
                <w:sz w:val="14"/>
                <w:szCs w:val="14"/>
                <w:b w:val="1"/>
                <w:bCs w:val="1"/>
                <w:color w:val="auto"/>
              </w:rPr>
              <w:t>Equity based</w:t>
            </w: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intangible</w:t>
            </w:r>
          </w:p>
        </w:tc>
        <w:tc>
          <w:tcPr>
            <w:tcW w:w="2020" w:type="dxa"/>
            <w:vAlign w:val="bottom"/>
            <w:gridSpan w:val="2"/>
          </w:tcPr>
          <w:p>
            <w:pPr>
              <w:jc w:val="center"/>
              <w:ind w:left="143"/>
              <w:spacing w:after="0"/>
              <w:rPr>
                <w:sz w:val="20"/>
                <w:szCs w:val="20"/>
                <w:color w:val="auto"/>
              </w:rPr>
            </w:pPr>
            <w:r>
              <w:rPr>
                <w:rFonts w:ascii="Arial" w:cs="Arial" w:eastAsia="Arial" w:hAnsi="Arial"/>
                <w:sz w:val="14"/>
                <w:szCs w:val="14"/>
                <w:b w:val="1"/>
                <w:bCs w:val="1"/>
                <w:color w:val="auto"/>
              </w:rPr>
              <w:t>compensation</w:t>
            </w: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GAAP</w:t>
            </w: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92"/>
              <w:spacing w:after="0"/>
              <w:rPr>
                <w:sz w:val="20"/>
                <w:szCs w:val="20"/>
                <w:color w:val="auto"/>
              </w:rPr>
            </w:pPr>
            <w:r>
              <w:rPr>
                <w:rFonts w:ascii="Arial" w:cs="Arial" w:eastAsia="Arial" w:hAnsi="Arial"/>
                <w:sz w:val="14"/>
                <w:szCs w:val="14"/>
                <w:b w:val="1"/>
                <w:bCs w:val="1"/>
                <w:color w:val="auto"/>
              </w:rPr>
              <w:t>assets</w:t>
            </w:r>
          </w:p>
        </w:tc>
        <w:tc>
          <w:tcPr>
            <w:tcW w:w="8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512"/>
              <w:spacing w:after="0"/>
              <w:rPr>
                <w:sz w:val="20"/>
                <w:szCs w:val="20"/>
                <w:color w:val="auto"/>
              </w:rPr>
            </w:pPr>
            <w:r>
              <w:rPr>
                <w:rFonts w:ascii="Arial" w:cs="Arial" w:eastAsia="Arial" w:hAnsi="Arial"/>
                <w:sz w:val="14"/>
                <w:szCs w:val="14"/>
                <w:b w:val="1"/>
                <w:bCs w:val="1"/>
                <w:color w:val="auto"/>
                <w:w w:val="99"/>
              </w:rPr>
              <w:t>expense</w:t>
            </w:r>
          </w:p>
        </w:tc>
        <w:tc>
          <w:tcPr>
            <w:tcW w:w="122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Tax effect</w:t>
            </w:r>
          </w:p>
        </w:tc>
        <w:tc>
          <w:tcPr>
            <w:tcW w:w="15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Pr>
          <w:p>
            <w:pPr>
              <w:ind w:left="200"/>
              <w:spacing w:after="0" w:line="202" w:lineRule="exact"/>
              <w:rPr>
                <w:sz w:val="20"/>
                <w:szCs w:val="20"/>
                <w:color w:val="auto"/>
              </w:rPr>
            </w:pPr>
            <w:r>
              <w:rPr>
                <w:rFonts w:ascii="Arial" w:cs="Arial" w:eastAsia="Arial" w:hAnsi="Arial"/>
                <w:sz w:val="18"/>
                <w:szCs w:val="18"/>
                <w:color w:val="auto"/>
              </w:rPr>
              <w:t>Cost of license</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532"/>
              <w:spacing w:after="0" w:line="202" w:lineRule="exact"/>
              <w:rPr>
                <w:sz w:val="20"/>
                <w:szCs w:val="20"/>
                <w:color w:val="auto"/>
              </w:rPr>
            </w:pPr>
            <w:r>
              <w:rPr>
                <w:rFonts w:ascii="Arial" w:cs="Arial" w:eastAsia="Arial" w:hAnsi="Arial"/>
                <w:sz w:val="18"/>
                <w:szCs w:val="18"/>
                <w:color w:val="auto"/>
              </w:rPr>
              <w:t>938</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492"/>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ind w:left="36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Cost of service</w:t>
            </w: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532"/>
              <w:spacing w:after="0" w:line="202" w:lineRule="exact"/>
              <w:rPr>
                <w:sz w:val="20"/>
                <w:szCs w:val="20"/>
                <w:color w:val="auto"/>
              </w:rPr>
            </w:pPr>
            <w:r>
              <w:rPr>
                <w:rFonts w:ascii="Arial" w:cs="Arial" w:eastAsia="Arial" w:hAnsi="Arial"/>
                <w:sz w:val="18"/>
                <w:szCs w:val="18"/>
                <w:color w:val="auto"/>
                <w:w w:val="95"/>
              </w:rPr>
              <w:t>493,956</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(5,431)</w:t>
            </w: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w w:val="98"/>
              </w:rPr>
              <w:t>488,525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7"/>
                <w:szCs w:val="17"/>
                <w:color w:val="auto"/>
              </w:rPr>
            </w:pPr>
          </w:p>
        </w:tc>
        <w:tc>
          <w:tcPr>
            <w:tcW w:w="1260" w:type="dxa"/>
            <w:vAlign w:val="bottom"/>
          </w:tcPr>
          <w:p>
            <w:pPr>
              <w:jc w:val="right"/>
              <w:ind w:right="532"/>
              <w:spacing w:after="0" w:line="202" w:lineRule="exact"/>
              <w:rPr>
                <w:sz w:val="20"/>
                <w:szCs w:val="20"/>
                <w:color w:val="auto"/>
              </w:rPr>
            </w:pPr>
            <w:r>
              <w:rPr>
                <w:rFonts w:ascii="Arial" w:cs="Arial" w:eastAsia="Arial" w:hAnsi="Arial"/>
                <w:sz w:val="18"/>
                <w:szCs w:val="18"/>
                <w:color w:val="auto"/>
              </w:rPr>
              <w:t>56,088</w:t>
            </w:r>
          </w:p>
        </w:tc>
        <w:tc>
          <w:tcPr>
            <w:tcW w:w="380" w:type="dxa"/>
            <w:vAlign w:val="bottom"/>
          </w:tcPr>
          <w:p>
            <w:pPr>
              <w:spacing w:after="0"/>
              <w:rPr>
                <w:sz w:val="17"/>
                <w:szCs w:val="17"/>
                <w:color w:val="auto"/>
              </w:rPr>
            </w:pPr>
          </w:p>
        </w:tc>
        <w:tc>
          <w:tcPr>
            <w:tcW w:w="98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spacing w:after="0"/>
              <w:rPr>
                <w:sz w:val="17"/>
                <w:szCs w:val="17"/>
                <w:color w:val="auto"/>
              </w:rPr>
            </w:pPr>
          </w:p>
        </w:tc>
        <w:tc>
          <w:tcPr>
            <w:tcW w:w="120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(1,146)</w:t>
            </w:r>
          </w:p>
        </w:tc>
        <w:tc>
          <w:tcPr>
            <w:tcW w:w="460" w:type="dxa"/>
            <w:vAlign w:val="bottom"/>
          </w:tcPr>
          <w:p>
            <w:pPr>
              <w:spacing w:after="0"/>
              <w:rPr>
                <w:sz w:val="17"/>
                <w:szCs w:val="17"/>
                <w:color w:val="auto"/>
              </w:rPr>
            </w:pPr>
          </w:p>
        </w:tc>
        <w:tc>
          <w:tcPr>
            <w:tcW w:w="7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7"/>
                <w:szCs w:val="17"/>
                <w:color w:val="auto"/>
              </w:rPr>
            </w:pPr>
          </w:p>
        </w:tc>
        <w:tc>
          <w:tcPr>
            <w:tcW w:w="9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54,942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532"/>
              <w:spacing w:after="0" w:line="202" w:lineRule="exact"/>
              <w:rPr>
                <w:sz w:val="20"/>
                <w:szCs w:val="20"/>
                <w:color w:val="auto"/>
              </w:rPr>
            </w:pPr>
            <w:r>
              <w:rPr>
                <w:rFonts w:ascii="Arial" w:cs="Arial" w:eastAsia="Arial" w:hAnsi="Arial"/>
                <w:sz w:val="18"/>
                <w:szCs w:val="18"/>
                <w:color w:val="auto"/>
              </w:rPr>
              <w:t>98,666</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(6,836)</w:t>
            </w: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91,830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purchased intangible</w:t>
            </w: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Pr>
          <w:p>
            <w:pPr>
              <w:ind w:left="400"/>
              <w:spacing w:after="0" w:line="203" w:lineRule="exact"/>
              <w:rPr>
                <w:sz w:val="20"/>
                <w:szCs w:val="20"/>
                <w:color w:val="auto"/>
              </w:rPr>
            </w:pPr>
            <w:r>
              <w:rPr>
                <w:rFonts w:ascii="Arial" w:cs="Arial" w:eastAsia="Arial" w:hAnsi="Arial"/>
                <w:sz w:val="18"/>
                <w:szCs w:val="18"/>
                <w:color w:val="auto"/>
              </w:rPr>
              <w:t>assets</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2"/>
              <w:spacing w:after="0" w:line="203" w:lineRule="exact"/>
              <w:rPr>
                <w:sz w:val="20"/>
                <w:szCs w:val="20"/>
                <w:color w:val="auto"/>
              </w:rPr>
            </w:pPr>
            <w:r>
              <w:rPr>
                <w:rFonts w:ascii="Arial" w:cs="Arial" w:eastAsia="Arial" w:hAnsi="Arial"/>
                <w:sz w:val="18"/>
                <w:szCs w:val="18"/>
                <w:color w:val="auto"/>
              </w:rPr>
              <w:t>21,753</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2"/>
              <w:spacing w:after="0" w:line="203" w:lineRule="exact"/>
              <w:rPr>
                <w:sz w:val="20"/>
                <w:szCs w:val="20"/>
                <w:color w:val="auto"/>
              </w:rPr>
            </w:pPr>
            <w:r>
              <w:rPr>
                <w:rFonts w:ascii="Arial" w:cs="Arial" w:eastAsia="Arial" w:hAnsi="Arial"/>
                <w:sz w:val="18"/>
                <w:szCs w:val="18"/>
                <w:color w:val="auto"/>
                <w:w w:val="98"/>
              </w:rPr>
              <w:t>(21,753)</w:t>
            </w:r>
          </w:p>
        </w:tc>
        <w:tc>
          <w:tcPr>
            <w:tcW w:w="8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2"/>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532"/>
              <w:spacing w:after="0" w:line="202" w:lineRule="exact"/>
              <w:rPr>
                <w:sz w:val="20"/>
                <w:szCs w:val="20"/>
                <w:color w:val="auto"/>
              </w:rPr>
            </w:pPr>
            <w:r>
              <w:rPr>
                <w:rFonts w:ascii="Arial" w:cs="Arial" w:eastAsia="Arial" w:hAnsi="Arial"/>
                <w:sz w:val="18"/>
                <w:szCs w:val="18"/>
                <w:color w:val="auto"/>
                <w:w w:val="95"/>
              </w:rPr>
              <w:t>671,401</w:t>
            </w: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w w:val="98"/>
              </w:rPr>
              <w:t>(21,753)</w:t>
            </w:r>
          </w:p>
        </w:tc>
        <w:tc>
          <w:tcPr>
            <w:tcW w:w="8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w w:val="98"/>
              </w:rPr>
              <w:t>(13,413)</w:t>
            </w:r>
          </w:p>
        </w:tc>
        <w:tc>
          <w:tcPr>
            <w:tcW w:w="4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w w:val="98"/>
              </w:rPr>
              <w:t>636,235</w:t>
            </w:r>
          </w:p>
        </w:tc>
        <w:tc>
          <w:tcPr>
            <w:tcW w:w="0" w:type="dxa"/>
            <w:vAlign w:val="bottom"/>
          </w:tcPr>
          <w:p>
            <w:pPr>
              <w:spacing w:after="0"/>
              <w:rPr>
                <w:sz w:val="1"/>
                <w:szCs w:val="1"/>
                <w:color w:val="auto"/>
              </w:rPr>
            </w:pPr>
          </w:p>
        </w:tc>
      </w:tr>
      <w:tr>
        <w:trPr>
          <w:trHeight w:val="412"/>
        </w:trPr>
        <w:tc>
          <w:tcPr>
            <w:tcW w:w="37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w w:val="95"/>
              </w:rPr>
              <w:t>102,880</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21,753</w:t>
            </w:r>
          </w:p>
        </w:tc>
        <w:tc>
          <w:tcPr>
            <w:tcW w:w="8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13,413</w:t>
            </w:r>
          </w:p>
        </w:tc>
        <w:tc>
          <w:tcPr>
            <w:tcW w:w="4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8"/>
              </w:rPr>
              <w:t>138,046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2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532"/>
              <w:spacing w:after="0" w:line="202" w:lineRule="exact"/>
              <w:rPr>
                <w:sz w:val="20"/>
                <w:szCs w:val="20"/>
                <w:color w:val="auto"/>
              </w:rPr>
            </w:pPr>
            <w:r>
              <w:rPr>
                <w:rFonts w:ascii="Arial" w:cs="Arial" w:eastAsia="Arial" w:hAnsi="Arial"/>
                <w:sz w:val="18"/>
                <w:szCs w:val="18"/>
                <w:color w:val="auto"/>
              </w:rPr>
              <w:t>11,843</w:t>
            </w: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92"/>
              <w:spacing w:after="0" w:line="202"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8,378</w:t>
            </w:r>
          </w:p>
        </w:tc>
        <w:tc>
          <w:tcPr>
            <w:tcW w:w="6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20,221</w:t>
            </w:r>
          </w:p>
        </w:tc>
        <w:tc>
          <w:tcPr>
            <w:tcW w:w="0" w:type="dxa"/>
            <w:vAlign w:val="bottom"/>
          </w:tcPr>
          <w:p>
            <w:pPr>
              <w:spacing w:after="0"/>
              <w:rPr>
                <w:sz w:val="1"/>
                <w:szCs w:val="1"/>
                <w:color w:val="auto"/>
              </w:rPr>
            </w:pPr>
          </w:p>
        </w:tc>
      </w:tr>
      <w:tr>
        <w:trPr>
          <w:trHeight w:val="412"/>
        </w:trPr>
        <w:tc>
          <w:tcPr>
            <w:tcW w:w="37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99,859</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21,753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13,413</w:t>
            </w:r>
          </w:p>
        </w:tc>
        <w:tc>
          <w:tcPr>
            <w:tcW w:w="4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8"/>
              </w:rPr>
              <w:t>(8,378)</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8"/>
              </w:rPr>
              <w:t>126,647</w:t>
            </w:r>
          </w:p>
        </w:tc>
        <w:tc>
          <w:tcPr>
            <w:tcW w:w="0" w:type="dxa"/>
            <w:vAlign w:val="bottom"/>
          </w:tcPr>
          <w:p>
            <w:pPr>
              <w:spacing w:after="0"/>
              <w:rPr>
                <w:sz w:val="1"/>
                <w:szCs w:val="1"/>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740" w:type="dxa"/>
            <w:vAlign w:val="bottom"/>
            <w:gridSpan w:val="3"/>
          </w:tcPr>
          <w:p>
            <w:pPr>
              <w:jc w:val="center"/>
              <w:ind w:right="672"/>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center"/>
              <w:ind w:left="274"/>
              <w:spacing w:after="0"/>
              <w:rPr>
                <w:sz w:val="20"/>
                <w:szCs w:val="20"/>
                <w:color w:val="auto"/>
              </w:rPr>
            </w:pPr>
            <w:r>
              <w:rPr>
                <w:rFonts w:ascii="Arial" w:cs="Arial" w:eastAsia="Arial" w:hAnsi="Arial"/>
                <w:sz w:val="14"/>
                <w:szCs w:val="14"/>
                <w:b w:val="1"/>
                <w:bCs w:val="1"/>
                <w:color w:val="auto"/>
              </w:rPr>
              <w:t>March 31, 2007</w:t>
            </w:r>
          </w:p>
        </w:tc>
        <w:tc>
          <w:tcPr>
            <w:tcW w:w="1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3"/>
          </w:tcPr>
          <w:p>
            <w:pPr>
              <w:jc w:val="center"/>
              <w:ind w:right="692"/>
              <w:spacing w:after="0" w:line="155" w:lineRule="exact"/>
              <w:rPr>
                <w:sz w:val="20"/>
                <w:szCs w:val="20"/>
                <w:color w:val="auto"/>
              </w:rPr>
            </w:pPr>
            <w:r>
              <w:rPr>
                <w:rFonts w:ascii="Arial" w:cs="Arial" w:eastAsia="Arial" w:hAnsi="Arial"/>
                <w:sz w:val="14"/>
                <w:szCs w:val="14"/>
                <w:b w:val="1"/>
                <w:bCs w:val="1"/>
                <w:color w:val="auto"/>
              </w:rPr>
              <w:t>Reconciliation items</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Restructuring</w:t>
            </w:r>
          </w:p>
        </w:tc>
        <w:tc>
          <w:tcPr>
            <w:tcW w:w="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charges, in-</w:t>
            </w: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rPr>
              <w:t>Amortization</w:t>
            </w: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process</w:t>
            </w: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tcPr>
          <w:p>
            <w:pPr>
              <w:jc w:val="center"/>
              <w:ind w:right="32"/>
              <w:spacing w:after="0"/>
              <w:rPr>
                <w:sz w:val="20"/>
                <w:szCs w:val="20"/>
                <w:color w:val="auto"/>
              </w:rPr>
            </w:pPr>
            <w:r>
              <w:rPr>
                <w:rFonts w:ascii="Arial" w:cs="Arial" w:eastAsia="Arial" w:hAnsi="Arial"/>
                <w:sz w:val="14"/>
                <w:szCs w:val="14"/>
                <w:b w:val="1"/>
                <w:bCs w:val="1"/>
                <w:color w:val="auto"/>
              </w:rPr>
              <w:t>of purchased</w:t>
            </w: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research and</w:t>
            </w: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rPr>
              <w:t>Equity based</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rPr>
              <w:t>intangible</w:t>
            </w: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development</w:t>
            </w: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GAAP</w:t>
            </w: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12"/>
              <w:spacing w:after="0"/>
              <w:rPr>
                <w:sz w:val="20"/>
                <w:szCs w:val="20"/>
                <w:color w:val="auto"/>
              </w:rPr>
            </w:pPr>
            <w:r>
              <w:rPr>
                <w:rFonts w:ascii="Arial" w:cs="Arial" w:eastAsia="Arial" w:hAnsi="Arial"/>
                <w:sz w:val="14"/>
                <w:szCs w:val="14"/>
                <w:b w:val="1"/>
                <w:bCs w:val="1"/>
                <w:color w:val="auto"/>
              </w:rPr>
              <w:t>assets</w:t>
            </w: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and other</w:t>
            </w:r>
          </w:p>
        </w:tc>
        <w:tc>
          <w:tcPr>
            <w:tcW w:w="5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52"/>
              <w:spacing w:after="0"/>
              <w:rPr>
                <w:sz w:val="20"/>
                <w:szCs w:val="20"/>
                <w:color w:val="auto"/>
              </w:rPr>
            </w:pPr>
            <w:r>
              <w:rPr>
                <w:rFonts w:ascii="Arial" w:cs="Arial" w:eastAsia="Arial" w:hAnsi="Arial"/>
                <w:sz w:val="14"/>
                <w:szCs w:val="14"/>
                <w:b w:val="1"/>
                <w:bCs w:val="1"/>
                <w:color w:val="auto"/>
              </w:rPr>
              <w:t>expense</w:t>
            </w:r>
          </w:p>
        </w:tc>
        <w:tc>
          <w:tcPr>
            <w:tcW w:w="12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Tax effect</w:t>
            </w:r>
          </w:p>
        </w:tc>
        <w:tc>
          <w:tcPr>
            <w:tcW w:w="14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tcPr>
          <w:p>
            <w:pPr>
              <w:ind w:left="200"/>
              <w:spacing w:after="0" w:line="202" w:lineRule="exact"/>
              <w:rPr>
                <w:sz w:val="20"/>
                <w:szCs w:val="20"/>
                <w:color w:val="auto"/>
              </w:rPr>
            </w:pPr>
            <w:r>
              <w:rPr>
                <w:rFonts w:ascii="Arial" w:cs="Arial" w:eastAsia="Arial" w:hAnsi="Arial"/>
                <w:sz w:val="18"/>
                <w:szCs w:val="18"/>
                <w:color w:val="auto"/>
              </w:rPr>
              <w:t>Cost of license</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92"/>
              <w:spacing w:after="0" w:line="202" w:lineRule="exact"/>
              <w:rPr>
                <w:sz w:val="20"/>
                <w:szCs w:val="20"/>
                <w:color w:val="auto"/>
              </w:rPr>
            </w:pPr>
            <w:r>
              <w:rPr>
                <w:rFonts w:ascii="Arial" w:cs="Arial" w:eastAsia="Arial" w:hAnsi="Arial"/>
                <w:sz w:val="18"/>
                <w:szCs w:val="18"/>
                <w:color w:val="auto"/>
              </w:rPr>
              <w:t>1,016</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412"/>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474"/>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Cost of service</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w w:val="98"/>
              </w:rPr>
              <w:t>446,860</w:t>
            </w: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74"/>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(6,005)</w:t>
            </w: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98"/>
              </w:rPr>
              <w:t>440,855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tcPr>
          <w:p>
            <w:pPr>
              <w:ind w:left="200"/>
              <w:spacing w:after="0" w:line="201" w:lineRule="exact"/>
              <w:rPr>
                <w:sz w:val="20"/>
                <w:szCs w:val="20"/>
                <w:color w:val="auto"/>
              </w:rPr>
            </w:pPr>
            <w:r>
              <w:rPr>
                <w:rFonts w:ascii="Arial" w:cs="Arial" w:eastAsia="Arial" w:hAnsi="Arial"/>
                <w:sz w:val="18"/>
                <w:szCs w:val="18"/>
                <w:color w:val="auto"/>
              </w:rPr>
              <w:t>Research and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tcPr>
          <w:p>
            <w:pPr>
              <w:ind w:left="400"/>
              <w:spacing w:after="0" w:line="203" w:lineRule="exact"/>
              <w:rPr>
                <w:sz w:val="20"/>
                <w:szCs w:val="20"/>
                <w:color w:val="auto"/>
              </w:rPr>
            </w:pPr>
            <w:r>
              <w:rPr>
                <w:rFonts w:ascii="Arial" w:cs="Arial" w:eastAsia="Arial" w:hAnsi="Arial"/>
                <w:sz w:val="18"/>
                <w:szCs w:val="18"/>
                <w:color w:val="auto"/>
              </w:rPr>
              <w:t>development</w:t>
            </w:r>
          </w:p>
        </w:tc>
        <w:tc>
          <w:tcPr>
            <w:tcW w:w="220" w:type="dxa"/>
            <w:vAlign w:val="bottom"/>
          </w:tcPr>
          <w:p>
            <w:pPr>
              <w:spacing w:after="0"/>
              <w:rPr>
                <w:sz w:val="17"/>
                <w:szCs w:val="17"/>
                <w:color w:val="auto"/>
              </w:rPr>
            </w:pPr>
          </w:p>
        </w:tc>
        <w:tc>
          <w:tcPr>
            <w:tcW w:w="1140" w:type="dxa"/>
            <w:vAlign w:val="bottom"/>
          </w:tcPr>
          <w:p>
            <w:pPr>
              <w:jc w:val="right"/>
              <w:ind w:right="392"/>
              <w:spacing w:after="0" w:line="203" w:lineRule="exact"/>
              <w:rPr>
                <w:sz w:val="20"/>
                <w:szCs w:val="20"/>
                <w:color w:val="auto"/>
              </w:rPr>
            </w:pPr>
            <w:r>
              <w:rPr>
                <w:rFonts w:ascii="Arial" w:cs="Arial" w:eastAsia="Arial" w:hAnsi="Arial"/>
                <w:sz w:val="18"/>
                <w:szCs w:val="18"/>
                <w:color w:val="auto"/>
              </w:rPr>
              <w:t>57,734</w:t>
            </w:r>
          </w:p>
        </w:tc>
        <w:tc>
          <w:tcPr>
            <w:tcW w:w="380" w:type="dxa"/>
            <w:vAlign w:val="bottom"/>
          </w:tcPr>
          <w:p>
            <w:pPr>
              <w:spacing w:after="0"/>
              <w:rPr>
                <w:sz w:val="17"/>
                <w:szCs w:val="17"/>
                <w:color w:val="auto"/>
              </w:rPr>
            </w:pPr>
          </w:p>
        </w:tc>
        <w:tc>
          <w:tcPr>
            <w:tcW w:w="1120" w:type="dxa"/>
            <w:vAlign w:val="bottom"/>
          </w:tcPr>
          <w:p>
            <w:pPr>
              <w:jc w:val="right"/>
              <w:ind w:right="412"/>
              <w:spacing w:after="0" w:line="203"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080" w:type="dxa"/>
            <w:vAlign w:val="bottom"/>
          </w:tcPr>
          <w:p>
            <w:pPr>
              <w:jc w:val="right"/>
              <w:ind w:right="474"/>
              <w:spacing w:after="0" w:line="203"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120" w:type="dxa"/>
            <w:vAlign w:val="bottom"/>
          </w:tcPr>
          <w:p>
            <w:pPr>
              <w:jc w:val="right"/>
              <w:ind w:right="372"/>
              <w:spacing w:after="0" w:line="203" w:lineRule="exact"/>
              <w:rPr>
                <w:sz w:val="20"/>
                <w:szCs w:val="20"/>
                <w:color w:val="auto"/>
              </w:rPr>
            </w:pPr>
            <w:r>
              <w:rPr>
                <w:rFonts w:ascii="Arial" w:cs="Arial" w:eastAsia="Arial" w:hAnsi="Arial"/>
                <w:sz w:val="18"/>
                <w:szCs w:val="18"/>
                <w:color w:val="auto"/>
              </w:rPr>
              <w:t>(1,587)</w:t>
            </w:r>
          </w:p>
        </w:tc>
        <w:tc>
          <w:tcPr>
            <w:tcW w:w="440" w:type="dxa"/>
            <w:vAlign w:val="bottom"/>
          </w:tcPr>
          <w:p>
            <w:pPr>
              <w:spacing w:after="0"/>
              <w:rPr>
                <w:sz w:val="17"/>
                <w:szCs w:val="17"/>
                <w:color w:val="auto"/>
              </w:rPr>
            </w:pPr>
          </w:p>
        </w:tc>
        <w:tc>
          <w:tcPr>
            <w:tcW w:w="82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86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56,147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administrative</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2"/>
              <w:spacing w:after="0" w:line="203" w:lineRule="exact"/>
              <w:rPr>
                <w:sz w:val="20"/>
                <w:szCs w:val="20"/>
                <w:color w:val="auto"/>
              </w:rPr>
            </w:pPr>
            <w:r>
              <w:rPr>
                <w:rFonts w:ascii="Arial" w:cs="Arial" w:eastAsia="Arial" w:hAnsi="Arial"/>
                <w:sz w:val="18"/>
                <w:szCs w:val="18"/>
                <w:color w:val="auto"/>
              </w:rPr>
              <w:t>91,280</w:t>
            </w: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12"/>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74"/>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72"/>
              <w:spacing w:after="0" w:line="203" w:lineRule="exact"/>
              <w:rPr>
                <w:sz w:val="20"/>
                <w:szCs w:val="20"/>
                <w:color w:val="auto"/>
              </w:rPr>
            </w:pPr>
            <w:r>
              <w:rPr>
                <w:rFonts w:ascii="Arial" w:cs="Arial" w:eastAsia="Arial" w:hAnsi="Arial"/>
                <w:sz w:val="18"/>
                <w:szCs w:val="18"/>
                <w:color w:val="auto"/>
              </w:rPr>
              <w:t>(4,374)</w:t>
            </w: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0"/>
              <w:spacing w:after="0" w:line="203" w:lineRule="exact"/>
              <w:rPr>
                <w:sz w:val="20"/>
                <w:szCs w:val="20"/>
                <w:color w:val="auto"/>
              </w:rPr>
            </w:pPr>
            <w:r>
              <w:rPr>
                <w:rFonts w:ascii="Arial" w:cs="Arial" w:eastAsia="Arial" w:hAnsi="Arial"/>
                <w:sz w:val="18"/>
                <w:szCs w:val="18"/>
                <w:color w:val="auto"/>
              </w:rPr>
              <w:t>86,906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purchased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tcPr>
          <w:p>
            <w:pPr>
              <w:ind w:left="400"/>
              <w:spacing w:after="0" w:line="203" w:lineRule="exact"/>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7"/>
                <w:szCs w:val="17"/>
                <w:color w:val="auto"/>
              </w:rPr>
            </w:pPr>
          </w:p>
        </w:tc>
        <w:tc>
          <w:tcPr>
            <w:tcW w:w="1140" w:type="dxa"/>
            <w:vAlign w:val="bottom"/>
          </w:tcPr>
          <w:p>
            <w:pPr>
              <w:jc w:val="right"/>
              <w:ind w:right="392"/>
              <w:spacing w:after="0" w:line="203" w:lineRule="exact"/>
              <w:rPr>
                <w:sz w:val="20"/>
                <w:szCs w:val="20"/>
                <w:color w:val="auto"/>
              </w:rPr>
            </w:pPr>
            <w:r>
              <w:rPr>
                <w:rFonts w:ascii="Arial" w:cs="Arial" w:eastAsia="Arial" w:hAnsi="Arial"/>
                <w:sz w:val="18"/>
                <w:szCs w:val="18"/>
                <w:color w:val="auto"/>
              </w:rPr>
              <w:t>18,912</w:t>
            </w:r>
          </w:p>
        </w:tc>
        <w:tc>
          <w:tcPr>
            <w:tcW w:w="380" w:type="dxa"/>
            <w:vAlign w:val="bottom"/>
          </w:tcPr>
          <w:p>
            <w:pPr>
              <w:spacing w:after="0"/>
              <w:rPr>
                <w:sz w:val="17"/>
                <w:szCs w:val="17"/>
                <w:color w:val="auto"/>
              </w:rPr>
            </w:pPr>
          </w:p>
        </w:tc>
        <w:tc>
          <w:tcPr>
            <w:tcW w:w="1120" w:type="dxa"/>
            <w:vAlign w:val="bottom"/>
          </w:tcPr>
          <w:p>
            <w:pPr>
              <w:jc w:val="right"/>
              <w:ind w:right="352"/>
              <w:spacing w:after="0" w:line="203" w:lineRule="exact"/>
              <w:rPr>
                <w:sz w:val="20"/>
                <w:szCs w:val="20"/>
                <w:color w:val="auto"/>
              </w:rPr>
            </w:pPr>
            <w:r>
              <w:rPr>
                <w:rFonts w:ascii="Arial" w:cs="Arial" w:eastAsia="Arial" w:hAnsi="Arial"/>
                <w:sz w:val="18"/>
                <w:szCs w:val="18"/>
                <w:color w:val="auto"/>
                <w:w w:val="98"/>
              </w:rPr>
              <w:t>(18,912)</w:t>
            </w:r>
          </w:p>
        </w:tc>
        <w:tc>
          <w:tcPr>
            <w:tcW w:w="560" w:type="dxa"/>
            <w:vAlign w:val="bottom"/>
          </w:tcPr>
          <w:p>
            <w:pPr>
              <w:spacing w:after="0"/>
              <w:rPr>
                <w:sz w:val="17"/>
                <w:szCs w:val="17"/>
                <w:color w:val="auto"/>
              </w:rPr>
            </w:pPr>
          </w:p>
        </w:tc>
        <w:tc>
          <w:tcPr>
            <w:tcW w:w="1080" w:type="dxa"/>
            <w:vAlign w:val="bottom"/>
          </w:tcPr>
          <w:p>
            <w:pPr>
              <w:jc w:val="right"/>
              <w:ind w:right="474"/>
              <w:spacing w:after="0" w:line="203"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120" w:type="dxa"/>
            <w:vAlign w:val="bottom"/>
          </w:tcPr>
          <w:p>
            <w:pPr>
              <w:jc w:val="right"/>
              <w:ind w:right="432"/>
              <w:spacing w:after="0" w:line="203"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82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86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Restructuring charges, in-</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process research and</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development and other</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92"/>
              <w:spacing w:after="0" w:line="203" w:lineRule="exact"/>
              <w:rPr>
                <w:sz w:val="20"/>
                <w:szCs w:val="20"/>
                <w:color w:val="auto"/>
              </w:rPr>
            </w:pPr>
            <w:r>
              <w:rPr>
                <w:rFonts w:ascii="Arial" w:cs="Arial" w:eastAsia="Arial" w:hAnsi="Arial"/>
                <w:sz w:val="18"/>
                <w:szCs w:val="18"/>
                <w:color w:val="auto"/>
              </w:rPr>
              <w:t>6,761</w:t>
            </w:r>
          </w:p>
        </w:tc>
        <w:tc>
          <w:tcPr>
            <w:tcW w:w="3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12"/>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14"/>
              <w:spacing w:after="0" w:line="203" w:lineRule="exact"/>
              <w:rPr>
                <w:sz w:val="20"/>
                <w:szCs w:val="20"/>
                <w:color w:val="auto"/>
              </w:rPr>
            </w:pPr>
            <w:r>
              <w:rPr>
                <w:rFonts w:ascii="Arial" w:cs="Arial" w:eastAsia="Arial" w:hAnsi="Arial"/>
                <w:sz w:val="18"/>
                <w:szCs w:val="18"/>
                <w:color w:val="auto"/>
                <w:w w:val="98"/>
              </w:rPr>
              <w:t>(6,761)</w:t>
            </w:r>
          </w:p>
        </w:tc>
        <w:tc>
          <w:tcPr>
            <w:tcW w:w="5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32"/>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6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w w:val="98"/>
              </w:rPr>
              <w:t>622,563</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98"/>
              </w:rPr>
              <w:t>(18,912)</w:t>
            </w: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4"/>
              <w:spacing w:after="0"/>
              <w:rPr>
                <w:sz w:val="20"/>
                <w:szCs w:val="20"/>
                <w:color w:val="auto"/>
              </w:rPr>
            </w:pPr>
            <w:r>
              <w:rPr>
                <w:rFonts w:ascii="Arial" w:cs="Arial" w:eastAsia="Arial" w:hAnsi="Arial"/>
                <w:sz w:val="18"/>
                <w:szCs w:val="18"/>
                <w:color w:val="auto"/>
                <w:w w:val="98"/>
              </w:rPr>
              <w:t>(6,761)</w:t>
            </w: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95"/>
              </w:rPr>
              <w:t>(11,966)</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8"/>
              </w:rPr>
              <w:t>584,924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83,798</w:t>
            </w:r>
          </w:p>
        </w:tc>
        <w:tc>
          <w:tcPr>
            <w:tcW w:w="3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18,912</w:t>
            </w:r>
          </w:p>
        </w:tc>
        <w:tc>
          <w:tcPr>
            <w:tcW w:w="5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74"/>
              <w:spacing w:after="0" w:line="202" w:lineRule="exact"/>
              <w:rPr>
                <w:sz w:val="20"/>
                <w:szCs w:val="20"/>
                <w:color w:val="auto"/>
              </w:rPr>
            </w:pPr>
            <w:r>
              <w:rPr>
                <w:rFonts w:ascii="Arial" w:cs="Arial" w:eastAsia="Arial" w:hAnsi="Arial"/>
                <w:sz w:val="18"/>
                <w:szCs w:val="18"/>
                <w:color w:val="auto"/>
              </w:rPr>
              <w:t>6,761</w:t>
            </w:r>
          </w:p>
        </w:tc>
        <w:tc>
          <w:tcPr>
            <w:tcW w:w="5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11,966</w:t>
            </w:r>
          </w:p>
        </w:tc>
        <w:tc>
          <w:tcPr>
            <w:tcW w:w="4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98"/>
              </w:rPr>
              <w:t>121,437</w:t>
            </w:r>
          </w:p>
        </w:tc>
        <w:tc>
          <w:tcPr>
            <w:tcW w:w="0" w:type="dxa"/>
            <w:vAlign w:val="bottom"/>
          </w:tcPr>
          <w:p>
            <w:pPr>
              <w:spacing w:after="0"/>
              <w:rPr>
                <w:sz w:val="1"/>
                <w:szCs w:val="1"/>
                <w:color w:val="auto"/>
              </w:rPr>
            </w:pPr>
          </w:p>
        </w:tc>
      </w:tr>
      <w:tr>
        <w:trPr>
          <w:trHeight w:val="412"/>
        </w:trPr>
        <w:tc>
          <w:tcPr>
            <w:tcW w:w="26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7,526</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10,339</w:t>
            </w:r>
          </w:p>
        </w:tc>
        <w:tc>
          <w:tcPr>
            <w:tcW w:w="5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17,865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87,171</w:t>
            </w:r>
          </w:p>
        </w:tc>
        <w:tc>
          <w:tcPr>
            <w:tcW w:w="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18,912</w:t>
            </w: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474"/>
              <w:spacing w:after="0" w:line="202" w:lineRule="exact"/>
              <w:rPr>
                <w:sz w:val="20"/>
                <w:szCs w:val="20"/>
                <w:color w:val="auto"/>
              </w:rPr>
            </w:pPr>
            <w:r>
              <w:rPr>
                <w:rFonts w:ascii="Arial" w:cs="Arial" w:eastAsia="Arial" w:hAnsi="Arial"/>
                <w:sz w:val="18"/>
                <w:szCs w:val="18"/>
                <w:color w:val="auto"/>
              </w:rPr>
              <w:t>6,761</w:t>
            </w: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11,966</w:t>
            </w:r>
          </w:p>
        </w:tc>
        <w:tc>
          <w:tcPr>
            <w:tcW w:w="4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98"/>
              </w:rPr>
              <w:t>(10,339)</w:t>
            </w: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98"/>
              </w:rPr>
              <w:t>114,471</w:t>
            </w:r>
          </w:p>
        </w:tc>
        <w:tc>
          <w:tcPr>
            <w:tcW w:w="0" w:type="dxa"/>
            <w:vAlign w:val="bottom"/>
          </w:tcPr>
          <w:p>
            <w:pPr>
              <w:spacing w:after="0"/>
              <w:rPr>
                <w:sz w:val="1"/>
                <w:szCs w:val="1"/>
                <w:color w:val="auto"/>
              </w:rPr>
            </w:pPr>
          </w:p>
        </w:tc>
      </w:tr>
      <w:tr>
        <w:trPr>
          <w:trHeight w:val="625"/>
        </w:trPr>
        <w:tc>
          <w:tcPr>
            <w:tcW w:w="20" w:type="dxa"/>
            <w:vAlign w:val="bottom"/>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March 31, 2008</w:t>
            </w: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Reconciliation items</w:t>
            </w:r>
          </w:p>
        </w:tc>
        <w:tc>
          <w:tcPr>
            <w:tcW w:w="4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6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Amortization</w:t>
            </w:r>
          </w:p>
        </w:tc>
        <w:tc>
          <w:tcPr>
            <w:tcW w:w="7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of purchased</w:t>
            </w:r>
          </w:p>
        </w:tc>
        <w:tc>
          <w:tcPr>
            <w:tcW w:w="1960" w:type="dxa"/>
            <w:vAlign w:val="bottom"/>
            <w:gridSpan w:val="2"/>
          </w:tcPr>
          <w:p>
            <w:pPr>
              <w:jc w:val="center"/>
              <w:ind w:left="143"/>
              <w:spacing w:after="0"/>
              <w:rPr>
                <w:sz w:val="20"/>
                <w:szCs w:val="20"/>
                <w:color w:val="auto"/>
              </w:rPr>
            </w:pPr>
            <w:r>
              <w:rPr>
                <w:rFonts w:ascii="Arial" w:cs="Arial" w:eastAsia="Arial" w:hAnsi="Arial"/>
                <w:sz w:val="14"/>
                <w:szCs w:val="14"/>
                <w:b w:val="1"/>
                <w:bCs w:val="1"/>
                <w:color w:val="auto"/>
              </w:rPr>
              <w:t>Equity based</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intangible</w:t>
            </w:r>
          </w:p>
        </w:tc>
        <w:tc>
          <w:tcPr>
            <w:tcW w:w="1960" w:type="dxa"/>
            <w:vAlign w:val="bottom"/>
            <w:gridSpan w:val="2"/>
          </w:tcPr>
          <w:p>
            <w:pPr>
              <w:jc w:val="center"/>
              <w:ind w:left="143"/>
              <w:spacing w:after="0"/>
              <w:rPr>
                <w:sz w:val="20"/>
                <w:szCs w:val="20"/>
                <w:color w:val="auto"/>
              </w:rPr>
            </w:pPr>
            <w:r>
              <w:rPr>
                <w:rFonts w:ascii="Arial" w:cs="Arial" w:eastAsia="Arial" w:hAnsi="Arial"/>
                <w:sz w:val="14"/>
                <w:szCs w:val="14"/>
                <w:b w:val="1"/>
                <w:bCs w:val="1"/>
                <w:color w:val="auto"/>
              </w:rPr>
              <w:t>compensation</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GAAP</w:t>
            </w: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rPr>
              <w:t>assets</w:t>
            </w:r>
          </w:p>
        </w:tc>
        <w:tc>
          <w:tcPr>
            <w:tcW w:w="7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472"/>
              <w:spacing w:after="0"/>
              <w:rPr>
                <w:sz w:val="20"/>
                <w:szCs w:val="20"/>
                <w:color w:val="auto"/>
              </w:rPr>
            </w:pPr>
            <w:r>
              <w:rPr>
                <w:rFonts w:ascii="Arial" w:cs="Arial" w:eastAsia="Arial" w:hAnsi="Arial"/>
                <w:sz w:val="14"/>
                <w:szCs w:val="14"/>
                <w:b w:val="1"/>
                <w:bCs w:val="1"/>
                <w:color w:val="auto"/>
              </w:rPr>
              <w:t>expense</w:t>
            </w:r>
          </w:p>
        </w:tc>
        <w:tc>
          <w:tcPr>
            <w:tcW w:w="12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Tax effect</w:t>
            </w:r>
          </w:p>
        </w:tc>
        <w:tc>
          <w:tcPr>
            <w:tcW w:w="5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ind w:left="200"/>
              <w:spacing w:after="0" w:line="202" w:lineRule="exact"/>
              <w:rPr>
                <w:sz w:val="20"/>
                <w:szCs w:val="20"/>
                <w:color w:val="auto"/>
              </w:rPr>
            </w:pPr>
            <w:r>
              <w:rPr>
                <w:rFonts w:ascii="Arial" w:cs="Arial" w:eastAsia="Arial" w:hAnsi="Arial"/>
                <w:sz w:val="18"/>
                <w:szCs w:val="18"/>
                <w:color w:val="auto"/>
              </w:rPr>
              <w:t>Cost of license</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452"/>
              <w:spacing w:after="0" w:line="202" w:lineRule="exact"/>
              <w:rPr>
                <w:sz w:val="20"/>
                <w:szCs w:val="20"/>
                <w:color w:val="auto"/>
              </w:rPr>
            </w:pPr>
            <w:r>
              <w:rPr>
                <w:rFonts w:ascii="Arial" w:cs="Arial" w:eastAsia="Arial" w:hAnsi="Arial"/>
                <w:sz w:val="18"/>
                <w:szCs w:val="18"/>
                <w:color w:val="auto"/>
              </w:rPr>
              <w:t>1,712</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472"/>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1,712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Cost of service</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52"/>
              <w:spacing w:after="0" w:line="202" w:lineRule="exact"/>
              <w:rPr>
                <w:sz w:val="20"/>
                <w:szCs w:val="20"/>
                <w:color w:val="auto"/>
              </w:rPr>
            </w:pPr>
            <w:r>
              <w:rPr>
                <w:rFonts w:ascii="Arial" w:cs="Arial" w:eastAsia="Arial" w:hAnsi="Arial"/>
                <w:sz w:val="18"/>
                <w:szCs w:val="18"/>
                <w:color w:val="auto"/>
              </w:rPr>
              <w:t>964,697</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w w:val="98"/>
              </w:rPr>
              <w:t>(11,713)</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952,984</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7"/>
                <w:szCs w:val="17"/>
                <w:color w:val="auto"/>
              </w:rPr>
            </w:pPr>
          </w:p>
        </w:tc>
        <w:tc>
          <w:tcPr>
            <w:tcW w:w="1340" w:type="dxa"/>
            <w:vAlign w:val="bottom"/>
          </w:tcPr>
          <w:p>
            <w:pPr>
              <w:jc w:val="right"/>
              <w:ind w:right="452"/>
              <w:spacing w:after="0" w:line="202" w:lineRule="exact"/>
              <w:rPr>
                <w:sz w:val="20"/>
                <w:szCs w:val="20"/>
                <w:color w:val="auto"/>
              </w:rPr>
            </w:pPr>
            <w:r>
              <w:rPr>
                <w:rFonts w:ascii="Arial" w:cs="Arial" w:eastAsia="Arial" w:hAnsi="Arial"/>
                <w:sz w:val="18"/>
                <w:szCs w:val="18"/>
                <w:color w:val="auto"/>
              </w:rPr>
              <w:t>112,103</w:t>
            </w:r>
          </w:p>
        </w:tc>
        <w:tc>
          <w:tcPr>
            <w:tcW w:w="380" w:type="dxa"/>
            <w:vAlign w:val="bottom"/>
          </w:tcPr>
          <w:p>
            <w:pPr>
              <w:spacing w:after="0"/>
              <w:rPr>
                <w:sz w:val="17"/>
                <w:szCs w:val="17"/>
                <w:color w:val="auto"/>
              </w:rPr>
            </w:pPr>
          </w:p>
        </w:tc>
        <w:tc>
          <w:tcPr>
            <w:tcW w:w="98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spacing w:after="0"/>
              <w:rPr>
                <w:sz w:val="17"/>
                <w:szCs w:val="17"/>
                <w:color w:val="auto"/>
              </w:rPr>
            </w:pPr>
          </w:p>
        </w:tc>
        <w:tc>
          <w:tcPr>
            <w:tcW w:w="1180" w:type="dxa"/>
            <w:vAlign w:val="bottom"/>
          </w:tcPr>
          <w:p>
            <w:pPr>
              <w:jc w:val="right"/>
              <w:ind w:right="412"/>
              <w:spacing w:after="0" w:line="202" w:lineRule="exact"/>
              <w:rPr>
                <w:sz w:val="20"/>
                <w:szCs w:val="20"/>
                <w:color w:val="auto"/>
              </w:rPr>
            </w:pPr>
            <w:r>
              <w:rPr>
                <w:rFonts w:ascii="Arial" w:cs="Arial" w:eastAsia="Arial" w:hAnsi="Arial"/>
                <w:sz w:val="18"/>
                <w:szCs w:val="18"/>
                <w:color w:val="auto"/>
              </w:rPr>
              <w:t>(2,522)</w:t>
            </w:r>
          </w:p>
        </w:tc>
        <w:tc>
          <w:tcPr>
            <w:tcW w:w="440" w:type="dxa"/>
            <w:vAlign w:val="bottom"/>
          </w:tcPr>
          <w:p>
            <w:pPr>
              <w:spacing w:after="0"/>
              <w:rPr>
                <w:sz w:val="17"/>
                <w:szCs w:val="17"/>
                <w:color w:val="auto"/>
              </w:rPr>
            </w:pPr>
          </w:p>
        </w:tc>
        <w:tc>
          <w:tcPr>
            <w:tcW w:w="8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0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109,581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52"/>
              <w:spacing w:after="0" w:line="202" w:lineRule="exact"/>
              <w:rPr>
                <w:sz w:val="20"/>
                <w:szCs w:val="20"/>
                <w:color w:val="auto"/>
              </w:rPr>
            </w:pPr>
            <w:r>
              <w:rPr>
                <w:rFonts w:ascii="Arial" w:cs="Arial" w:eastAsia="Arial" w:hAnsi="Arial"/>
                <w:sz w:val="18"/>
                <w:szCs w:val="18"/>
                <w:color w:val="auto"/>
              </w:rPr>
              <w:t>196,331</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w w:val="98"/>
              </w:rPr>
              <w:t>(13,394)</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182,937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purchased</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ind w:left="400"/>
              <w:spacing w:after="0" w:line="203" w:lineRule="exact"/>
              <w:rPr>
                <w:sz w:val="20"/>
                <w:szCs w:val="20"/>
                <w:color w:val="auto"/>
              </w:rPr>
            </w:pPr>
            <w:r>
              <w:rPr>
                <w:rFonts w:ascii="Arial" w:cs="Arial" w:eastAsia="Arial" w:hAnsi="Arial"/>
                <w:sz w:val="18"/>
                <w:szCs w:val="18"/>
                <w:color w:val="auto"/>
              </w:rPr>
              <w:t>intangible assets</w:t>
            </w:r>
          </w:p>
        </w:tc>
        <w:tc>
          <w:tcPr>
            <w:tcW w:w="240" w:type="dxa"/>
            <w:vAlign w:val="bottom"/>
          </w:tcPr>
          <w:p>
            <w:pPr>
              <w:spacing w:after="0"/>
              <w:rPr>
                <w:sz w:val="18"/>
                <w:szCs w:val="18"/>
                <w:color w:val="auto"/>
              </w:rPr>
            </w:pPr>
          </w:p>
        </w:tc>
        <w:tc>
          <w:tcPr>
            <w:tcW w:w="1340" w:type="dxa"/>
            <w:vAlign w:val="bottom"/>
          </w:tcPr>
          <w:p>
            <w:pPr>
              <w:jc w:val="right"/>
              <w:ind w:right="452"/>
              <w:spacing w:after="0" w:line="203" w:lineRule="exact"/>
              <w:rPr>
                <w:sz w:val="20"/>
                <w:szCs w:val="20"/>
                <w:color w:val="auto"/>
              </w:rPr>
            </w:pPr>
            <w:r>
              <w:rPr>
                <w:rFonts w:ascii="Arial" w:cs="Arial" w:eastAsia="Arial" w:hAnsi="Arial"/>
                <w:sz w:val="18"/>
                <w:szCs w:val="18"/>
                <w:color w:val="auto"/>
              </w:rPr>
              <w:t>43,506</w:t>
            </w:r>
          </w:p>
        </w:tc>
        <w:tc>
          <w:tcPr>
            <w:tcW w:w="380" w:type="dxa"/>
            <w:vAlign w:val="bottom"/>
          </w:tcPr>
          <w:p>
            <w:pPr>
              <w:spacing w:after="0"/>
              <w:rPr>
                <w:sz w:val="18"/>
                <w:szCs w:val="18"/>
                <w:color w:val="auto"/>
              </w:rPr>
            </w:pPr>
          </w:p>
        </w:tc>
        <w:tc>
          <w:tcPr>
            <w:tcW w:w="980" w:type="dxa"/>
            <w:vAlign w:val="bottom"/>
          </w:tcPr>
          <w:p>
            <w:pPr>
              <w:jc w:val="right"/>
              <w:ind w:right="212"/>
              <w:spacing w:after="0" w:line="203" w:lineRule="exact"/>
              <w:rPr>
                <w:sz w:val="20"/>
                <w:szCs w:val="20"/>
                <w:color w:val="auto"/>
              </w:rPr>
            </w:pPr>
            <w:r>
              <w:rPr>
                <w:rFonts w:ascii="Arial" w:cs="Arial" w:eastAsia="Arial" w:hAnsi="Arial"/>
                <w:sz w:val="18"/>
                <w:szCs w:val="18"/>
                <w:color w:val="auto"/>
                <w:w w:val="98"/>
              </w:rPr>
              <w:t>(43,506)</w:t>
            </w:r>
          </w:p>
        </w:tc>
        <w:tc>
          <w:tcPr>
            <w:tcW w:w="780" w:type="dxa"/>
            <w:vAlign w:val="bottom"/>
          </w:tcPr>
          <w:p>
            <w:pPr>
              <w:spacing w:after="0"/>
              <w:rPr>
                <w:sz w:val="18"/>
                <w:szCs w:val="18"/>
                <w:color w:val="auto"/>
              </w:rPr>
            </w:pPr>
          </w:p>
        </w:tc>
        <w:tc>
          <w:tcPr>
            <w:tcW w:w="1180" w:type="dxa"/>
            <w:vAlign w:val="bottom"/>
          </w:tcPr>
          <w:p>
            <w:pPr>
              <w:jc w:val="right"/>
              <w:ind w:right="472"/>
              <w:spacing w:after="0" w:line="203"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40" w:type="dxa"/>
            <w:vAlign w:val="bottom"/>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20" w:type="dxa"/>
            <w:vAlign w:val="bottom"/>
            <w:gridSpan w:val="2"/>
          </w:tcPr>
          <w:p>
            <w:pPr>
              <w:jc w:val="right"/>
              <w:ind w:right="4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jc w:val="right"/>
              <w:ind w:right="452"/>
              <w:spacing w:after="0" w:line="202" w:lineRule="exact"/>
              <w:rPr>
                <w:sz w:val="20"/>
                <w:szCs w:val="20"/>
                <w:color w:val="auto"/>
              </w:rPr>
            </w:pPr>
            <w:r>
              <w:rPr>
                <w:rFonts w:ascii="Arial" w:cs="Arial" w:eastAsia="Arial" w:hAnsi="Arial"/>
                <w:sz w:val="18"/>
                <w:szCs w:val="18"/>
                <w:color w:val="auto"/>
                <w:w w:val="97"/>
              </w:rPr>
              <w:t>1,318,349</w:t>
            </w: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w w:val="98"/>
              </w:rPr>
              <w:t>(43,506)</w:t>
            </w:r>
          </w:p>
        </w:tc>
        <w:tc>
          <w:tcPr>
            <w:tcW w:w="78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w w:val="98"/>
              </w:rPr>
              <w:t>(27,629)</w:t>
            </w: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97"/>
              </w:rPr>
              <w:t>1,247,214</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4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198,182</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43,506</w:t>
            </w:r>
          </w:p>
        </w:tc>
        <w:tc>
          <w:tcPr>
            <w:tcW w:w="7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27,629</w:t>
            </w: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269,317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452"/>
              <w:spacing w:after="0" w:line="202" w:lineRule="exact"/>
              <w:rPr>
                <w:sz w:val="20"/>
                <w:szCs w:val="20"/>
                <w:color w:val="auto"/>
              </w:rPr>
            </w:pPr>
            <w:r>
              <w:rPr>
                <w:rFonts w:ascii="Arial" w:cs="Arial" w:eastAsia="Arial" w:hAnsi="Arial"/>
                <w:sz w:val="18"/>
                <w:szCs w:val="18"/>
                <w:color w:val="auto"/>
              </w:rPr>
              <w:t>20,297</w:t>
            </w: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72"/>
              <w:spacing w:after="0" w:line="202"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16,721</w:t>
            </w:r>
          </w:p>
        </w:tc>
        <w:tc>
          <w:tcPr>
            <w:tcW w:w="5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37,018</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4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195,523</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43,506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27,629</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8"/>
              </w:rPr>
              <w:t>(16,721)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249,937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 2007</w:t>
            </w:r>
          </w:p>
        </w:tc>
        <w:tc>
          <w:tcPr>
            <w:tcW w:w="1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3"/>
          </w:tcPr>
          <w:p>
            <w:pPr>
              <w:jc w:val="right"/>
              <w:ind w:right="972"/>
              <w:spacing w:after="0" w:line="155" w:lineRule="exact"/>
              <w:rPr>
                <w:sz w:val="20"/>
                <w:szCs w:val="20"/>
                <w:color w:val="auto"/>
              </w:rPr>
            </w:pPr>
            <w:r>
              <w:rPr>
                <w:rFonts w:ascii="Arial" w:cs="Arial" w:eastAsia="Arial" w:hAnsi="Arial"/>
                <w:sz w:val="14"/>
                <w:szCs w:val="14"/>
                <w:b w:val="1"/>
                <w:bCs w:val="1"/>
                <w:color w:val="auto"/>
              </w:rPr>
              <w:t>Reconciliation items</w:t>
            </w:r>
          </w:p>
        </w:tc>
        <w:tc>
          <w:tcPr>
            <w:tcW w:w="4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2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Restructuring</w:t>
            </w:r>
          </w:p>
        </w:tc>
        <w:tc>
          <w:tcPr>
            <w:tcW w:w="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rPr>
              <w:t>charges, in-</w:t>
            </w: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rPr>
              <w:t>Amortization</w:t>
            </w: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process</w:t>
            </w: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rPr>
              <w:t>of purchased</w:t>
            </w: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research and</w:t>
            </w: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rPr>
              <w:t>Equity based</w:t>
            </w: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rPr>
              <w:t>intangible</w:t>
            </w: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rPr>
              <w:t>development</w:t>
            </w: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GAAP</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392"/>
              <w:spacing w:after="0"/>
              <w:rPr>
                <w:sz w:val="20"/>
                <w:szCs w:val="20"/>
                <w:color w:val="auto"/>
              </w:rPr>
            </w:pPr>
            <w:r>
              <w:rPr>
                <w:rFonts w:ascii="Arial" w:cs="Arial" w:eastAsia="Arial" w:hAnsi="Arial"/>
                <w:sz w:val="14"/>
                <w:szCs w:val="14"/>
                <w:b w:val="1"/>
                <w:bCs w:val="1"/>
                <w:color w:val="auto"/>
              </w:rPr>
              <w:t>assets</w:t>
            </w: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and other</w:t>
            </w:r>
          </w:p>
        </w:tc>
        <w:tc>
          <w:tcPr>
            <w:tcW w:w="5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32"/>
              <w:spacing w:after="0"/>
              <w:rPr>
                <w:sz w:val="20"/>
                <w:szCs w:val="20"/>
                <w:color w:val="auto"/>
              </w:rPr>
            </w:pPr>
            <w:r>
              <w:rPr>
                <w:rFonts w:ascii="Arial" w:cs="Arial" w:eastAsia="Arial" w:hAnsi="Arial"/>
                <w:sz w:val="14"/>
                <w:szCs w:val="14"/>
                <w:b w:val="1"/>
                <w:bCs w:val="1"/>
                <w:color w:val="auto"/>
                <w:w w:val="99"/>
              </w:rPr>
              <w:t>expense</w:t>
            </w:r>
          </w:p>
        </w:tc>
        <w:tc>
          <w:tcPr>
            <w:tcW w:w="12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Tax effect</w:t>
            </w: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200"/>
              <w:spacing w:after="0" w:line="202" w:lineRule="exact"/>
              <w:rPr>
                <w:sz w:val="20"/>
                <w:szCs w:val="20"/>
                <w:color w:val="auto"/>
              </w:rPr>
            </w:pPr>
            <w:r>
              <w:rPr>
                <w:rFonts w:ascii="Arial" w:cs="Arial" w:eastAsia="Arial" w:hAnsi="Arial"/>
                <w:sz w:val="18"/>
                <w:szCs w:val="18"/>
                <w:color w:val="auto"/>
              </w:rPr>
              <w:t>Cost of license</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2,085</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454"/>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412"/>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Cost of service</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881,981</w:t>
            </w: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54"/>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w w:val="98"/>
              </w:rPr>
              <w:t>(12,327)</w:t>
            </w: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869,654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tcPr>
          <w:p>
            <w:pPr>
              <w:ind w:left="200"/>
              <w:spacing w:after="0" w:line="201" w:lineRule="exact"/>
              <w:rPr>
                <w:sz w:val="20"/>
                <w:szCs w:val="20"/>
                <w:color w:val="auto"/>
              </w:rPr>
            </w:pPr>
            <w:r>
              <w:rPr>
                <w:rFonts w:ascii="Arial" w:cs="Arial" w:eastAsia="Arial" w:hAnsi="Arial"/>
                <w:sz w:val="18"/>
                <w:szCs w:val="18"/>
                <w:color w:val="auto"/>
              </w:rPr>
              <w:t>Research and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400"/>
              <w:spacing w:after="0" w:line="203" w:lineRule="exact"/>
              <w:rPr>
                <w:sz w:val="20"/>
                <w:szCs w:val="20"/>
                <w:color w:val="auto"/>
              </w:rPr>
            </w:pPr>
            <w:r>
              <w:rPr>
                <w:rFonts w:ascii="Arial" w:cs="Arial" w:eastAsia="Arial" w:hAnsi="Arial"/>
                <w:sz w:val="18"/>
                <w:szCs w:val="18"/>
                <w:color w:val="auto"/>
              </w:rPr>
              <w:t>development</w:t>
            </w:r>
          </w:p>
        </w:tc>
        <w:tc>
          <w:tcPr>
            <w:tcW w:w="220" w:type="dxa"/>
            <w:vAlign w:val="bottom"/>
          </w:tcPr>
          <w:p>
            <w:pPr>
              <w:spacing w:after="0"/>
              <w:rPr>
                <w:sz w:val="17"/>
                <w:szCs w:val="17"/>
                <w:color w:val="auto"/>
              </w:rPr>
            </w:pPr>
          </w:p>
        </w:tc>
        <w:tc>
          <w:tcPr>
            <w:tcW w:w="1260" w:type="dxa"/>
            <w:vAlign w:val="bottom"/>
          </w:tcPr>
          <w:p>
            <w:pPr>
              <w:jc w:val="right"/>
              <w:ind w:right="372"/>
              <w:spacing w:after="0" w:line="203" w:lineRule="exact"/>
              <w:rPr>
                <w:sz w:val="20"/>
                <w:szCs w:val="20"/>
                <w:color w:val="auto"/>
              </w:rPr>
            </w:pPr>
            <w:r>
              <w:rPr>
                <w:rFonts w:ascii="Arial" w:cs="Arial" w:eastAsia="Arial" w:hAnsi="Arial"/>
                <w:sz w:val="18"/>
                <w:szCs w:val="18"/>
                <w:color w:val="auto"/>
              </w:rPr>
              <w:t>118,202</w:t>
            </w:r>
          </w:p>
        </w:tc>
        <w:tc>
          <w:tcPr>
            <w:tcW w:w="380" w:type="dxa"/>
            <w:vAlign w:val="bottom"/>
          </w:tcPr>
          <w:p>
            <w:pPr>
              <w:spacing w:after="0"/>
              <w:rPr>
                <w:sz w:val="17"/>
                <w:szCs w:val="17"/>
                <w:color w:val="auto"/>
              </w:rPr>
            </w:pPr>
          </w:p>
        </w:tc>
        <w:tc>
          <w:tcPr>
            <w:tcW w:w="1080" w:type="dxa"/>
            <w:vAlign w:val="bottom"/>
          </w:tcPr>
          <w:p>
            <w:pPr>
              <w:jc w:val="right"/>
              <w:ind w:right="372"/>
              <w:spacing w:after="0" w:line="203"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060" w:type="dxa"/>
            <w:vAlign w:val="bottom"/>
          </w:tcPr>
          <w:p>
            <w:pPr>
              <w:jc w:val="right"/>
              <w:ind w:right="454"/>
              <w:spacing w:after="0" w:line="203"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120" w:type="dxa"/>
            <w:vAlign w:val="bottom"/>
          </w:tcPr>
          <w:p>
            <w:pPr>
              <w:jc w:val="right"/>
              <w:ind w:right="352"/>
              <w:spacing w:after="0" w:line="203" w:lineRule="exact"/>
              <w:rPr>
                <w:sz w:val="20"/>
                <w:szCs w:val="20"/>
                <w:color w:val="auto"/>
              </w:rPr>
            </w:pPr>
            <w:r>
              <w:rPr>
                <w:rFonts w:ascii="Arial" w:cs="Arial" w:eastAsia="Arial" w:hAnsi="Arial"/>
                <w:sz w:val="18"/>
                <w:szCs w:val="18"/>
                <w:color w:val="auto"/>
              </w:rPr>
              <w:t>(3,365)</w:t>
            </w:r>
          </w:p>
        </w:tc>
        <w:tc>
          <w:tcPr>
            <w:tcW w:w="420" w:type="dxa"/>
            <w:vAlign w:val="bottom"/>
          </w:tcPr>
          <w:p>
            <w:pPr>
              <w:spacing w:after="0"/>
              <w:rPr>
                <w:sz w:val="17"/>
                <w:szCs w:val="17"/>
                <w:color w:val="auto"/>
              </w:rPr>
            </w:pPr>
          </w:p>
        </w:tc>
        <w:tc>
          <w:tcPr>
            <w:tcW w:w="800" w:type="dxa"/>
            <w:vAlign w:val="bottom"/>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000" w:type="dxa"/>
            <w:vAlign w:val="bottom"/>
          </w:tcPr>
          <w:p>
            <w:pPr>
              <w:jc w:val="right"/>
              <w:ind w:right="92"/>
              <w:spacing w:after="0" w:line="203" w:lineRule="exact"/>
              <w:rPr>
                <w:sz w:val="20"/>
                <w:szCs w:val="20"/>
                <w:color w:val="auto"/>
              </w:rPr>
            </w:pPr>
            <w:r>
              <w:rPr>
                <w:rFonts w:ascii="Arial" w:cs="Arial" w:eastAsia="Arial" w:hAnsi="Arial"/>
                <w:sz w:val="18"/>
                <w:szCs w:val="18"/>
                <w:color w:val="auto"/>
              </w:rPr>
              <w:t>114,837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administrative</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72"/>
              <w:spacing w:after="0" w:line="203" w:lineRule="exact"/>
              <w:rPr>
                <w:sz w:val="20"/>
                <w:szCs w:val="20"/>
                <w:color w:val="auto"/>
              </w:rPr>
            </w:pPr>
            <w:r>
              <w:rPr>
                <w:rFonts w:ascii="Arial" w:cs="Arial" w:eastAsia="Arial" w:hAnsi="Arial"/>
                <w:sz w:val="18"/>
                <w:szCs w:val="18"/>
                <w:color w:val="auto"/>
              </w:rPr>
              <w:t>180,450</w:t>
            </w: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72"/>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54"/>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52"/>
              <w:spacing w:after="0" w:line="203" w:lineRule="exact"/>
              <w:rPr>
                <w:sz w:val="20"/>
                <w:szCs w:val="20"/>
                <w:color w:val="auto"/>
              </w:rPr>
            </w:pPr>
            <w:r>
              <w:rPr>
                <w:rFonts w:ascii="Arial" w:cs="Arial" w:eastAsia="Arial" w:hAnsi="Arial"/>
                <w:sz w:val="18"/>
                <w:szCs w:val="18"/>
                <w:color w:val="auto"/>
                <w:w w:val="98"/>
              </w:rPr>
              <w:t>(11,599)</w:t>
            </w: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2"/>
              <w:spacing w:after="0" w:line="203" w:lineRule="exact"/>
              <w:rPr>
                <w:sz w:val="20"/>
                <w:szCs w:val="20"/>
                <w:color w:val="auto"/>
              </w:rPr>
            </w:pPr>
            <w:r>
              <w:rPr>
                <w:rFonts w:ascii="Arial" w:cs="Arial" w:eastAsia="Arial" w:hAnsi="Arial"/>
                <w:sz w:val="18"/>
                <w:szCs w:val="18"/>
                <w:color w:val="auto"/>
              </w:rPr>
              <w:t>168,851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400"/>
              <w:spacing w:after="0" w:line="202" w:lineRule="exact"/>
              <w:rPr>
                <w:sz w:val="20"/>
                <w:szCs w:val="20"/>
                <w:color w:val="auto"/>
              </w:rPr>
            </w:pPr>
            <w:r>
              <w:rPr>
                <w:rFonts w:ascii="Arial" w:cs="Arial" w:eastAsia="Arial" w:hAnsi="Arial"/>
                <w:sz w:val="18"/>
                <w:szCs w:val="18"/>
                <w:color w:val="auto"/>
              </w:rPr>
              <w:t>purchased intangible</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400"/>
              <w:spacing w:after="0" w:line="203" w:lineRule="exact"/>
              <w:rPr>
                <w:sz w:val="20"/>
                <w:szCs w:val="20"/>
                <w:color w:val="auto"/>
              </w:rPr>
            </w:pPr>
            <w:r>
              <w:rPr>
                <w:rFonts w:ascii="Arial" w:cs="Arial" w:eastAsia="Arial" w:hAnsi="Arial"/>
                <w:sz w:val="18"/>
                <w:szCs w:val="18"/>
                <w:color w:val="auto"/>
              </w:rPr>
              <w:t>assets</w:t>
            </w:r>
          </w:p>
        </w:tc>
        <w:tc>
          <w:tcPr>
            <w:tcW w:w="220" w:type="dxa"/>
            <w:vAlign w:val="bottom"/>
          </w:tcPr>
          <w:p>
            <w:pPr>
              <w:spacing w:after="0"/>
              <w:rPr>
                <w:sz w:val="17"/>
                <w:szCs w:val="17"/>
                <w:color w:val="auto"/>
              </w:rPr>
            </w:pPr>
          </w:p>
        </w:tc>
        <w:tc>
          <w:tcPr>
            <w:tcW w:w="1260" w:type="dxa"/>
            <w:vAlign w:val="bottom"/>
          </w:tcPr>
          <w:p>
            <w:pPr>
              <w:jc w:val="right"/>
              <w:ind w:right="372"/>
              <w:spacing w:after="0" w:line="203" w:lineRule="exact"/>
              <w:rPr>
                <w:sz w:val="20"/>
                <w:szCs w:val="20"/>
                <w:color w:val="auto"/>
              </w:rPr>
            </w:pPr>
            <w:r>
              <w:rPr>
                <w:rFonts w:ascii="Arial" w:cs="Arial" w:eastAsia="Arial" w:hAnsi="Arial"/>
                <w:sz w:val="18"/>
                <w:szCs w:val="18"/>
                <w:color w:val="auto"/>
              </w:rPr>
              <w:t>36,610</w:t>
            </w:r>
          </w:p>
        </w:tc>
        <w:tc>
          <w:tcPr>
            <w:tcW w:w="380" w:type="dxa"/>
            <w:vAlign w:val="bottom"/>
          </w:tcPr>
          <w:p>
            <w:pPr>
              <w:spacing w:after="0"/>
              <w:rPr>
                <w:sz w:val="17"/>
                <w:szCs w:val="17"/>
                <w:color w:val="auto"/>
              </w:rPr>
            </w:pPr>
          </w:p>
        </w:tc>
        <w:tc>
          <w:tcPr>
            <w:tcW w:w="1080" w:type="dxa"/>
            <w:vAlign w:val="bottom"/>
          </w:tcPr>
          <w:p>
            <w:pPr>
              <w:jc w:val="right"/>
              <w:ind w:right="312"/>
              <w:spacing w:after="0" w:line="203" w:lineRule="exact"/>
              <w:rPr>
                <w:sz w:val="20"/>
                <w:szCs w:val="20"/>
                <w:color w:val="auto"/>
              </w:rPr>
            </w:pPr>
            <w:r>
              <w:rPr>
                <w:rFonts w:ascii="Arial" w:cs="Arial" w:eastAsia="Arial" w:hAnsi="Arial"/>
                <w:sz w:val="18"/>
                <w:szCs w:val="18"/>
                <w:color w:val="auto"/>
                <w:w w:val="98"/>
              </w:rPr>
              <w:t>(36,610)</w:t>
            </w:r>
          </w:p>
        </w:tc>
        <w:tc>
          <w:tcPr>
            <w:tcW w:w="560" w:type="dxa"/>
            <w:vAlign w:val="bottom"/>
          </w:tcPr>
          <w:p>
            <w:pPr>
              <w:spacing w:after="0"/>
              <w:rPr>
                <w:sz w:val="17"/>
                <w:szCs w:val="17"/>
                <w:color w:val="auto"/>
              </w:rPr>
            </w:pPr>
          </w:p>
        </w:tc>
        <w:tc>
          <w:tcPr>
            <w:tcW w:w="1060" w:type="dxa"/>
            <w:vAlign w:val="bottom"/>
          </w:tcPr>
          <w:p>
            <w:pPr>
              <w:jc w:val="right"/>
              <w:ind w:right="454"/>
              <w:spacing w:after="0" w:line="203"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120" w:type="dxa"/>
            <w:vAlign w:val="bottom"/>
          </w:tcPr>
          <w:p>
            <w:pPr>
              <w:jc w:val="right"/>
              <w:ind w:right="412"/>
              <w:spacing w:after="0" w:line="203"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800" w:type="dxa"/>
            <w:vAlign w:val="bottom"/>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000" w:type="dxa"/>
            <w:vAlign w:val="bottom"/>
          </w:tcPr>
          <w:p>
            <w:pPr>
              <w:jc w:val="right"/>
              <w:ind w:right="92"/>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Restructuring charges,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in-process research</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and development and</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372"/>
              <w:spacing w:after="0" w:line="203" w:lineRule="exact"/>
              <w:rPr>
                <w:sz w:val="20"/>
                <w:szCs w:val="20"/>
                <w:color w:val="auto"/>
              </w:rPr>
            </w:pPr>
            <w:r>
              <w:rPr>
                <w:rFonts w:ascii="Arial" w:cs="Arial" w:eastAsia="Arial" w:hAnsi="Arial"/>
                <w:sz w:val="18"/>
                <w:szCs w:val="18"/>
                <w:color w:val="auto"/>
              </w:rPr>
              <w:t>6,761</w:t>
            </w:r>
          </w:p>
        </w:tc>
        <w:tc>
          <w:tcPr>
            <w:tcW w:w="3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72"/>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94"/>
              <w:spacing w:after="0" w:line="203" w:lineRule="exact"/>
              <w:rPr>
                <w:sz w:val="20"/>
                <w:szCs w:val="20"/>
                <w:color w:val="auto"/>
              </w:rPr>
            </w:pPr>
            <w:r>
              <w:rPr>
                <w:rFonts w:ascii="Arial" w:cs="Arial" w:eastAsia="Arial" w:hAnsi="Arial"/>
                <w:sz w:val="18"/>
                <w:szCs w:val="18"/>
                <w:color w:val="auto"/>
                <w:w w:val="98"/>
              </w:rPr>
              <w:t>(6,761)</w:t>
            </w:r>
          </w:p>
        </w:tc>
        <w:tc>
          <w:tcPr>
            <w:tcW w:w="5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12"/>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92"/>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4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97"/>
              </w:rPr>
              <w:t>1,226,089</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98"/>
              </w:rPr>
              <w:t>(36,610)</w:t>
            </w: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w w:val="98"/>
              </w:rPr>
              <w:t>(6,761)</w:t>
            </w: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98"/>
              </w:rPr>
              <w:t>(27,291)</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1,155,427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171,304</w:t>
            </w:r>
          </w:p>
        </w:tc>
        <w:tc>
          <w:tcPr>
            <w:tcW w:w="3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36,610</w:t>
            </w:r>
          </w:p>
        </w:tc>
        <w:tc>
          <w:tcPr>
            <w:tcW w:w="5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54"/>
              <w:spacing w:after="0" w:line="202" w:lineRule="exact"/>
              <w:rPr>
                <w:sz w:val="20"/>
                <w:szCs w:val="20"/>
                <w:color w:val="auto"/>
              </w:rPr>
            </w:pPr>
            <w:r>
              <w:rPr>
                <w:rFonts w:ascii="Arial" w:cs="Arial" w:eastAsia="Arial" w:hAnsi="Arial"/>
                <w:sz w:val="18"/>
                <w:szCs w:val="18"/>
                <w:color w:val="auto"/>
              </w:rPr>
              <w:t>6,761</w:t>
            </w:r>
          </w:p>
        </w:tc>
        <w:tc>
          <w:tcPr>
            <w:tcW w:w="5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27,291</w:t>
            </w:r>
          </w:p>
        </w:tc>
        <w:tc>
          <w:tcPr>
            <w:tcW w:w="4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241,966</w:t>
            </w:r>
          </w:p>
        </w:tc>
        <w:tc>
          <w:tcPr>
            <w:tcW w:w="0" w:type="dxa"/>
            <w:vAlign w:val="bottom"/>
          </w:tcPr>
          <w:p>
            <w:pPr>
              <w:spacing w:after="0"/>
              <w:rPr>
                <w:sz w:val="1"/>
                <w:szCs w:val="1"/>
                <w:color w:val="auto"/>
              </w:rPr>
            </w:pPr>
          </w:p>
        </w:tc>
      </w:tr>
      <w:tr>
        <w:trPr>
          <w:trHeight w:val="412"/>
        </w:trPr>
        <w:tc>
          <w:tcPr>
            <w:tcW w:w="248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13,429</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18,588</w:t>
            </w: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180,513</w:t>
            </w:r>
          </w:p>
        </w:tc>
        <w:tc>
          <w:tcPr>
            <w:tcW w:w="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36,610</w:t>
            </w: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454"/>
              <w:spacing w:after="0" w:line="202" w:lineRule="exact"/>
              <w:rPr>
                <w:sz w:val="20"/>
                <w:szCs w:val="20"/>
                <w:color w:val="auto"/>
              </w:rPr>
            </w:pPr>
            <w:r>
              <w:rPr>
                <w:rFonts w:ascii="Arial" w:cs="Arial" w:eastAsia="Arial" w:hAnsi="Arial"/>
                <w:sz w:val="18"/>
                <w:szCs w:val="18"/>
                <w:color w:val="auto"/>
              </w:rPr>
              <w:t>6,761</w:t>
            </w: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27,291</w:t>
            </w:r>
          </w:p>
        </w:tc>
        <w:tc>
          <w:tcPr>
            <w:tcW w:w="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8"/>
              </w:rPr>
              <w:t>(18,588)</w:t>
            </w: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232,587</w:t>
            </w:r>
          </w:p>
        </w:tc>
        <w:tc>
          <w:tcPr>
            <w:tcW w:w="0" w:type="dxa"/>
            <w:vAlign w:val="bottom"/>
          </w:tcPr>
          <w:p>
            <w:pPr>
              <w:spacing w:after="0"/>
              <w:rPr>
                <w:sz w:val="1"/>
                <w:szCs w:val="1"/>
                <w:color w:val="auto"/>
              </w:rPr>
            </w:pPr>
          </w:p>
        </w:tc>
      </w:tr>
      <w:tr>
        <w:trPr>
          <w:trHeight w:val="625"/>
        </w:trPr>
        <w:tc>
          <w:tcPr>
            <w:tcW w:w="20" w:type="dxa"/>
            <w:vAlign w:val="bottom"/>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As of</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52"/>
              <w:spacing w:after="0" w:line="143" w:lineRule="exact"/>
              <w:rPr>
                <w:sz w:val="20"/>
                <w:szCs w:val="20"/>
                <w:color w:val="auto"/>
              </w:rPr>
            </w:pPr>
            <w:r>
              <w:rPr>
                <w:rFonts w:ascii="Arial" w:cs="Arial" w:eastAsia="Arial" w:hAnsi="Arial"/>
                <w:sz w:val="14"/>
                <w:szCs w:val="14"/>
                <w:b w:val="1"/>
                <w:bCs w:val="1"/>
                <w:color w:val="auto"/>
              </w:rPr>
              <w:t>March 31,</w:t>
            </w:r>
          </w:p>
        </w:tc>
        <w:tc>
          <w:tcPr>
            <w:tcW w:w="640" w:type="dxa"/>
            <w:vAlign w:val="bottom"/>
          </w:tcPr>
          <w:p>
            <w:pPr>
              <w:spacing w:after="0"/>
              <w:rPr>
                <w:sz w:val="12"/>
                <w:szCs w:val="12"/>
                <w:color w:val="auto"/>
              </w:rPr>
            </w:pPr>
          </w:p>
        </w:tc>
        <w:tc>
          <w:tcPr>
            <w:tcW w:w="98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87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short-term interest-bearing investments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1,181,797</w:t>
            </w:r>
          </w:p>
        </w:tc>
        <w:tc>
          <w:tcPr>
            <w:tcW w:w="78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1,179,280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tcPr>
          <w:p>
            <w:pPr>
              <w:spacing w:after="0" w:line="202" w:lineRule="exact"/>
              <w:rPr>
                <w:sz w:val="20"/>
                <w:szCs w:val="20"/>
                <w:color w:val="auto"/>
              </w:rPr>
            </w:pPr>
            <w:r>
              <w:rPr>
                <w:rFonts w:ascii="Arial" w:cs="Arial" w:eastAsia="Arial" w:hAnsi="Arial"/>
                <w:sz w:val="18"/>
                <w:szCs w:val="18"/>
                <w:color w:val="auto"/>
              </w:rPr>
              <w:t>Accounts receivable, net, including unbilled of $41,300 and $43,870 respectively (*)</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568,503</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473,847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 and taxes receivable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108,959</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117,623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113,463</w:t>
            </w:r>
          </w:p>
        </w:tc>
        <w:tc>
          <w:tcPr>
            <w:tcW w:w="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98,746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1,972,722</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1,869,496</w:t>
            </w:r>
          </w:p>
        </w:tc>
        <w:tc>
          <w:tcPr>
            <w:tcW w:w="0" w:type="dxa"/>
            <w:vAlign w:val="bottom"/>
          </w:tcPr>
          <w:p>
            <w:pPr>
              <w:spacing w:after="0"/>
              <w:rPr>
                <w:sz w:val="1"/>
                <w:szCs w:val="1"/>
                <w:color w:val="auto"/>
              </w:rPr>
            </w:pPr>
          </w:p>
        </w:tc>
      </w:tr>
      <w:tr>
        <w:trPr>
          <w:trHeight w:val="405"/>
        </w:trPr>
        <w:tc>
          <w:tcPr>
            <w:tcW w:w="8780" w:type="dxa"/>
            <w:vAlign w:val="bottom"/>
            <w:gridSpan w:val="2"/>
          </w:tcPr>
          <w:p>
            <w:pPr>
              <w:spacing w:after="0"/>
              <w:rPr>
                <w:sz w:val="20"/>
                <w:szCs w:val="20"/>
                <w:color w:val="auto"/>
              </w:rPr>
            </w:pPr>
            <w:r>
              <w:rPr>
                <w:rFonts w:ascii="Arial" w:cs="Arial" w:eastAsia="Arial" w:hAnsi="Arial"/>
                <w:sz w:val="18"/>
                <w:szCs w:val="18"/>
                <w:color w:val="auto"/>
              </w:rPr>
              <w:t>Equipment, vehicles and leasehold improvements, net</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296,288</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283,839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and other intangible assets, net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1,772,346</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1,792,588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tcPr>
          <w:p>
            <w:pPr>
              <w:spacing w:after="0" w:line="202" w:lineRule="exact"/>
              <w:rPr>
                <w:sz w:val="20"/>
                <w:szCs w:val="20"/>
                <w:color w:val="auto"/>
              </w:rPr>
            </w:pPr>
            <w:r>
              <w:rPr>
                <w:rFonts w:ascii="Arial" w:cs="Arial" w:eastAsia="Arial" w:hAnsi="Arial"/>
                <w:sz w:val="18"/>
                <w:szCs w:val="18"/>
                <w:color w:val="auto"/>
              </w:rPr>
              <w:t>Other noncurrent assets (*)</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464,047</w:t>
            </w:r>
          </w:p>
        </w:tc>
        <w:tc>
          <w:tcPr>
            <w:tcW w:w="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399,427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4,505,403</w:t>
            </w:r>
          </w:p>
        </w:tc>
        <w:tc>
          <w:tcPr>
            <w:tcW w:w="78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4,345,350</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7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tcPr>
          <w:p>
            <w:pPr>
              <w:spacing w:after="0" w:line="202" w:lineRule="exact"/>
              <w:rPr>
                <w:sz w:val="20"/>
                <w:szCs w:val="20"/>
                <w:color w:val="auto"/>
              </w:rPr>
            </w:pPr>
            <w:r>
              <w:rPr>
                <w:rFonts w:ascii="Arial" w:cs="Arial" w:eastAsia="Arial" w:hAnsi="Arial"/>
                <w:sz w:val="18"/>
                <w:szCs w:val="18"/>
                <w:color w:val="auto"/>
              </w:rPr>
              <w:t>Accounts payable and accruals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581,437</w:t>
            </w:r>
          </w:p>
        </w:tc>
        <w:tc>
          <w:tcPr>
            <w:tcW w:w="78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592,937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portion of capital lease obligations and other financing arrangements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2,178</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tcPr>
          <w:p>
            <w:pPr>
              <w:spacing w:after="0" w:line="202" w:lineRule="exact"/>
              <w:rPr>
                <w:sz w:val="20"/>
                <w:szCs w:val="20"/>
                <w:color w:val="auto"/>
              </w:rPr>
            </w:pPr>
            <w:r>
              <w:rPr>
                <w:rFonts w:ascii="Arial" w:cs="Arial" w:eastAsia="Arial" w:hAnsi="Arial"/>
                <w:sz w:val="18"/>
                <w:szCs w:val="18"/>
                <w:color w:val="auto"/>
              </w:rPr>
              <w:t>Deferred revenue (*)</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209,226</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174,526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 and taxes payable</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35,882</w:t>
            </w:r>
          </w:p>
        </w:tc>
        <w:tc>
          <w:tcPr>
            <w:tcW w:w="6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205,960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828,723</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975,478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0.50% Convertible notes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450,000</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tcPr>
          <w:p>
            <w:pPr>
              <w:spacing w:after="0" w:line="202" w:lineRule="exact"/>
              <w:rPr>
                <w:sz w:val="20"/>
                <w:szCs w:val="20"/>
                <w:color w:val="auto"/>
              </w:rPr>
            </w:pPr>
            <w:r>
              <w:rPr>
                <w:rFonts w:ascii="Arial" w:cs="Arial" w:eastAsia="Arial" w:hAnsi="Arial"/>
                <w:sz w:val="18"/>
                <w:szCs w:val="18"/>
                <w:color w:val="auto"/>
              </w:rPr>
              <w:t>Noncurrent liabilities and other</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502,986</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319,629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Shareholders’ equity</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2,723,694</w:t>
            </w:r>
          </w:p>
        </w:tc>
        <w:tc>
          <w:tcPr>
            <w:tcW w:w="6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2,600,243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8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4,505,403</w:t>
            </w:r>
          </w:p>
        </w:tc>
        <w:tc>
          <w:tcPr>
            <w:tcW w:w="7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4,345,350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amounts in prior period financial statements have been reclassified to conform to the current period presentation.</w:t>
      </w:r>
    </w:p>
    <w:p>
      <w:pPr>
        <w:spacing w:after="0" w:line="297" w:lineRule="exact"/>
        <w:rPr>
          <w:rFonts w:ascii="Arial" w:cs="Arial" w:eastAsia="Arial" w:hAnsi="Arial"/>
          <w:sz w:val="18"/>
          <w:szCs w:val="18"/>
          <w:color w:val="auto"/>
        </w:rPr>
      </w:pPr>
    </w:p>
    <w:p>
      <w:pPr>
        <w:ind w:left="5660" w:hanging="146"/>
        <w:spacing w:after="0"/>
        <w:tabs>
          <w:tab w:leader="none" w:pos="5660" w:val="left"/>
        </w:tabs>
        <w:numPr>
          <w:ilvl w:val="1"/>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w:t>
      </w:r>
    </w:p>
    <w:p>
      <w:pPr>
        <w:sectPr>
          <w:pgSz w:w="11900" w:h="16838" w:orient="portrait"/>
          <w:cols w:equalWidth="0" w:num="1">
            <w:col w:w="11420"/>
          </w:cols>
          <w:pgMar w:left="240" w:top="954"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99.2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Amdocs Executive Vice President and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Operating Officer Eli Gelman to Leave Amdocs Effective January 2009</w:t>
      </w:r>
    </w:p>
    <w:p>
      <w:pPr>
        <w:spacing w:after="0" w:line="117"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St. Louis, MO – April 17, 2008 –Amdocs Limited (NYSE: DOX) today announced that Amdocs Management Limited’s executive vice president and chief operating officer Eli Gelman will leave Amdocs effective January 1, 2009. Gelman will relinquish his role as chief operating officer immediately but will continue to actively contribute to the Amdocs management team in a new role until his departure and will retain his seat on the board of directors.</w:t>
      </w:r>
    </w:p>
    <w:p>
      <w:pPr>
        <w:spacing w:after="0" w:line="3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“Eli has decided to pursue business and social welfare activities outside of Amdocs, within a private framework,” said Dov Baharav, chief executive officer of Amdocs Management Limited. “I sincerely thank Eli for his 21 years of dedicated and outstanding service to Amdocs. Eli has been an integral part of our growth and success. We will miss him and wish him well in his new endeavors.”</w:t>
      </w:r>
    </w:p>
    <w:p>
      <w:pPr>
        <w:spacing w:after="0" w:line="73"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“It is with mixed emotions that I leave my position on the Amdocs management team, but I look forward to this next stage in my personal and professional life,” said Gelman. “I take comfort in knowing that I leave behind a great depth and breadth of talented and experienced leaders who will contribute to the success of Amdocs in the years to 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Amdocs is the market leader in customer experience systems innovation, enabling world-leading service providers to deliver an integrated, innovative and intentional customer experience</w:t>
      </w:r>
      <w:r>
        <w:rPr>
          <w:rFonts w:ascii="Arial" w:cs="Arial" w:eastAsia="Arial" w:hAnsi="Arial"/>
          <w:sz w:val="15"/>
          <w:szCs w:val="15"/>
          <w:color w:val="auto"/>
        </w:rPr>
        <w:t>(™)</w:t>
      </w:r>
      <w:r>
        <w:rPr>
          <w:rFonts w:ascii="Arial" w:cs="Arial" w:eastAsia="Arial" w:hAnsi="Arial"/>
          <w:sz w:val="18"/>
          <w:szCs w:val="18"/>
          <w:color w:val="auto"/>
        </w:rPr>
        <w:t xml:space="preserve"> at every point of service. Amdocs provides solutions that deliver customer experience excellence, combining the software, service and expertise to help its customers execute their strategies and achieve service, operational and financial excellence. A global company with revenue of $2.84 billion in fiscal 2007, Amdocs has more than 17,000 employees and serves customers in more than 50 countries around the world. For more information, visit Amdocs at </w:t>
      </w:r>
      <w:r>
        <w:rPr>
          <w:rFonts w:ascii="Arial" w:cs="Arial" w:eastAsia="Arial" w:hAnsi="Arial"/>
          <w:sz w:val="18"/>
          <w:szCs w:val="18"/>
          <w:u w:val="single" w:color="auto"/>
          <w:color w:val="auto"/>
        </w:rPr>
        <w:t>http://www.amdocs.com.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Amdocs Forward-Looking Statement</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segments it serves,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7" w:name="page18"/>
    <w:bookmarkEnd w:id="17"/>
    <w:p>
      <w:pPr>
        <w:spacing w:after="0" w:line="277" w:lineRule="auto"/>
        <w:rPr>
          <w:sz w:val="20"/>
          <w:szCs w:val="20"/>
          <w:color w:val="auto"/>
        </w:rPr>
      </w:pPr>
      <w:r>
        <w:rPr>
          <w:rFonts w:ascii="Arial" w:cs="Arial" w:eastAsia="Arial" w:hAnsi="Arial"/>
          <w:sz w:val="18"/>
          <w:szCs w:val="18"/>
          <w:i w:val="1"/>
          <w:iCs w:val="1"/>
          <w:color w:val="auto"/>
        </w:rPr>
        <w:t>Company’s filings with the Securities and Exchange Commission, including in our Annual Report on Form 20-F for the fiscal year ended September 30, 2007, filed on December 3, 2007, and in our quarterly 6-K furnished on February 11, 2008.</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2019-12-14T21:16:30Z</dcterms:created>
  <dcterms:modified xsi:type="dcterms:W3CDTF">2019-12-14T21:16:30Z</dcterms:modified>
</cp:coreProperties>
</file>