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6"/>
          <w:szCs w:val="16"/>
          <w:color w:val="auto"/>
        </w:rPr>
        <w:t>UNITED STATES SECURITIES AND EXCHANGE COMMISSION Washington, D.C. 20549</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AMDOCS LIMITED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G02602103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12/31/2011</w:t>
      </w:r>
    </w:p>
    <w:p>
      <w:pPr>
        <w:spacing w:after="0" w:line="207"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7"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G02602103</w:t>
      </w:r>
    </w:p>
    <w:p>
      <w:pPr>
        <w:spacing w:after="0" w:line="207" w:lineRule="exact"/>
        <w:rPr>
          <w:sz w:val="24"/>
          <w:szCs w:val="24"/>
          <w:color w:val="auto"/>
        </w:rPr>
      </w:pPr>
    </w:p>
    <w:p>
      <w:pPr>
        <w:ind w:right="283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 Janus Capital Management LLC EIN #75-3019302</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___ b. ___ 3. SEC USE ONLY</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 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13,288,444**</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132,600 7. SOLE DISPOSITIVE POWER 13,288,444**</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132,600</w:t>
      </w:r>
    </w:p>
    <w:p>
      <w:pPr>
        <w:spacing w:after="0" w:line="207" w:lineRule="exact"/>
        <w:rPr>
          <w:sz w:val="24"/>
          <w:szCs w:val="24"/>
          <w:color w:val="auto"/>
        </w:rPr>
      </w:pPr>
    </w:p>
    <w:p>
      <w:pPr>
        <w:ind w:right="357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13,421,044**</w:t>
      </w:r>
    </w:p>
    <w:p>
      <w:pPr>
        <w:spacing w:after="0" w:line="208" w:lineRule="exact"/>
        <w:rPr>
          <w:rFonts w:ascii="Courier New" w:cs="Courier New" w:eastAsia="Courier New" w:hAnsi="Courier New"/>
          <w:sz w:val="18"/>
          <w:szCs w:val="18"/>
          <w:color w:val="auto"/>
        </w:rPr>
      </w:pPr>
    </w:p>
    <w:p>
      <w:pPr>
        <w:ind w:right="2619" w:firstLine="8"/>
        <w:spacing w:after="0" w:line="23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 11. PERCENT OF CLASS REPRESENTED BY AMOUNT IN ROW (9) 7.7%**</w:t>
      </w:r>
    </w:p>
    <w:p>
      <w:pPr>
        <w:spacing w:after="0" w:line="209" w:lineRule="exact"/>
        <w:rPr>
          <w:sz w:val="24"/>
          <w:szCs w:val="24"/>
          <w:color w:val="auto"/>
        </w:rPr>
      </w:pPr>
    </w:p>
    <w:p>
      <w:pPr>
        <w:ind w:right="651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 ** See Item 4 of this filing</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p>
    <w:p>
      <w:pPr>
        <w:spacing w:after="0" w:line="207"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(a). Name of Issuer: AMDOCS LIMITED ("AMDOCS") (b). Address of Issuer's Principal Executive Offices: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1390 Timberlake Manor Parkway Chesterfield, MO 63017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(a).-(c). Name, Principal Business Address, and Citizenship of Persons Filing:</w:t>
      </w:r>
    </w:p>
    <w:p>
      <w:pPr>
        <w:spacing w:after="0" w:line="208" w:lineRule="exact"/>
        <w:rPr>
          <w:sz w:val="24"/>
          <w:szCs w:val="24"/>
          <w:color w:val="auto"/>
        </w:rPr>
      </w:pPr>
    </w:p>
    <w:p>
      <w:pPr>
        <w:ind w:right="2939" w:firstLine="8"/>
        <w:spacing w:after="0" w:line="236"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Management LLC ("Janus Capital") 151 Detroit Street Denver, Colorado 80206 Citizenship: Delaware (d). Title of Class of Securities: Common Stock</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 CUSIP Number: G02602103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w:t>
      </w:r>
    </w:p>
    <w:p>
      <w:pPr>
        <w:sectPr>
          <w:pgSz w:w="11900" w:h="16838" w:orient="portrait"/>
          <w:cols w:equalWidth="0" w:num="1">
            <w:col w:w="10219"/>
          </w:cols>
          <w:pgMar w:left="240" w:top="250" w:right="1440" w:bottom="0" w:gutter="0" w:footer="0" w:header="0"/>
        </w:sectPr>
      </w:pPr>
    </w:p>
    <w:bookmarkStart w:id="1" w:name="page2"/>
    <w:bookmarkEnd w:id="1"/>
    <w:p>
      <w:pPr>
        <w:ind w:right="283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Capital, is an investment adviser in accordance with Section 240.13d-1(b)(ii)(E) as well as a parent holding company/control person in accordance with Section 240.13d-1(b)(ii)(G). See Item 4 for additional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Janus Capital has a direct 94.8% ownership stake in INTECH Investment Management ("INTECH") and a direct 77.8% ownership stake in Perkins Investment Management LLC("Perkins"). Due to the above ownership structure, holdings for Janus Capital, Perkins and INTECH are aggregated for purposes of this filing. Janus Capital, Perkins and INTECH are registered investment advisers, each furnishing investment advice to various investment companies registered under Section 8 of the Investment Company Act of 1940 and to individual and institutional clients (collectively referred to herein as "Managed Portfolios").</w:t>
      </w:r>
    </w:p>
    <w:p>
      <w:pPr>
        <w:spacing w:after="0" w:line="214"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Janus Capital may be deemed to be the beneficial owner of 13,288,444 shares or 7.6% of the shares outstanding of AMDOCS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21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INTECH may be deemed to be the beneficial owner of 132,600 shares or 0.1% of the shares outstanding of AMDOCS Common Stock held by such Managed Portfolios. However, INTECH does not have the right to receive any dividends from, or the proceeds from the sale of, the securities held in the Managed Portfolios and disclaims any ownership associated with such rights.</w:t>
      </w:r>
    </w:p>
    <w:p>
      <w:pPr>
        <w:spacing w:after="0" w:line="21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 Not applicable. Item 6. Ownership of More than Five Percent on Behalf of Another Person The interest of any one such person does not exceed 5% of the class of securities. These shares were acquired in the ordinary course of business, and not with the purpose of changing or influencing control of the Issuer. Item 7. Identification and Classification of the Subsidiary Which Acquired the Security Being Reported on by the Parent Holding Company</w:t>
      </w:r>
    </w:p>
    <w:p>
      <w:pPr>
        <w:spacing w:after="0" w:line="212"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INTECH is a direct subsidiary of Janus Capital (Janus Capital has a direct 94.8% ownership stake) and is a registered investment adviser furnishing investment advice to various investment companies registered under Section 8 of the Investment Company Act of 1940 and to individual and institutional clients. Item 8. Identification and Classification of Members of the Group</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 Item 9. Notice of Dissolution of Group 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R. Kowalski 2/14/2012 David R. Kowalski,</w:t>
      </w:r>
    </w:p>
    <w:p>
      <w:pPr>
        <w:spacing w:after="0" w:line="238" w:lineRule="auto"/>
        <w:rPr>
          <w:sz w:val="20"/>
          <w:szCs w:val="20"/>
          <w:color w:val="auto"/>
        </w:rPr>
      </w:pPr>
      <w:r>
        <w:rPr>
          <w:rFonts w:ascii="Courier New" w:cs="Courier New" w:eastAsia="Courier New" w:hAnsi="Courier New"/>
          <w:sz w:val="18"/>
          <w:szCs w:val="18"/>
          <w:color w:val="auto"/>
        </w:rPr>
        <w:t>Date Senior Vice President and CCO INTECH INVESTMENT MANAGEMENT LLC</w:t>
      </w:r>
    </w:p>
    <w:p>
      <w:pPr>
        <w:spacing w:after="0" w:line="207"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By /s/ David R. Kowalski 2/14/2012 David R. Kowalski, Date Vice President</w:t>
      </w:r>
    </w:p>
    <w:sectPr>
      <w:pgSz w:w="11900" w:h="16838" w:orient="portrait"/>
      <w:cols w:equalWidth="0" w:num="1">
        <w:col w:w="10219"/>
      </w:cols>
      <w:pgMar w:left="240" w:top="142" w:right="1440" w:bottom="74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8"/>
    </w:lvl>
  </w:abstractNum>
  <w:abstractNum w:abstractNumId="4">
    <w:nsid w:val="507ED7AB"/>
    <w:multiLevelType w:val="hybridMultilevel"/>
    <w:lvl w:ilvl="0">
      <w:lvlJc w:val="left"/>
      <w:lvlText w:val="%1."/>
      <w:numFmt w:val="decimal"/>
      <w:start w:val="9"/>
    </w:lvl>
  </w:abstractNum>
  <w:abstractNum w:abstractNumId="5">
    <w:nsid w:val="2EB141F2"/>
    <w:multiLevelType w:val="hybridMultilevel"/>
    <w:lvl w:ilvl="0">
      <w:lvlJc w:val="left"/>
      <w:lvlText w:val="%1."/>
      <w:numFmt w:val="decimal"/>
      <w:start w:val="1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2019-12-09T12:43:01Z</dcterms:created>
  <dcterms:modified xsi:type="dcterms:W3CDTF">2019-12-09T12:43:01Z</dcterms:modified>
</cp:coreProperties>
</file>