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SECURITIES AND EXCHANGE COMMISSION</w:t>
      </w:r>
    </w:p>
    <w:p>
      <w:pPr>
        <w:ind w:left="418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PURSUANT TO RULE 13a-16 OR 15d-16</w:t>
      </w:r>
    </w:p>
    <w:p>
      <w:pPr>
        <w:jc w:val="center"/>
        <w:ind w:right="-43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ind w:left="4260"/>
        <w:spacing w:after="0"/>
        <w:rPr>
          <w:sz w:val="20"/>
          <w:szCs w:val="20"/>
          <w:color w:val="auto"/>
        </w:rPr>
      </w:pPr>
      <w:r>
        <w:rPr>
          <w:rFonts w:ascii="Arial" w:cs="Arial" w:eastAsia="Arial" w:hAnsi="Arial"/>
          <w:sz w:val="18"/>
          <w:szCs w:val="18"/>
          <w:b w:val="1"/>
          <w:bCs w:val="1"/>
          <w:color w:val="auto"/>
        </w:rPr>
        <w:t>For the month of February 2022</w:t>
      </w:r>
    </w:p>
    <w:p>
      <w:pPr>
        <w:spacing w:after="0" w:line="225"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1-14840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left="3520"/>
        <w:spacing w:after="0"/>
        <w:rPr>
          <w:sz w:val="20"/>
          <w:szCs w:val="20"/>
          <w:color w:val="auto"/>
        </w:rPr>
      </w:pPr>
      <w:r>
        <w:rPr>
          <w:rFonts w:ascii="Arial" w:cs="Arial" w:eastAsia="Arial" w:hAnsi="Arial"/>
          <w:sz w:val="43"/>
          <w:szCs w:val="43"/>
          <w:b w:val="1"/>
          <w:bCs w:val="1"/>
          <w:color w:val="auto"/>
        </w:rPr>
        <w:t>AMDOCS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262255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Hirzel House, Smith Street,</w:t>
      </w:r>
    </w:p>
    <w:p>
      <w:pPr>
        <w:spacing w:after="0" w:line="27"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St. Peter Port, Island of Guernsey, GY1 2NG</w:t>
      </w:r>
    </w:p>
    <w:p>
      <w:pPr>
        <w:spacing w:after="0" w:line="207"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Amdocs, Inc.</w:t>
      </w:r>
    </w:p>
    <w:p>
      <w:pPr>
        <w:spacing w:after="0" w:line="27"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625 Maryville Centre Drive, Suite 200, Saint Louis, Missouri 63141</w:t>
      </w:r>
    </w:p>
    <w:p>
      <w:pPr>
        <w:spacing w:after="0" w:line="2" w:lineRule="exact"/>
        <w:rPr>
          <w:sz w:val="24"/>
          <w:szCs w:val="24"/>
          <w:color w:val="auto"/>
        </w:rPr>
      </w:pPr>
    </w:p>
    <w:p>
      <w:pPr>
        <w:ind w:left="432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2" w:lineRule="exact"/>
        <w:rPr>
          <w:sz w:val="24"/>
          <w:szCs w:val="24"/>
          <w:color w:val="auto"/>
        </w:rPr>
      </w:pPr>
    </w:p>
    <w:p>
      <w:pPr>
        <w:ind w:left="4080"/>
        <w:spacing w:after="0" w:line="207" w:lineRule="exact"/>
        <w:tabs>
          <w:tab w:leader="none" w:pos="57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by furnishing the information contained in this form is also thereby furnishing the information to the</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Commission pursuant to Rule 12g3-2(b) under the Securities Exchange Act of 1934:</w:t>
      </w:r>
    </w:p>
    <w:p>
      <w:pPr>
        <w:spacing w:after="0" w:line="178" w:lineRule="exact"/>
        <w:rPr>
          <w:sz w:val="24"/>
          <w:szCs w:val="24"/>
          <w:color w:val="auto"/>
        </w:rPr>
      </w:pPr>
    </w:p>
    <w:p>
      <w:pPr>
        <w:jc w:val="center"/>
        <w:ind w:right="-439"/>
        <w:spacing w:after="0" w:line="207" w:lineRule="exact"/>
        <w:tabs>
          <w:tab w:leader="none" w:pos="5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160655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203200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560"/>
          </w:cols>
          <w:pgMar w:left="440" w:top="368" w:right="8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Submission of Matters to a Vote of Security Holders.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Voting Results.</w:t>
      </w:r>
    </w:p>
    <w:p>
      <w:pPr>
        <w:spacing w:after="0" w:line="117"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At the 2022 Annual General Meeting of Shareholders of Amdocs Limited (the “Company”) held on January 28, 2022, the proposals listed below were submitted to a vote of the Company’s shareholders. The proposals are described in the Company’s proxy statement for the 2022 Annual General Meeting of Shareholders.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Proposal 1 – The election of eleven nominees to the Company’s Board of Directors each for a term of one year.</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11 nominees named in the proxy statement were elected to serve as directors until the Company’s 2023 Annual General Meeting of Shareholders.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Information as to the vote on each director standing for election is provided below:</w:t>
      </w:r>
    </w:p>
    <w:p>
      <w:pPr>
        <w:spacing w:after="0" w:line="217"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560" w:type="dxa"/>
            <w:vAlign w:val="bottom"/>
            <w:vMerge w:val="restart"/>
          </w:tcPr>
          <w:p>
            <w:pPr>
              <w:spacing w:after="0"/>
              <w:rPr>
                <w:sz w:val="20"/>
                <w:szCs w:val="20"/>
                <w:color w:val="auto"/>
              </w:rPr>
            </w:pPr>
            <w:r>
              <w:rPr>
                <w:rFonts w:ascii="Arial" w:cs="Arial" w:eastAsia="Arial" w:hAnsi="Arial"/>
                <w:sz w:val="14"/>
                <w:szCs w:val="14"/>
                <w:b w:val="1"/>
                <w:bCs w:val="1"/>
                <w:color w:val="auto"/>
                <w:w w:val="91"/>
              </w:rPr>
              <w:t>Nominee</w:t>
            </w:r>
          </w:p>
        </w:tc>
        <w:tc>
          <w:tcPr>
            <w:tcW w:w="5360" w:type="dxa"/>
            <w:vAlign w:val="bottom"/>
            <w:vMerge w:val="restart"/>
          </w:tcPr>
          <w:p>
            <w:pPr>
              <w:spacing w:after="0"/>
              <w:rPr>
                <w:sz w:val="14"/>
                <w:szCs w:val="14"/>
                <w:color w:val="auto"/>
              </w:rPr>
            </w:pPr>
          </w:p>
        </w:tc>
        <w:tc>
          <w:tcPr>
            <w:tcW w:w="130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Votes For</w:t>
            </w:r>
          </w:p>
        </w:tc>
        <w:tc>
          <w:tcPr>
            <w:tcW w:w="12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Votes</w:t>
            </w:r>
          </w:p>
        </w:tc>
        <w:tc>
          <w:tcPr>
            <w:tcW w:w="10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Votes</w:t>
            </w:r>
          </w:p>
        </w:tc>
        <w:tc>
          <w:tcPr>
            <w:tcW w:w="680" w:type="dxa"/>
            <w:vAlign w:val="bottom"/>
            <w:gridSpan w:val="2"/>
          </w:tcPr>
          <w:p>
            <w:pPr>
              <w:ind w:left="100"/>
              <w:spacing w:after="0"/>
              <w:rPr>
                <w:sz w:val="20"/>
                <w:szCs w:val="20"/>
                <w:color w:val="auto"/>
              </w:rPr>
            </w:pPr>
            <w:r>
              <w:rPr>
                <w:rFonts w:ascii="Arial" w:cs="Arial" w:eastAsia="Arial" w:hAnsi="Arial"/>
                <w:sz w:val="14"/>
                <w:szCs w:val="14"/>
                <w:b w:val="1"/>
                <w:bCs w:val="1"/>
                <w:color w:val="auto"/>
              </w:rPr>
              <w:t>Broker</w:t>
            </w:r>
          </w:p>
        </w:tc>
        <w:tc>
          <w:tcPr>
            <w:tcW w:w="0" w:type="dxa"/>
            <w:vAlign w:val="bottom"/>
          </w:tcPr>
          <w:p>
            <w:pPr>
              <w:spacing w:after="0"/>
              <w:rPr>
                <w:sz w:val="1"/>
                <w:szCs w:val="1"/>
                <w:color w:val="auto"/>
              </w:rPr>
            </w:pPr>
          </w:p>
        </w:tc>
      </w:tr>
      <w:tr>
        <w:trPr>
          <w:trHeight w:val="178"/>
        </w:trPr>
        <w:tc>
          <w:tcPr>
            <w:tcW w:w="560" w:type="dxa"/>
            <w:vAlign w:val="bottom"/>
            <w:tcBorders>
              <w:bottom w:val="single" w:sz="8" w:color="auto"/>
            </w:tcBorders>
            <w:vMerge w:val="continue"/>
          </w:tcPr>
          <w:p>
            <w:pPr>
              <w:spacing w:after="0"/>
              <w:rPr>
                <w:sz w:val="15"/>
                <w:szCs w:val="15"/>
                <w:color w:val="auto"/>
              </w:rPr>
            </w:pPr>
          </w:p>
        </w:tc>
        <w:tc>
          <w:tcPr>
            <w:tcW w:w="5360" w:type="dxa"/>
            <w:vAlign w:val="bottom"/>
            <w:vMerge w:val="continue"/>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200" w:type="dxa"/>
            <w:vAlign w:val="bottom"/>
            <w:gridSpan w:val="2"/>
          </w:tcPr>
          <w:p>
            <w:pPr>
              <w:jc w:val="right"/>
              <w:ind w:right="520"/>
              <w:spacing w:after="0" w:line="158" w:lineRule="exact"/>
              <w:rPr>
                <w:sz w:val="20"/>
                <w:szCs w:val="20"/>
                <w:color w:val="auto"/>
              </w:rPr>
            </w:pPr>
            <w:r>
              <w:rPr>
                <w:rFonts w:ascii="Arial" w:cs="Arial" w:eastAsia="Arial" w:hAnsi="Arial"/>
                <w:sz w:val="14"/>
                <w:szCs w:val="14"/>
                <w:b w:val="1"/>
                <w:bCs w:val="1"/>
                <w:color w:val="auto"/>
              </w:rPr>
              <w:t>Against</w:t>
            </w:r>
          </w:p>
        </w:tc>
        <w:tc>
          <w:tcPr>
            <w:tcW w:w="1020" w:type="dxa"/>
            <w:vAlign w:val="bottom"/>
            <w:gridSpan w:val="2"/>
          </w:tcPr>
          <w:p>
            <w:pPr>
              <w:jc w:val="right"/>
              <w:ind w:right="340"/>
              <w:spacing w:after="0" w:line="158" w:lineRule="exact"/>
              <w:rPr>
                <w:sz w:val="20"/>
                <w:szCs w:val="20"/>
                <w:color w:val="auto"/>
              </w:rPr>
            </w:pPr>
            <w:r>
              <w:rPr>
                <w:rFonts w:ascii="Arial" w:cs="Arial" w:eastAsia="Arial" w:hAnsi="Arial"/>
                <w:sz w:val="14"/>
                <w:szCs w:val="14"/>
                <w:b w:val="1"/>
                <w:bCs w:val="1"/>
                <w:color w:val="auto"/>
                <w:w w:val="91"/>
              </w:rPr>
              <w:t>Abstaining</w:t>
            </w:r>
          </w:p>
        </w:tc>
        <w:tc>
          <w:tcPr>
            <w:tcW w:w="68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w w:val="94"/>
              </w:rPr>
              <w:t>Non-Votes</w:t>
            </w:r>
          </w:p>
        </w:tc>
        <w:tc>
          <w:tcPr>
            <w:tcW w:w="0" w:type="dxa"/>
            <w:vAlign w:val="bottom"/>
          </w:tcPr>
          <w:p>
            <w:pPr>
              <w:spacing w:after="0"/>
              <w:rPr>
                <w:sz w:val="1"/>
                <w:szCs w:val="1"/>
                <w:color w:val="auto"/>
              </w:rPr>
            </w:pPr>
          </w:p>
        </w:tc>
      </w:tr>
      <w:tr>
        <w:trPr>
          <w:trHeight w:val="203"/>
        </w:trPr>
        <w:tc>
          <w:tcPr>
            <w:tcW w:w="59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Robert A. Minicucci</w:t>
            </w: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98,201,162</w:t>
            </w:r>
          </w:p>
        </w:tc>
        <w:tc>
          <w:tcPr>
            <w:tcW w:w="3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8,501,756</w:t>
            </w:r>
          </w:p>
        </w:tc>
        <w:tc>
          <w:tcPr>
            <w:tcW w:w="3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28,282</w:t>
            </w:r>
          </w:p>
        </w:tc>
        <w:tc>
          <w:tcPr>
            <w:tcW w:w="3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ind w:left="360"/>
              <w:spacing w:after="0" w:line="203" w:lineRule="exact"/>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Arial" w:cs="Arial" w:eastAsia="Arial" w:hAnsi="Arial"/>
                <w:sz w:val="18"/>
                <w:szCs w:val="18"/>
                <w:color w:val="auto"/>
              </w:rPr>
              <w:t>Adrian Gardner</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99,768,100</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6,935,233</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27,867</w:t>
            </w:r>
          </w:p>
        </w:tc>
        <w:tc>
          <w:tcPr>
            <w:tcW w:w="6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S. Kahan</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100,929,041</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5,774,090</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28,069</w:t>
            </w: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Arial" w:cs="Arial" w:eastAsia="Arial" w:hAnsi="Arial"/>
                <w:sz w:val="18"/>
                <w:szCs w:val="18"/>
                <w:color w:val="auto"/>
              </w:rPr>
              <w:t>Rafael de la Vega</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104,385,080</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2,318,562</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27,558</w:t>
            </w:r>
          </w:p>
        </w:tc>
        <w:tc>
          <w:tcPr>
            <w:tcW w:w="6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Giora Yaron</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104,063,705</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2,640,891</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26,604</w:t>
            </w: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Arial" w:cs="Arial" w:eastAsia="Arial" w:hAnsi="Arial"/>
                <w:sz w:val="18"/>
                <w:szCs w:val="18"/>
                <w:color w:val="auto"/>
              </w:rPr>
              <w:t>Eli Gelman</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55,614,358</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51,091,226</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25,616</w:t>
            </w:r>
          </w:p>
        </w:tc>
        <w:tc>
          <w:tcPr>
            <w:tcW w:w="6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T.C. LeFave</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102,449,660</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4,253,766</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27,774</w:t>
            </w: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Arial" w:cs="Arial" w:eastAsia="Arial" w:hAnsi="Arial"/>
                <w:sz w:val="18"/>
                <w:szCs w:val="18"/>
                <w:color w:val="auto"/>
              </w:rPr>
              <w:t>John A. MacDonald</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104,452,557</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2,251,295</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27,348</w:t>
            </w:r>
          </w:p>
        </w:tc>
        <w:tc>
          <w:tcPr>
            <w:tcW w:w="6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Shuky Sheffer</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105,483,146</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1,222,473</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25,581</w:t>
            </w: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Arial" w:cs="Arial" w:eastAsia="Arial" w:hAnsi="Arial"/>
                <w:sz w:val="18"/>
                <w:szCs w:val="18"/>
                <w:color w:val="auto"/>
              </w:rPr>
              <w:t>Yvette Kanouff</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105,310,930</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1,395,239</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25,031</w:t>
            </w:r>
          </w:p>
        </w:tc>
        <w:tc>
          <w:tcPr>
            <w:tcW w:w="6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Sarah Ruth Davis</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105,515,917</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1,192,341</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22,942</w:t>
            </w: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u w:val="single" w:color="auto"/>
          <w:color w:val="auto"/>
        </w:rPr>
        <w:t>Proposal 2 – The approval of an increase in the dividend rate under the Company’s quarterly cash dividend program from $0.36 per share to $0.395 per share.</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shareholders approved an increase in the dividend rate under the Company’s quarterly cash dividend program from $0.36 per share to $0.395 per share. The voting results were as follows:</w:t>
      </w:r>
    </w:p>
    <w:p>
      <w:pPr>
        <w:spacing w:after="0" w:line="189" w:lineRule="exact"/>
        <w:rPr>
          <w:sz w:val="20"/>
          <w:szCs w:val="20"/>
          <w:color w:val="auto"/>
        </w:rPr>
      </w:pPr>
    </w:p>
    <w:tbl>
      <w:tblPr>
        <w:tblLayout w:type="fixed"/>
        <w:tblInd w:w="1320" w:type="dxa"/>
        <w:tblCellMar>
          <w:top w:w="0" w:type="dxa"/>
          <w:left w:w="0" w:type="dxa"/>
          <w:bottom w:w="0" w:type="dxa"/>
          <w:right w:w="0" w:type="dxa"/>
        </w:tblCellMar>
      </w:tblPr>
      <w:tr>
        <w:trPr>
          <w:trHeight w:val="185"/>
        </w:trPr>
        <w:tc>
          <w:tcPr>
            <w:tcW w:w="3160" w:type="dxa"/>
            <w:vAlign w:val="bottom"/>
            <w:gridSpan w:val="2"/>
          </w:tcPr>
          <w:p>
            <w:pPr>
              <w:jc w:val="center"/>
              <w:ind w:right="1100"/>
              <w:spacing w:after="0"/>
              <w:rPr>
                <w:sz w:val="20"/>
                <w:szCs w:val="20"/>
                <w:color w:val="auto"/>
              </w:rPr>
            </w:pPr>
            <w:r>
              <w:rPr>
                <w:rFonts w:ascii="Arial" w:cs="Arial" w:eastAsia="Arial" w:hAnsi="Arial"/>
                <w:sz w:val="14"/>
                <w:szCs w:val="14"/>
                <w:b w:val="1"/>
                <w:bCs w:val="1"/>
                <w:color w:val="auto"/>
                <w:w w:val="89"/>
              </w:rPr>
              <w:t>Votes For</w:t>
            </w:r>
          </w:p>
        </w:tc>
        <w:tc>
          <w:tcPr>
            <w:tcW w:w="1940" w:type="dxa"/>
            <w:vAlign w:val="bottom"/>
            <w:gridSpan w:val="2"/>
          </w:tcPr>
          <w:p>
            <w:pPr>
              <w:jc w:val="center"/>
              <w:ind w:right="1100"/>
              <w:spacing w:after="0"/>
              <w:rPr>
                <w:sz w:val="20"/>
                <w:szCs w:val="20"/>
                <w:color w:val="auto"/>
              </w:rPr>
            </w:pPr>
            <w:r>
              <w:rPr>
                <w:rFonts w:ascii="Arial" w:cs="Arial" w:eastAsia="Arial" w:hAnsi="Arial"/>
                <w:sz w:val="14"/>
                <w:szCs w:val="14"/>
                <w:b w:val="1"/>
                <w:bCs w:val="1"/>
                <w:color w:val="auto"/>
                <w:w w:val="89"/>
              </w:rPr>
              <w:t>Votes Against</w:t>
            </w:r>
          </w:p>
        </w:tc>
        <w:tc>
          <w:tcPr>
            <w:tcW w:w="2160" w:type="dxa"/>
            <w:vAlign w:val="bottom"/>
            <w:gridSpan w:val="2"/>
          </w:tcPr>
          <w:p>
            <w:pPr>
              <w:jc w:val="center"/>
              <w:ind w:right="1120"/>
              <w:spacing w:after="0"/>
              <w:rPr>
                <w:sz w:val="20"/>
                <w:szCs w:val="20"/>
                <w:color w:val="auto"/>
              </w:rPr>
            </w:pPr>
            <w:r>
              <w:rPr>
                <w:rFonts w:ascii="Arial" w:cs="Arial" w:eastAsia="Arial" w:hAnsi="Arial"/>
                <w:sz w:val="14"/>
                <w:szCs w:val="14"/>
                <w:b w:val="1"/>
                <w:bCs w:val="1"/>
                <w:color w:val="auto"/>
                <w:w w:val="90"/>
              </w:rPr>
              <w:t>Votes Abstaining</w:t>
            </w:r>
          </w:p>
        </w:tc>
        <w:tc>
          <w:tcPr>
            <w:tcW w:w="1100" w:type="dxa"/>
            <w:vAlign w:val="bottom"/>
          </w:tcPr>
          <w:p>
            <w:pPr>
              <w:spacing w:after="0"/>
              <w:rPr>
                <w:sz w:val="20"/>
                <w:szCs w:val="20"/>
                <w:color w:val="auto"/>
              </w:rPr>
            </w:pPr>
            <w:r>
              <w:rPr>
                <w:rFonts w:ascii="Arial" w:cs="Arial" w:eastAsia="Arial" w:hAnsi="Arial"/>
                <w:sz w:val="14"/>
                <w:szCs w:val="14"/>
                <w:b w:val="1"/>
                <w:bCs w:val="1"/>
                <w:color w:val="auto"/>
                <w:w w:val="90"/>
              </w:rPr>
              <w:t>Broker Non-Votes</w:t>
            </w:r>
          </w:p>
        </w:tc>
      </w:tr>
      <w:tr>
        <w:trPr>
          <w:trHeight w:val="210"/>
        </w:trPr>
        <w:tc>
          <w:tcPr>
            <w:tcW w:w="2060" w:type="dxa"/>
            <w:vAlign w:val="bottom"/>
            <w:tcBorders>
              <w:top w:val="single" w:sz="8" w:color="auto"/>
            </w:tcBorders>
            <w:shd w:val="clear" w:color="auto" w:fill="CCEEFF"/>
          </w:tcPr>
          <w:p>
            <w:pPr>
              <w:jc w:val="right"/>
              <w:ind w:right="499"/>
              <w:spacing w:after="0"/>
              <w:rPr>
                <w:sz w:val="20"/>
                <w:szCs w:val="20"/>
                <w:color w:val="auto"/>
              </w:rPr>
            </w:pPr>
            <w:r>
              <w:rPr>
                <w:rFonts w:ascii="Arial" w:cs="Arial" w:eastAsia="Arial" w:hAnsi="Arial"/>
                <w:sz w:val="18"/>
                <w:szCs w:val="18"/>
                <w:color w:val="auto"/>
              </w:rPr>
              <w:t>106,715,331</w:t>
            </w:r>
          </w:p>
        </w:tc>
        <w:tc>
          <w:tcPr>
            <w:tcW w:w="1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rPr>
              <w:t>1,589</w:t>
            </w:r>
          </w:p>
        </w:tc>
        <w:tc>
          <w:tcPr>
            <w:tcW w:w="11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8"/>
                <w:szCs w:val="18"/>
                <w:color w:val="auto"/>
              </w:rPr>
              <w:t>14,280</w:t>
            </w:r>
          </w:p>
        </w:tc>
        <w:tc>
          <w:tcPr>
            <w:tcW w:w="1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Proposal 3 – The approval of the Company’s Consolidated Financial Statements for the fiscal year ended September 30, 2021.</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shareholders approved the Company’s Consolidated Financial Statements for the fiscal year ended September 30, 2021. The voting results were as follows:</w:t>
      </w:r>
    </w:p>
    <w:p>
      <w:pPr>
        <w:spacing w:after="0" w:line="189" w:lineRule="exact"/>
        <w:rPr>
          <w:sz w:val="20"/>
          <w:szCs w:val="20"/>
          <w:color w:val="auto"/>
        </w:rPr>
      </w:pPr>
    </w:p>
    <w:tbl>
      <w:tblPr>
        <w:tblLayout w:type="fixed"/>
        <w:tblInd w:w="1320" w:type="dxa"/>
        <w:tblCellMar>
          <w:top w:w="0" w:type="dxa"/>
          <w:left w:w="0" w:type="dxa"/>
          <w:bottom w:w="0" w:type="dxa"/>
          <w:right w:w="0" w:type="dxa"/>
        </w:tblCellMar>
      </w:tblPr>
      <w:tr>
        <w:trPr>
          <w:trHeight w:val="185"/>
        </w:trPr>
        <w:tc>
          <w:tcPr>
            <w:tcW w:w="3120" w:type="dxa"/>
            <w:vAlign w:val="bottom"/>
            <w:gridSpan w:val="2"/>
          </w:tcPr>
          <w:p>
            <w:pPr>
              <w:jc w:val="center"/>
              <w:ind w:right="1120"/>
              <w:spacing w:after="0"/>
              <w:rPr>
                <w:sz w:val="20"/>
                <w:szCs w:val="20"/>
                <w:color w:val="auto"/>
              </w:rPr>
            </w:pPr>
            <w:r>
              <w:rPr>
                <w:rFonts w:ascii="Arial" w:cs="Arial" w:eastAsia="Arial" w:hAnsi="Arial"/>
                <w:sz w:val="14"/>
                <w:szCs w:val="14"/>
                <w:b w:val="1"/>
                <w:bCs w:val="1"/>
                <w:color w:val="auto"/>
                <w:w w:val="92"/>
              </w:rPr>
              <w:t>Votes For</w:t>
            </w:r>
          </w:p>
        </w:tc>
        <w:tc>
          <w:tcPr>
            <w:tcW w:w="1960" w:type="dxa"/>
            <w:vAlign w:val="bottom"/>
            <w:gridSpan w:val="2"/>
          </w:tcPr>
          <w:p>
            <w:pPr>
              <w:jc w:val="center"/>
              <w:ind w:right="1120"/>
              <w:spacing w:after="0"/>
              <w:rPr>
                <w:sz w:val="20"/>
                <w:szCs w:val="20"/>
                <w:color w:val="auto"/>
              </w:rPr>
            </w:pPr>
            <w:r>
              <w:rPr>
                <w:rFonts w:ascii="Arial" w:cs="Arial" w:eastAsia="Arial" w:hAnsi="Arial"/>
                <w:sz w:val="14"/>
                <w:szCs w:val="14"/>
                <w:b w:val="1"/>
                <w:bCs w:val="1"/>
                <w:color w:val="auto"/>
                <w:w w:val="89"/>
              </w:rPr>
              <w:t>Votes Against</w:t>
            </w:r>
          </w:p>
        </w:tc>
        <w:tc>
          <w:tcPr>
            <w:tcW w:w="2180" w:type="dxa"/>
            <w:vAlign w:val="bottom"/>
            <w:gridSpan w:val="2"/>
          </w:tcPr>
          <w:p>
            <w:pPr>
              <w:jc w:val="center"/>
              <w:ind w:right="1120"/>
              <w:spacing w:after="0"/>
              <w:rPr>
                <w:sz w:val="20"/>
                <w:szCs w:val="20"/>
                <w:color w:val="auto"/>
              </w:rPr>
            </w:pPr>
            <w:r>
              <w:rPr>
                <w:rFonts w:ascii="Arial" w:cs="Arial" w:eastAsia="Arial" w:hAnsi="Arial"/>
                <w:sz w:val="14"/>
                <w:szCs w:val="14"/>
                <w:b w:val="1"/>
                <w:bCs w:val="1"/>
                <w:color w:val="auto"/>
                <w:w w:val="89"/>
              </w:rPr>
              <w:t>Votes Abstaining</w:t>
            </w:r>
          </w:p>
        </w:tc>
        <w:tc>
          <w:tcPr>
            <w:tcW w:w="1100" w:type="dxa"/>
            <w:vAlign w:val="bottom"/>
          </w:tcPr>
          <w:p>
            <w:pPr>
              <w:spacing w:after="0"/>
              <w:rPr>
                <w:sz w:val="20"/>
                <w:szCs w:val="20"/>
                <w:color w:val="auto"/>
              </w:rPr>
            </w:pPr>
            <w:r>
              <w:rPr>
                <w:rFonts w:ascii="Arial" w:cs="Arial" w:eastAsia="Arial" w:hAnsi="Arial"/>
                <w:sz w:val="14"/>
                <w:szCs w:val="14"/>
                <w:b w:val="1"/>
                <w:bCs w:val="1"/>
                <w:color w:val="auto"/>
                <w:w w:val="90"/>
              </w:rPr>
              <w:t>Broker Non-Votes</w:t>
            </w:r>
          </w:p>
        </w:tc>
      </w:tr>
      <w:tr>
        <w:trPr>
          <w:trHeight w:val="210"/>
        </w:trPr>
        <w:tc>
          <w:tcPr>
            <w:tcW w:w="2000" w:type="dxa"/>
            <w:vAlign w:val="bottom"/>
            <w:tcBorders>
              <w:top w:val="single" w:sz="8" w:color="auto"/>
            </w:tcBorders>
            <w:shd w:val="clear" w:color="auto" w:fill="CCEEFF"/>
          </w:tcPr>
          <w:p>
            <w:pPr>
              <w:jc w:val="right"/>
              <w:ind w:right="479"/>
              <w:spacing w:after="0"/>
              <w:rPr>
                <w:sz w:val="20"/>
                <w:szCs w:val="20"/>
                <w:color w:val="auto"/>
              </w:rPr>
            </w:pPr>
            <w:r>
              <w:rPr>
                <w:rFonts w:ascii="Arial" w:cs="Arial" w:eastAsia="Arial" w:hAnsi="Arial"/>
                <w:sz w:val="18"/>
                <w:szCs w:val="18"/>
                <w:color w:val="auto"/>
              </w:rPr>
              <w:t>106,380,642</w:t>
            </w:r>
          </w:p>
        </w:tc>
        <w:tc>
          <w:tcPr>
            <w:tcW w:w="1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rPr>
              <w:t>6,133</w:t>
            </w:r>
          </w:p>
        </w:tc>
        <w:tc>
          <w:tcPr>
            <w:tcW w:w="11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rPr>
              <w:t>344,425</w:t>
            </w:r>
          </w:p>
        </w:tc>
        <w:tc>
          <w:tcPr>
            <w:tcW w:w="11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r>
    </w:tbl>
    <w:p>
      <w:pPr>
        <w:spacing w:after="0" w:line="310"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i w:val="1"/>
          <w:iCs w:val="1"/>
          <w:u w:val="single" w:color="auto"/>
          <w:color w:val="auto"/>
        </w:rPr>
        <w:t>Proposal 4 – The ratification and approval of the appointment of Ernst &amp; Young LLP as the Company’s independent registered public accounting firm for the fiscal year ending September 30, 2022, and until the next annual general meeting, and authorization of the Audit Committee of the Board of Directors to fix the remuneration of such independent registered public accounting firm in accordance with the nature and extent of its services.</w:t>
      </w:r>
    </w:p>
    <w:p>
      <w:pPr>
        <w:spacing w:after="0" w:line="14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shareholders ratified and approved the appointment of Ernst &amp; Young LLP as the Company’s independent registered public accounting firm for the fiscal year ending September 30, 2022, and until the next annual general meeting, and authorized the Audit Committee of the Board of Directors to fix the remuneration of such independent registered public accounting firm in accordance with the nature and extent of its services. The voting results were as follows:</w:t>
      </w:r>
    </w:p>
    <w:p>
      <w:pPr>
        <w:spacing w:after="0" w:line="205" w:lineRule="exact"/>
        <w:rPr>
          <w:sz w:val="20"/>
          <w:szCs w:val="20"/>
          <w:color w:val="auto"/>
        </w:rPr>
      </w:pPr>
    </w:p>
    <w:tbl>
      <w:tblPr>
        <w:tblLayout w:type="fixed"/>
        <w:tblInd w:w="1320" w:type="dxa"/>
        <w:tblCellMar>
          <w:top w:w="0" w:type="dxa"/>
          <w:left w:w="0" w:type="dxa"/>
          <w:bottom w:w="0" w:type="dxa"/>
          <w:right w:w="0" w:type="dxa"/>
        </w:tblCellMar>
      </w:tblPr>
      <w:tr>
        <w:trPr>
          <w:trHeight w:val="185"/>
        </w:trPr>
        <w:tc>
          <w:tcPr>
            <w:tcW w:w="3140" w:type="dxa"/>
            <w:vAlign w:val="bottom"/>
            <w:gridSpan w:val="2"/>
          </w:tcPr>
          <w:p>
            <w:pPr>
              <w:jc w:val="center"/>
              <w:ind w:right="1140"/>
              <w:spacing w:after="0"/>
              <w:rPr>
                <w:sz w:val="20"/>
                <w:szCs w:val="20"/>
                <w:color w:val="auto"/>
              </w:rPr>
            </w:pPr>
            <w:r>
              <w:rPr>
                <w:rFonts w:ascii="Arial" w:cs="Arial" w:eastAsia="Arial" w:hAnsi="Arial"/>
                <w:sz w:val="14"/>
                <w:szCs w:val="14"/>
                <w:b w:val="1"/>
                <w:bCs w:val="1"/>
                <w:color w:val="auto"/>
                <w:w w:val="92"/>
              </w:rPr>
              <w:t>Votes For</w:t>
            </w:r>
          </w:p>
        </w:tc>
        <w:tc>
          <w:tcPr>
            <w:tcW w:w="1940" w:type="dxa"/>
            <w:vAlign w:val="bottom"/>
            <w:gridSpan w:val="2"/>
          </w:tcPr>
          <w:p>
            <w:pPr>
              <w:jc w:val="center"/>
              <w:ind w:right="1120"/>
              <w:spacing w:after="0"/>
              <w:rPr>
                <w:sz w:val="20"/>
                <w:szCs w:val="20"/>
                <w:color w:val="auto"/>
              </w:rPr>
            </w:pPr>
            <w:r>
              <w:rPr>
                <w:rFonts w:ascii="Arial" w:cs="Arial" w:eastAsia="Arial" w:hAnsi="Arial"/>
                <w:sz w:val="14"/>
                <w:szCs w:val="14"/>
                <w:b w:val="1"/>
                <w:bCs w:val="1"/>
                <w:color w:val="auto"/>
                <w:w w:val="87"/>
              </w:rPr>
              <w:t>Votes Against</w:t>
            </w:r>
          </w:p>
        </w:tc>
        <w:tc>
          <w:tcPr>
            <w:tcW w:w="2180" w:type="dxa"/>
            <w:vAlign w:val="bottom"/>
            <w:gridSpan w:val="2"/>
          </w:tcPr>
          <w:p>
            <w:pPr>
              <w:jc w:val="center"/>
              <w:ind w:right="1120"/>
              <w:spacing w:after="0"/>
              <w:rPr>
                <w:sz w:val="20"/>
                <w:szCs w:val="20"/>
                <w:color w:val="auto"/>
              </w:rPr>
            </w:pPr>
            <w:r>
              <w:rPr>
                <w:rFonts w:ascii="Arial" w:cs="Arial" w:eastAsia="Arial" w:hAnsi="Arial"/>
                <w:sz w:val="14"/>
                <w:szCs w:val="14"/>
                <w:b w:val="1"/>
                <w:bCs w:val="1"/>
                <w:color w:val="auto"/>
                <w:w w:val="89"/>
              </w:rPr>
              <w:t>Votes Abstaining</w:t>
            </w:r>
          </w:p>
        </w:tc>
        <w:tc>
          <w:tcPr>
            <w:tcW w:w="1100" w:type="dxa"/>
            <w:vAlign w:val="bottom"/>
          </w:tcPr>
          <w:p>
            <w:pPr>
              <w:spacing w:after="0"/>
              <w:rPr>
                <w:sz w:val="20"/>
                <w:szCs w:val="20"/>
                <w:color w:val="auto"/>
              </w:rPr>
            </w:pPr>
            <w:r>
              <w:rPr>
                <w:rFonts w:ascii="Arial" w:cs="Arial" w:eastAsia="Arial" w:hAnsi="Arial"/>
                <w:sz w:val="14"/>
                <w:szCs w:val="14"/>
                <w:b w:val="1"/>
                <w:bCs w:val="1"/>
                <w:color w:val="auto"/>
                <w:w w:val="90"/>
              </w:rPr>
              <w:t>Broker Non-Votes</w:t>
            </w:r>
          </w:p>
        </w:tc>
      </w:tr>
      <w:tr>
        <w:trPr>
          <w:trHeight w:val="210"/>
        </w:trPr>
        <w:tc>
          <w:tcPr>
            <w:tcW w:w="2020" w:type="dxa"/>
            <w:vAlign w:val="bottom"/>
            <w:tcBorders>
              <w:top w:val="single" w:sz="8" w:color="auto"/>
            </w:tcBorders>
            <w:shd w:val="clear" w:color="auto" w:fill="CCEEFF"/>
          </w:tcPr>
          <w:p>
            <w:pPr>
              <w:jc w:val="right"/>
              <w:ind w:right="479"/>
              <w:spacing w:after="0"/>
              <w:rPr>
                <w:sz w:val="20"/>
                <w:szCs w:val="20"/>
                <w:color w:val="auto"/>
              </w:rPr>
            </w:pPr>
            <w:r>
              <w:rPr>
                <w:rFonts w:ascii="Arial" w:cs="Arial" w:eastAsia="Arial" w:hAnsi="Arial"/>
                <w:sz w:val="18"/>
                <w:szCs w:val="18"/>
                <w:color w:val="auto"/>
              </w:rPr>
              <w:t>101,232,323</w:t>
            </w:r>
          </w:p>
        </w:tc>
        <w:tc>
          <w:tcPr>
            <w:tcW w:w="1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5,481,317</w:t>
            </w:r>
          </w:p>
        </w:tc>
        <w:tc>
          <w:tcPr>
            <w:tcW w:w="11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8"/>
                <w:szCs w:val="18"/>
                <w:color w:val="auto"/>
              </w:rPr>
              <w:t>17,560</w:t>
            </w:r>
          </w:p>
        </w:tc>
        <w:tc>
          <w:tcPr>
            <w:tcW w:w="11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Board Committee Composition</w:t>
      </w:r>
    </w:p>
    <w:p>
      <w:pPr>
        <w:spacing w:after="0" w:line="121"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Mr. Eli Gelman has informed the Board of Directors that he has decided to step down from his membership on the Nominating and Corporate Governance Committee. Mr. Gelman will continue to serve as a member of the Board of Directors and on the Technology and Innovation Committee. The Board has appointed Mr. Richard T.C. LeFave as the new Chair of the Nominating and Corporate Governance Committee, effective immediately.</w:t>
      </w:r>
    </w:p>
    <w:p>
      <w:pPr>
        <w:sectPr>
          <w:pgSz w:w="11900" w:h="16838" w:orient="portrait"/>
          <w:cols w:equalWidth="0" w:num="1">
            <w:col w:w="10980"/>
          </w:cols>
          <w:pgMar w:left="440" w:top="270" w:right="479" w:bottom="1440" w:gutter="0" w:footer="0" w:header="0"/>
        </w:sectPr>
      </w:pPr>
    </w:p>
    <w:bookmarkStart w:id="2" w:name="page3"/>
    <w:bookmarkEnd w:id="2"/>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Matthew E. Smith</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i w:val="1"/>
          <w:iCs w:val="1"/>
          <w:color w:val="auto"/>
        </w:rPr>
        <w:t>Secretary and Authorized Signatory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 2022</w:t>
      </w:r>
    </w:p>
    <w:sectPr>
      <w:pgSz w:w="11900" w:h="16838" w:orient="portrait"/>
      <w:cols w:equalWidth="0" w:num="1">
        <w:col w:w="10260"/>
      </w:cols>
      <w:pgMar w:left="440" w:top="270"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2022-02-01T15:14:02Z</dcterms:created>
  <dcterms:modified xsi:type="dcterms:W3CDTF">2022-02-01T15:14:02Z</dcterms:modified>
</cp:coreProperties>
</file>