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219"/>
        <w:spacing w:after="0" w:line="237" w:lineRule="auto"/>
        <w:rPr>
          <w:sz w:val="20"/>
          <w:szCs w:val="20"/>
          <w:color w:val="auto"/>
        </w:rPr>
      </w:pPr>
      <w:r>
        <w:rPr>
          <w:rFonts w:ascii="Courier New" w:cs="Courier New" w:eastAsia="Courier New" w:hAnsi="Courier New"/>
          <w:sz w:val="15"/>
          <w:szCs w:val="15"/>
          <w:color w:val="auto"/>
        </w:rPr>
        <w:t>PURSUANT TO RULE 13A-16 OR 15D-16 OF</w:t>
      </w:r>
    </w:p>
    <w:p>
      <w:pPr>
        <w:jc w:val="center"/>
        <w:ind w:right="3139"/>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Quarter Ended December 31, 2005</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1-14840</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LIMITED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Suite 5, Tower Hill House Le Bordage</w:t>
      </w:r>
    </w:p>
    <w:p>
      <w:pPr>
        <w:jc w:val="center"/>
        <w:ind w:right="3139"/>
        <w:spacing w:after="0" w:line="238" w:lineRule="auto"/>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170"/>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Amdocs,</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r>
      <w:tr>
        <w:trPr>
          <w:trHeight w:val="168"/>
        </w:trPr>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1390 Timberlake Manor Parkway,</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Chesterfield, Missouri 63017</w:t>
            </w:r>
          </w:p>
        </w:tc>
      </w:tr>
      <w:tr>
        <w:trPr>
          <w:trHeight w:val="168"/>
        </w:trPr>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(Address of principal</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offices)</w:t>
            </w:r>
          </w:p>
        </w:tc>
      </w:tr>
    </w:tbl>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10" w:lineRule="exact"/>
        <w:rPr>
          <w:sz w:val="24"/>
          <w:szCs w:val="24"/>
          <w:color w:val="auto"/>
        </w:rPr>
      </w:pPr>
    </w:p>
    <w:p>
      <w:pPr>
        <w:sectPr>
          <w:pgSz w:w="11900" w:h="16838" w:orient="portrait"/>
          <w:cols w:equalWidth="0" w:num="3">
            <w:col w:w="2900" w:space="180"/>
            <w:col w:w="80" w:space="340"/>
            <w:col w:w="6739"/>
          </w:cols>
          <w:pgMar w:left="220" w:top="561"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660" w:space="720"/>
            <w:col w:w="5859"/>
          </w:cols>
          <w:pgMar w:left="220" w:top="561" w:right="1440" w:bottom="1440" w:gutter="0" w:footer="0" w:header="0"/>
          <w:type w:val="continuous"/>
        </w:sect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 101(b)(1):</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 101(b)(7):</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561" w:right="1440" w:bottom="1440" w:gutter="0" w:footer="0" w:header="0"/>
          <w:type w:val="continuous"/>
        </w:sectPr>
      </w:pPr>
    </w:p>
    <w:p>
      <w:pPr>
        <w:spacing w:after="0" w:line="161"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619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61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4">
            <w:col w:w="2900" w:space="80"/>
            <w:col w:w="260" w:space="260"/>
            <w:col w:w="180" w:space="100"/>
            <w:col w:w="6459"/>
          </w:cols>
          <w:pgMar w:left="220" w:top="561" w:right="1440" w:bottom="1440" w:gutter="0" w:footer="0" w:header="0"/>
          <w:type w:val="continuous"/>
        </w:sectPr>
      </w:pPr>
    </w:p>
    <w:p>
      <w:pPr>
        <w:ind w:right="3239"/>
        <w:spacing w:after="0" w:line="234"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 82-</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61" w:right="1440" w:bottom="1440" w:gutter="0" w:footer="0" w:header="0"/>
          <w:type w:val="continuous"/>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QUARTER ENDED 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20" w:type="dxa"/>
            <w:vAlign w:val="bottom"/>
          </w:tcPr>
          <w:p>
            <w:pPr>
              <w:ind w:left="220"/>
              <w:spacing w:after="0"/>
              <w:rPr>
                <w:sz w:val="20"/>
                <w:szCs w:val="20"/>
                <w:color w:val="auto"/>
              </w:rPr>
            </w:pPr>
            <w:r>
              <w:rPr>
                <w:rFonts w:ascii="Courier New" w:cs="Courier New" w:eastAsia="Courier New" w:hAnsi="Courier New"/>
                <w:sz w:val="15"/>
                <w:szCs w:val="15"/>
                <w:color w:val="auto"/>
              </w:rPr>
              <w:t>INDEX</w:t>
            </w:r>
          </w:p>
        </w:tc>
        <w:tc>
          <w:tcPr>
            <w:tcW w:w="300" w:type="dxa"/>
            <w:vAlign w:val="bottom"/>
          </w:tcPr>
          <w:p>
            <w:pPr>
              <w:spacing w:after="0"/>
              <w:rPr>
                <w:sz w:val="14"/>
                <w:szCs w:val="14"/>
                <w:color w:val="auto"/>
              </w:rPr>
            </w:pPr>
          </w:p>
        </w:tc>
      </w:tr>
      <w:tr>
        <w:trPr>
          <w:trHeight w:val="673"/>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FINANCIAL</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5"/>
        </w:trPr>
        <w:tc>
          <w:tcPr>
            <w:tcW w:w="7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Item 1.</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Consolidated</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Consolidated</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Consolidated</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 of Changes in Shareholders' Equity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w w:val="99"/>
              </w:rPr>
              <w:t>Consolidated</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3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36"/>
        </w:trPr>
        <w:tc>
          <w:tcPr>
            <w:tcW w:w="7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Item 2.</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Operating and Financial Review and Prospects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OTHER INFORMATION</w:t>
            </w:r>
          </w:p>
        </w:tc>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6"/>
        </w:trPr>
        <w:tc>
          <w:tcPr>
            <w:tcW w:w="7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Item 1.</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Changes in Securities, Use of Proceeds and Issuer Purchases</w:t>
            </w:r>
          </w:p>
        </w:tc>
        <w:tc>
          <w:tcPr>
            <w:tcW w:w="3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of Equity Securities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7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Item 2.</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Reports on Form</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6-K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ind w:left="2380"/>
        <w:spacing w:after="0" w:line="237" w:lineRule="auto"/>
        <w:rPr>
          <w:sz w:val="20"/>
          <w:szCs w:val="20"/>
          <w:color w:val="auto"/>
        </w:rPr>
      </w:pPr>
      <w:r>
        <w:rPr>
          <w:rFonts w:ascii="Courier New" w:cs="Courier New" w:eastAsia="Courier New" w:hAnsi="Courier New"/>
          <w:sz w:val="15"/>
          <w:szCs w:val="15"/>
          <w:color w:val="auto"/>
        </w:rPr>
        <w:t>CONSOLIDATED BALANCE SHEETS</w:t>
      </w:r>
    </w:p>
    <w:p>
      <w:pPr>
        <w:ind w:left="1680"/>
        <w:spacing w:after="0" w:line="238" w:lineRule="auto"/>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8"/>
        </w:trPr>
        <w:tc>
          <w:tcPr>
            <w:tcW w:w="67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6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AS OF</w:t>
            </w:r>
          </w:p>
        </w:tc>
        <w:tc>
          <w:tcPr>
            <w:tcW w:w="860" w:type="dxa"/>
            <w:vAlign w:val="bottom"/>
          </w:tcPr>
          <w:p>
            <w:pPr>
              <w:spacing w:after="0"/>
              <w:rPr>
                <w:sz w:val="24"/>
                <w:szCs w:val="24"/>
                <w:color w:val="auto"/>
              </w:rPr>
            </w:pPr>
          </w:p>
        </w:tc>
      </w:tr>
      <w:tr>
        <w:trPr>
          <w:trHeight w:val="168"/>
        </w:trPr>
        <w:tc>
          <w:tcPr>
            <w:tcW w:w="678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534,388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707,552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interest-bearing investments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686,556</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438,011</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343,487</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304,237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taxes receivable</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106,840</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101,162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80,681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76,780</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1,751,952</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1,627,742</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168,338</w:t>
            </w:r>
          </w:p>
        </w:tc>
        <w:tc>
          <w:tcPr>
            <w:tcW w:w="5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181,812</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117,041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120,217</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968,185</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969,639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151,691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159,619</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145,434</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143,439</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$3,302,641</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$3,202,468</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101,773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114,392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220,159</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199,458</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personnel costs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153,706</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148,426</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portion of financing arrangements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4,777</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8,480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208,094</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216,770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taxes payable</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176,222</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171,377</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864,731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858,903</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450,000</w:t>
            </w:r>
          </w:p>
        </w:tc>
        <w:tc>
          <w:tcPr>
            <w:tcW w:w="5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450,000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51,975</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50,571</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liabilities and other</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180,968</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186,542</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1,547,674</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1,546,016</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Shares - Authorized 25,000 shares; L0.01 par value; 0 shares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Ordinary Shares - Authorized 550,000 shares; L0.01 par value; 228,504 and</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227,321 issued and 201,365 and 200,182 outstanding, respectively</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3,665</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3,644</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1,890,417</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1,870,922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 - 27,139 shares</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(602,392)</w:t>
            </w:r>
          </w:p>
        </w:tc>
        <w:tc>
          <w:tcPr>
            <w:tcW w:w="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(602,392)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(8,183)</w:t>
            </w:r>
          </w:p>
        </w:tc>
        <w:tc>
          <w:tcPr>
            <w:tcW w:w="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(10,886)</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471,460</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396,126</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1,754,967</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1,656,452</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$3,302,641</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$3,202,468</w:t>
            </w:r>
          </w:p>
        </w:tc>
      </w:tr>
      <w:tr>
        <w:trPr>
          <w:trHeight w:val="168"/>
        </w:trPr>
        <w:tc>
          <w:tcPr>
            <w:tcW w:w="6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160" w:type="dxa"/>
            <w:vAlign w:val="bottom"/>
          </w:tcPr>
          <w:p>
            <w:pPr>
              <w:spacing w:after="0"/>
              <w:rPr>
                <w:sz w:val="14"/>
                <w:szCs w:val="14"/>
                <w:color w:val="auto"/>
              </w:rPr>
            </w:pPr>
          </w:p>
        </w:tc>
        <w:tc>
          <w:tcPr>
            <w:tcW w:w="1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2005(1)</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License</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$ 31,661</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$ 20,366</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555,367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449,166</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587,028</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469,532</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license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service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374,051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294,947</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43,114</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32,911</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78,550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54,960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Amortization of purchased intangible assets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7,572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3,718</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504,349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387,691</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82,679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81,841</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2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8,414</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4,959</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91,093</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15,759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17,357</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$ 75,334</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$ 69,443</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200,525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201,703</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214,871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217,448</w:t>
            </w:r>
          </w:p>
        </w:tc>
      </w:tr>
      <w:tr>
        <w:trPr>
          <w:trHeight w:val="168"/>
        </w:trPr>
        <w:tc>
          <w:tcPr>
            <w:tcW w:w="416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hanging="430"/>
        <w:spacing w:after="0" w:line="235"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quarter of fiscal 2006 includes stock-based compensation expense related to employees of $11,060, which was classified as follows: $4,355 to cost of service, $1,089 to research and development and $5,616 to selling, general and administrative.</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2420" w:type="dxa"/>
            <w:vAlign w:val="bottom"/>
          </w:tcPr>
          <w:p>
            <w:pPr>
              <w:spacing w:after="0"/>
              <w:rPr>
                <w:sz w:val="24"/>
                <w:szCs w:val="24"/>
                <w:color w:val="auto"/>
              </w:rPr>
            </w:pPr>
          </w:p>
        </w:tc>
        <w:tc>
          <w:tcPr>
            <w:tcW w:w="17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Ordinary Shares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0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 Other</w:t>
            </w: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420" w:type="dxa"/>
            <w:vAlign w:val="bottom"/>
          </w:tcPr>
          <w:p>
            <w:pPr>
              <w:spacing w:after="0"/>
              <w:rPr>
                <w:sz w:val="14"/>
                <w:szCs w:val="14"/>
                <w:color w:val="auto"/>
              </w:rPr>
            </w:pP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Treasury</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Unearned</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24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Loss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4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30, 2005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200,182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$1,870,922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$(602,392)</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$(10,886)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$396,126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$1,656,452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75,334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75,334</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foreign currency</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hedging contracts,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$(860) tax</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benefit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2,653</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2,653</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short-term</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interest-bearing</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investments, net of</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$(65) tax  benefit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78,037</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8,141</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restricted</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 related to</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11,060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 related to non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of</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additional paid in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201,365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$1,890,417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$(602,392)</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(8,183)</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$471,460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$1,754,967</w:t>
            </w:r>
          </w:p>
        </w:tc>
      </w:tr>
      <w:tr>
        <w:trPr>
          <w:trHeight w:val="168"/>
        </w:trPr>
        <w:tc>
          <w:tcPr>
            <w:tcW w:w="24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620"/>
        <w:spacing w:after="0" w:line="236" w:lineRule="auto"/>
        <w:rPr>
          <w:sz w:val="20"/>
          <w:szCs w:val="20"/>
          <w:color w:val="auto"/>
        </w:rPr>
      </w:pPr>
      <w:r>
        <w:rPr>
          <w:rFonts w:ascii="Courier New" w:cs="Courier New" w:eastAsia="Courier New" w:hAnsi="Courier New"/>
          <w:sz w:val="15"/>
          <w:szCs w:val="15"/>
          <w:color w:val="auto"/>
        </w:rPr>
        <w:t>As of December 31, 2005 and September 30, 2005, accumulated other comprehensive loss is comprised of unrealized loss on foreign currency hedging contracts, net of tax, of $(6,444) and $(9,097), respectively, and unrealized loss on short-term interest-bearing investments, net of tax, of $(1,739) and $(1,789), respectively.</w:t>
      </w:r>
    </w:p>
    <w:p>
      <w:pPr>
        <w:spacing w:after="0" w:line="167"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617" w:right="139"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960" w:type="dxa"/>
            <w:vAlign w:val="bottom"/>
          </w:tcPr>
          <w:p>
            <w:pPr>
              <w:spacing w:after="0"/>
              <w:rPr>
                <w:sz w:val="14"/>
                <w:szCs w:val="14"/>
                <w:color w:val="auto"/>
              </w:rPr>
            </w:pPr>
          </w:p>
        </w:tc>
        <w:tc>
          <w:tcPr>
            <w:tcW w:w="20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69,443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Reconciliation of net income to net cash provided by</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28,632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22,755</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(gain) on sale of equipment</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based compensation expense</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11,060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Excess tax benefit from stock based compensation</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 from short-term interest-bearing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changes in operating assets and liabilities, net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amounts acquired: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(39,250)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(27,684)</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(14,025)</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(5,731)</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26,240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(4,715)</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42,173</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Noncurrent liabilities and other</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4,707</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83,474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83,043</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Proceeds from sale of equipment, vehicles and leasehold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improvements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for purchase of equipment, vehicles and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(15,657)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 interest-bearing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173,727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132,891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short-term interest-bearing investments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(419,803)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(160,134)</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paid for acquisition</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(260,398)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(41,415)</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employee stock options exercised and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restricted stock</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tax benefit from stock based compensation</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under financing arrangements and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on capital lease obligations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(5,916)</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cash and cash equivalents</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(173,164)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707,552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550,352</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$ 534,388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$ 590,592</w:t>
            </w:r>
          </w:p>
        </w:tc>
      </w:tr>
      <w:tr>
        <w:trPr>
          <w:trHeight w:val="168"/>
        </w:trPr>
        <w:tc>
          <w:tcPr>
            <w:tcW w:w="4960" w:type="dxa"/>
            <w:vAlign w:val="bottom"/>
          </w:tcPr>
          <w:p>
            <w:pPr>
              <w:spacing w:after="0"/>
              <w:rPr>
                <w:sz w:val="14"/>
                <w:szCs w:val="14"/>
                <w:color w:val="auto"/>
              </w:rPr>
            </w:pP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for:</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net of refunds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21,802</w:t>
            </w: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U.S. generally accepted accounting principles (the "GAAP"). In the opinion of the Company's management, all adjustments considered necessary for a fair presentation of the unaudited interim consolidated financial statements have been included herein and are of a normal recurring nature.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2005, set forth in the Company's Annual Report on Form 20-F filed on December 28, 2005 with the U.S. Securities and Exchange Commission (the "SEC").</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3" w:lineRule="exact"/>
        <w:rPr>
          <w:sz w:val="20"/>
          <w:szCs w:val="20"/>
          <w:color w:val="auto"/>
        </w:rPr>
      </w:pPr>
    </w:p>
    <w:p>
      <w:pPr>
        <w:ind w:left="440" w:right="6379" w:hanging="430"/>
        <w:spacing w:after="0" w:line="509"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440"/>
        <w:spacing w:after="0" w:line="230" w:lineRule="auto"/>
        <w:rPr>
          <w:sz w:val="20"/>
          <w:szCs w:val="20"/>
          <w:color w:val="auto"/>
        </w:rPr>
      </w:pPr>
      <w:r>
        <w:rPr>
          <w:rFonts w:ascii="Courier New" w:cs="Courier New" w:eastAsia="Courier New" w:hAnsi="Courier New"/>
          <w:sz w:val="15"/>
          <w:szCs w:val="15"/>
          <w:color w:val="auto"/>
        </w:rPr>
        <w:t>Effective October 1, 2005, the Company adopted FASB Statement No. 123</w:t>
      </w:r>
    </w:p>
    <w:p>
      <w:pPr>
        <w:spacing w:after="0" w:line="238" w:lineRule="auto"/>
        <w:rPr>
          <w:sz w:val="20"/>
          <w:szCs w:val="20"/>
          <w:color w:val="auto"/>
        </w:rPr>
      </w:pPr>
      <w:r>
        <w:rPr>
          <w:rFonts w:ascii="Courier New" w:cs="Courier New" w:eastAsia="Courier New" w:hAnsi="Courier New"/>
          <w:sz w:val="15"/>
          <w:szCs w:val="15"/>
          <w:color w:val="auto"/>
        </w:rPr>
        <w:t>(revised 2004), "Share-Based Payment," a revision of SFAS No. 123 ("SFAS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123(R)"). SFAS 123(R) supersedes Accounting Principles Board ("APB") Opinion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"Accounting for Stock Issued to Employees" ("APB No. 25") and related</w:t>
      </w:r>
    </w:p>
    <w:p>
      <w:pPr>
        <w:spacing w:after="0" w:line="237" w:lineRule="auto"/>
        <w:rPr>
          <w:sz w:val="20"/>
          <w:szCs w:val="20"/>
          <w:color w:val="auto"/>
        </w:rPr>
      </w:pPr>
      <w:r>
        <w:rPr>
          <w:rFonts w:ascii="Courier New" w:cs="Courier New" w:eastAsia="Courier New" w:hAnsi="Courier New"/>
          <w:sz w:val="15"/>
          <w:szCs w:val="15"/>
          <w:color w:val="auto"/>
        </w:rPr>
        <w:t>interpretations, and amends FASB Statement No. 95, "Statement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Generally, the approach in SFAS 123(R) is similar to the approach described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123. However, SFAS 123(R) requires all share-based payments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including grants of employee stock options, to be recognized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 based on their fair values. Pro forma disclosure is no longer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alternative. In March 2005, the SEC issued Staff Accounting Bulletin No. 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("SAB 107"), which provides supplemental implementation guidance on SFAS 123(R).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applied the provisions of SAB 107 in its adoption of SFAS</w:t>
      </w:r>
    </w:p>
    <w:p>
      <w:pPr>
        <w:spacing w:after="0" w:line="237" w:lineRule="auto"/>
        <w:rPr>
          <w:sz w:val="20"/>
          <w:szCs w:val="20"/>
          <w:color w:val="auto"/>
        </w:rPr>
      </w:pPr>
      <w:r>
        <w:rPr>
          <w:rFonts w:ascii="Courier New" w:cs="Courier New" w:eastAsia="Courier New" w:hAnsi="Courier New"/>
          <w:sz w:val="15"/>
          <w:szCs w:val="15"/>
          <w:color w:val="auto"/>
        </w:rPr>
        <w:t>123(R).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October 1, 2005, the Company accounted for share-based payments to employees under the recognition and measurement provisions of APB No. 25. Pursuant to these accounting standards, the Company recorded deferred compensation for share options granted to employees at the date of grant based on the difference between the exercise price of the options and the market value of the underlying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shares at that date, and for restricted stock based on the market value of the underlying shares at the date of grant. No compensation expense was recorded for stock options that were granted to employees and directors at an exercise price equal to the fair market value of the Ordinary Shares at the time of the grant.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adopted SFAS 123(R) using the modified prospective method. Under this transition method, compensation costs recognized in the first quarter of fiscal 2006 include (a) compensation costs for all share based payments granted prior to, but not yet vested, as of October 1, 2005, based on the grant date fair value estimated in accordance with the pro forma provisions of</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123, and (b) compensation costs for the share 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 based awards and recognizes compensation costs using the graded vesting attribution method that results in an accelerated recognition of compensation costs in comparison to the straight line method.</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a result of adopting SFAS 123(R) on October 1, 2005, the Company's income before income taxes and net income for the first quarter of fiscal 2006 (not including restricted stock expense) were $10,423 and $9,101 lower, respectively, than if it had continued to account for share based compensation under APB No. 25. Basic and diluted earnings per share for the first quarter of fiscal 2006 would have been $0.42 and $0.40, respectively, if the Company had not adopted SFAS 123(R), compared to reported basic and diluted earning per share of $0.38 and $0.36, respectively. The total income tax benefit recognized in the income statement for share based compensation was $1,403 and $0 for the first quarters of fiscal 2006 and 2005, respectively.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adoption of SFAS 123(R), the Company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$610 excess tax benefit classified as financing cash inflows would have been classified as an operating cash inflow if the Company had not adopted SFAS 123(R).</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conjunction with the adoption of SFAS 123(R), the Company began to use the implied volatility of the Company's traded options as the expected volatility assumption required in the Black-Scholes option valuation model. Prior to October 1, 2005, the Company had used its historical stock price volatility in accordance with SFAS 123 for purposes of its pro forma information. The selection of the implied volatility approach was based upon the availability of actively traded options on the Company's shares and the Company's assessment that implied volatility is more representative of future share price trends than historical volatility. As stock-based compensation expense recognized in the Company's consolidated statement of income for the first quarter of fiscal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3"/>
              </w:rPr>
              <w:t>AS OF</w:t>
            </w:r>
          </w:p>
        </w:tc>
      </w:tr>
      <w:tr>
        <w:trPr>
          <w:trHeight w:val="168"/>
        </w:trPr>
        <w:tc>
          <w:tcPr>
            <w:tcW w:w="272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27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27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$322,663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$282,151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receivable - unbilled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28,318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28,994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allowances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(6,908)</w:t>
            </w:r>
          </w:p>
        </w:tc>
      </w:tr>
      <w:tr>
        <w:trPr>
          <w:trHeight w:val="168"/>
        </w:trPr>
        <w:tc>
          <w:tcPr>
            <w:tcW w:w="27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$343,487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$304,237</w:t>
            </w:r>
          </w:p>
        </w:tc>
      </w:tr>
      <w:tr>
        <w:trPr>
          <w:trHeight w:val="168"/>
        </w:trPr>
        <w:tc>
          <w:tcPr>
            <w:tcW w:w="27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THREE MONTHS ENDED</w:t>
      </w:r>
    </w:p>
    <w:p>
      <w:pPr>
        <w:ind w:left="3780"/>
        <w:spacing w:after="0" w:line="237" w:lineRule="auto"/>
        <w:rPr>
          <w:sz w:val="20"/>
          <w:szCs w:val="20"/>
          <w:color w:val="auto"/>
        </w:rPr>
      </w:pPr>
      <w:r>
        <w:rPr>
          <w:rFonts w:ascii="Courier New" w:cs="Courier New" w:eastAsia="Courier New" w:hAnsi="Courier New"/>
          <w:sz w:val="15"/>
          <w:szCs w:val="15"/>
          <w:color w:val="auto"/>
        </w:rPr>
        <w:t>DECEMBER 31,</w:t>
      </w:r>
    </w:p>
    <w:p>
      <w:pPr>
        <w:ind w:left="3500"/>
        <w:spacing w:after="0" w:line="238" w:lineRule="auto"/>
        <w:rPr>
          <w:sz w:val="20"/>
          <w:szCs w:val="20"/>
          <w:color w:val="auto"/>
        </w:rPr>
      </w:pPr>
      <w:r>
        <w:rPr>
          <w:rFonts w:ascii="Courier New" w:cs="Courier New" w:eastAsia="Courier New" w:hAnsi="Courier New"/>
          <w:sz w:val="15"/>
          <w:szCs w:val="15"/>
          <w:color w:val="auto"/>
        </w:rPr>
        <w:t>------------------</w:t>
      </w:r>
    </w:p>
    <w:p>
      <w:pPr>
        <w:ind w:left="3780"/>
        <w:spacing w:after="0" w:line="237" w:lineRule="auto"/>
        <w:tabs>
          <w:tab w:leader="none" w:pos="462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ind w:left="3600"/>
        <w:spacing w:after="0" w:line="238" w:lineRule="auto"/>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$75,334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$69,443</w:t>
      </w:r>
    </w:p>
    <w:p>
      <w:pPr>
        <w:spacing w:after="0" w:line="3" w:lineRule="exact"/>
        <w:rPr>
          <w:sz w:val="20"/>
          <w:szCs w:val="20"/>
          <w:color w:val="auto"/>
        </w:rPr>
      </w:pPr>
    </w:p>
    <w:p>
      <w:pPr>
        <w:sectPr>
          <w:pgSz w:w="11900" w:h="16838" w:orient="portrait"/>
          <w:cols w:equalWidth="0" w:num="3">
            <w:col w:w="2880" w:space="720"/>
            <w:col w:w="600" w:space="280"/>
            <w:col w:w="5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comprehensive income (loss):</w:t>
      </w:r>
    </w:p>
    <w:p>
      <w:pPr>
        <w:ind w:left="280"/>
        <w:spacing w:after="0" w:line="237" w:lineRule="auto"/>
        <w:rPr>
          <w:sz w:val="20"/>
          <w:szCs w:val="20"/>
          <w:color w:val="auto"/>
        </w:rPr>
      </w:pPr>
      <w:r>
        <w:rPr>
          <w:rFonts w:ascii="Courier New" w:cs="Courier New" w:eastAsia="Courier New" w:hAnsi="Courier New"/>
          <w:sz w:val="15"/>
          <w:szCs w:val="15"/>
          <w:color w:val="auto"/>
        </w:rPr>
        <w:t>Unrealized gain on foreign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currency hedging contracts, net</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of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502</w:t>
      </w:r>
    </w:p>
    <w:p>
      <w:pPr>
        <w:spacing w:after="0" w:line="3" w:lineRule="exact"/>
        <w:rPr>
          <w:sz w:val="20"/>
          <w:szCs w:val="20"/>
          <w:color w:val="auto"/>
        </w:rPr>
      </w:pPr>
    </w:p>
    <w:p>
      <w:pPr>
        <w:sectPr>
          <w:pgSz w:w="11900" w:h="16838" w:orient="portrait"/>
          <w:cols w:equalWidth="0" w:num="3">
            <w:col w:w="3060" w:space="720"/>
            <w:col w:w="420" w:space="620"/>
            <w:col w:w="541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Unrealized gain (loss) 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short-term interest-bearing</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right="340" w:firstLine="525"/>
        <w:spacing w:after="0" w:line="465" w:lineRule="auto"/>
        <w:rPr>
          <w:sz w:val="20"/>
          <w:szCs w:val="20"/>
          <w:color w:val="auto"/>
        </w:rPr>
      </w:pPr>
      <w:r>
        <w:rPr>
          <w:rFonts w:ascii="Courier New" w:cs="Courier New" w:eastAsia="Courier New" w:hAnsi="Courier New"/>
          <w:sz w:val="15"/>
          <w:szCs w:val="15"/>
          <w:color w:val="auto"/>
        </w:rPr>
        <w:t>investments, net of tax Comprehensive income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2"/>
          <w:szCs w:val="12"/>
          <w:color w:val="auto"/>
        </w:rPr>
        <w:t>50</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$78,037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(684)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$69,261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2880" w:space="720"/>
            <w:col w:w="600" w:space="280"/>
            <w:col w:w="5759"/>
          </w:cols>
          <w:pgMar w:left="220" w:top="617" w:right="1440" w:bottom="1440" w:gutter="0" w:footer="0" w:header="0"/>
          <w:type w:val="continuous"/>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617" w:right="1440" w:bottom="1440" w:gutter="0" w:footer="0" w:header="0"/>
          <w:type w:val="continuous"/>
        </w:sectPr>
      </w:pPr>
    </w:p>
    <w:bookmarkStart w:id="9" w:name="page10"/>
    <w:bookmarkEnd w:id="9"/>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6"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840" w:type="dxa"/>
            <w:vAlign w:val="bottom"/>
          </w:tcPr>
          <w:p>
            <w:pPr>
              <w:spacing w:after="0"/>
              <w:rPr>
                <w:sz w:val="14"/>
                <w:szCs w:val="14"/>
                <w:color w:val="auto"/>
              </w:rPr>
            </w:pPr>
          </w:p>
        </w:tc>
        <w:tc>
          <w:tcPr>
            <w:tcW w:w="17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9,932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5,827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15,759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$17,357</w:t>
            </w:r>
          </w:p>
        </w:tc>
      </w:tr>
      <w:tr>
        <w:trPr>
          <w:trHeight w:val="168"/>
        </w:trPr>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THREE MONTHS ENDED</w:t>
      </w:r>
    </w:p>
    <w:p>
      <w:pPr>
        <w:ind w:left="3600"/>
        <w:spacing w:after="0" w:line="237" w:lineRule="auto"/>
        <w:rPr>
          <w:sz w:val="20"/>
          <w:szCs w:val="20"/>
          <w:color w:val="auto"/>
        </w:rPr>
      </w:pPr>
      <w:r>
        <w:rPr>
          <w:rFonts w:ascii="Courier New" w:cs="Courier New" w:eastAsia="Courier New" w:hAnsi="Courier New"/>
          <w:sz w:val="15"/>
          <w:szCs w:val="15"/>
          <w:color w:val="auto"/>
        </w:rPr>
        <w:t>DECEMBER 31,</w:t>
      </w:r>
    </w:p>
    <w:p>
      <w:pPr>
        <w:ind w:left="3340"/>
        <w:spacing w:after="0" w:line="238" w:lineRule="auto"/>
        <w:rPr>
          <w:sz w:val="20"/>
          <w:szCs w:val="20"/>
          <w:color w:val="auto"/>
        </w:rPr>
      </w:pPr>
      <w:r>
        <w:rPr>
          <w:rFonts w:ascii="Courier New" w:cs="Courier New" w:eastAsia="Courier New" w:hAnsi="Courier New"/>
          <w:sz w:val="15"/>
          <w:szCs w:val="15"/>
          <w:color w:val="auto"/>
        </w:rPr>
        <w:t>------------------</w:t>
      </w:r>
    </w:p>
    <w:p>
      <w:pPr>
        <w:ind w:left="3680"/>
        <w:spacing w:after="0" w:line="237" w:lineRule="auto"/>
        <w:tabs>
          <w:tab w:leader="none" w:pos="4280" w:val="left"/>
        </w:tabs>
        <w:rPr>
          <w:sz w:val="20"/>
          <w:szCs w:val="20"/>
          <w:color w:val="auto"/>
        </w:rPr>
      </w:pPr>
      <w:r>
        <w:rPr>
          <w:rFonts w:ascii="Courier New" w:cs="Courier New" w:eastAsia="Courier New" w:hAnsi="Courier New"/>
          <w:sz w:val="15"/>
          <w:szCs w:val="15"/>
          <w:color w:val="auto"/>
        </w:rPr>
        <w:t>2005</w:t>
        <w:tab/>
        <w:t>2004</w:t>
      </w:r>
    </w:p>
    <w:p>
      <w:pPr>
        <w:ind w:left="3680"/>
        <w:spacing w:after="0" w:line="238" w:lineRule="auto"/>
        <w:tabs>
          <w:tab w:leader="none" w:pos="4280" w:val="left"/>
        </w:tabs>
        <w:rPr>
          <w:sz w:val="20"/>
          <w:szCs w:val="20"/>
          <w:color w:val="auto"/>
        </w:rPr>
      </w:pPr>
      <w:r>
        <w:rPr>
          <w:rFonts w:ascii="Courier New" w:cs="Courier New" w:eastAsia="Courier New" w:hAnsi="Courier New"/>
          <w:sz w:val="15"/>
          <w:szCs w:val="15"/>
          <w:color w:val="auto"/>
        </w:rPr>
        <w:t>----</w:t>
        <w:tab/>
        <w:t>----</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Statutory Guernsey tax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Guernsey tax-exempt status</w:t>
      </w:r>
    </w:p>
    <w:p>
      <w:pPr>
        <w:spacing w:after="0" w:line="237" w:lineRule="auto"/>
        <w:rPr>
          <w:sz w:val="20"/>
          <w:szCs w:val="20"/>
          <w:color w:val="auto"/>
        </w:rPr>
      </w:pPr>
      <w:r>
        <w:rPr>
          <w:rFonts w:ascii="Courier New" w:cs="Courier New" w:eastAsia="Courier New" w:hAnsi="Courier New"/>
          <w:sz w:val="15"/>
          <w:szCs w:val="15"/>
          <w:color w:val="auto"/>
        </w:rPr>
        <w:t>Foreign taxes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ind w:left="100"/>
        <w:spacing w:after="0" w:line="237" w:lineRule="auto"/>
        <w:rPr>
          <w:sz w:val="20"/>
          <w:szCs w:val="20"/>
          <w:color w:val="auto"/>
        </w:rPr>
      </w:pPr>
      <w:r>
        <w:rPr>
          <w:rFonts w:ascii="Courier New" w:cs="Courier New" w:eastAsia="Courier New" w:hAnsi="Courier New"/>
          <w:sz w:val="15"/>
          <w:szCs w:val="15"/>
          <w:color w:val="auto"/>
        </w:rPr>
        <w:t>18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2960" w:space="720"/>
            <w:col w:w="360" w:space="260"/>
            <w:col w:w="59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Income tax rate before effect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acquisition-related costs, and</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 expense</w:t>
      </w:r>
    </w:p>
    <w:p>
      <w:pPr>
        <w:spacing w:after="0" w:line="20" w:lineRule="exact"/>
        <w:rPr>
          <w:sz w:val="20"/>
          <w:szCs w:val="20"/>
          <w:color w:val="auto"/>
        </w:rPr>
      </w:pPr>
      <w:r>
        <w:rPr>
          <w:sz w:val="20"/>
          <w:szCs w:val="20"/>
          <w:color w:val="auto"/>
        </w:rPr>
        <w:br w:type="column"/>
      </w:r>
    </w:p>
    <w:p>
      <w:pPr>
        <w:spacing w:after="0" w:line="237" w:lineRule="auto"/>
        <w:tabs>
          <w:tab w:leader="none" w:pos="5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ectPr>
          <w:pgSz w:w="11900" w:h="16838" w:orient="portrait"/>
          <w:cols w:equalWidth="0" w:num="2">
            <w:col w:w="3060" w:space="720"/>
            <w:col w:w="6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acquisition-related costs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stock base compensation expense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080" w:space="600"/>
            <w:col w:w="360" w:space="260"/>
            <w:col w:w="5939"/>
          </w:cols>
          <w:pgMar w:left="220" w:top="617" w:right="1440" w:bottom="1440" w:gutter="0" w:footer="0" w:header="0"/>
          <w:type w:val="continuous"/>
        </w:sectPr>
      </w:pPr>
    </w:p>
    <w:p>
      <w:pPr>
        <w:spacing w:after="0" w:line="14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primarily to foreign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December 31, 2005, deferred tax assets of $15,424, derived from net capital and operating loss carry forwards related to some of the Company's subsidiaries, were offset by valuation allowances related to the uncertainty of realizing tax benefit for such losses. When realization of such tax benefits associated with such net capital and operating losses is deemed more likely than not, the valuation allowance will be released through income taxes.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type w:val="continuous"/>
        </w:sectPr>
      </w:pPr>
    </w:p>
    <w:bookmarkStart w:id="10" w:name="page11"/>
    <w:bookmarkEnd w:id="10"/>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6"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900" w:type="dxa"/>
            <w:vAlign w:val="bottom"/>
          </w:tcPr>
          <w:p>
            <w:pPr>
              <w:spacing w:after="0"/>
              <w:rPr>
                <w:sz w:val="14"/>
                <w:szCs w:val="14"/>
                <w:color w:val="auto"/>
              </w:rPr>
            </w:pPr>
          </w:p>
        </w:tc>
        <w:tc>
          <w:tcPr>
            <w:tcW w:w="1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Numerator for basic earnings per share</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$ 75,334</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$ 69,443</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assumed conversion of 0.50%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convertible notes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Numerator for diluted earnings per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$ 76,334</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$ 70,427</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Denominator for basic earnings per share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 weighted average number of shares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200,525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201,703</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assumed conversion of 0.50%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convertible notes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10,436</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Effect of dilutive stock options granted</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5,309</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restricted stock issued</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Denominator for diluted earnings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per share - adjusted weighted average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and assumed conversions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214,871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217,448</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39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weighted average effect of repurchase of Ordinary Shares by the Company has been included in the calculation of basic earnings per share.</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ended December 31, 2005 and 2004, and, therefore, was not included in the above calculation.</w:t>
      </w:r>
    </w:p>
    <w:p>
      <w:pPr>
        <w:spacing w:after="0" w:line="175"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effect of the 0.50% Convertible Senior Notes due 2024 (the "0.50% Notes") on diluted earnings per share was included in the above calculation.</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left="880" w:right="8399" w:hanging="870"/>
        <w:spacing w:after="0" w:line="509" w:lineRule="auto"/>
        <w:tabs>
          <w:tab w:leader="none" w:pos="44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DST INNOVIS</w:t>
      </w: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On July 1, 2005, the Company acquired from DST Systems, Inc., or DST, all of the common stock of DST's wholly owned subsidiaries, DST Innovis, Inc. and DST Interactive, Inc. The Company refers to these acquired subsidiaries together as DST Innovis, a leading provider of customer care and billing solutions to broadband media cable and satellite companies, or the Broadband Industry. The Company believes that this acquisition has positioned the Company to offer a comprehensive set of solutions to the Broadband Industry, as they transition to Integrated Customer Management or, ICM.</w:t>
      </w:r>
    </w:p>
    <w:p>
      <w:pPr>
        <w:spacing w:after="0" w:line="178"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purchase price for DST Innovis was approximately $237,461, which included $3,150 of transaction costs. The fair market value of DST Innovis' assets and liabilities has been included in the Company's consolidated balance sheet and the results of DST Innovis' operations are included in the Company's consolidated statements of income, commencing on July 1, 2005.</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In addition, the Company commenced integration activities based on a plan to exit specific research and development activities and to terminate employees associated with these activities. In accordance with EITF 95-3, "Recognition of Liabilities in Connection with a Purchase Business Combination," the plan must be finalized within one year of the acquisition date and must identify all significant actions to be taken to complete the plan. The liability associated with this plan, which was recorded as part of the purchase accounting, is presented in the following table: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EMPLOYEE</w:t>
            </w: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SEPARATION</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CONTRACTUAL</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OBLIGATIONS</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$ 4,940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$7,103</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$673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$12,716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payments</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(3,826)</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(415)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(4,329)</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$ 1,114</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$7,015</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$258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$ 8,387</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860" w:type="dxa"/>
            <w:vAlign w:val="bottom"/>
          </w:tcPr>
          <w:p>
            <w:pPr>
              <w:spacing w:after="0"/>
              <w:rPr>
                <w:sz w:val="24"/>
                <w:szCs w:val="24"/>
                <w:color w:val="auto"/>
              </w:rPr>
            </w:pP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 w:name="page13"/>
    <w:bookmarkEnd w:id="12"/>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assets: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7,390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technology</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63,180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arrangements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59,702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EITF 95-3 provision and other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(19,294)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Printing and mailing obligation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(25,777)</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resulting from the difference</w:t>
            </w:r>
          </w:p>
        </w:tc>
        <w:tc>
          <w:tcPr>
            <w:tcW w:w="920" w:type="dxa"/>
            <w:vAlign w:val="bottom"/>
          </w:tcPr>
          <w:p>
            <w:pPr>
              <w:spacing w:after="0"/>
              <w:rPr>
                <w:sz w:val="14"/>
                <w:szCs w:val="1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between the assigned value of certain assets</w:t>
            </w:r>
          </w:p>
        </w:tc>
        <w:tc>
          <w:tcPr>
            <w:tcW w:w="920" w:type="dxa"/>
            <w:vAlign w:val="bottom"/>
          </w:tcPr>
          <w:p>
            <w:pPr>
              <w:spacing w:after="0"/>
              <w:rPr>
                <w:sz w:val="14"/>
                <w:szCs w:val="1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and liabilities and their respective tax bases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17,332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132,168</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$237,461</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LONGSHINE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3, 2005, the Company acquired Longshine Information Technology Company Ltd., or Longshine, a privately-held leading vendor of customer care and billing software in China. This acquisition enables the Company to offer its products and services to Chinese service providers and the Company believes it will allow the Company to expand its presence in this fast growing market. The purchase price for Longshine was approximately $34,100, which included $1,100 of transaction costs. The Company may also be obligated to pay up to approximately $16,000 in additional purchase price over the next two years based on the achievement of specified performance targets. The fair market value of Longshine assets and liabilities has been included in the Company's consolidated balance sheet and the results of Longshine operations have been included in the Company's consolidated statement of income, commencing on August 3, 2005.</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the revised preliminary allocation of the purchase price: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liabilities acquired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$(12,434)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technology</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arrangements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39,034</w:t>
            </w:r>
          </w:p>
        </w:tc>
      </w:tr>
      <w:tr>
        <w:trPr>
          <w:trHeight w:val="168"/>
        </w:trPr>
        <w:tc>
          <w:tcPr>
            <w:tcW w:w="22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$ 34,100</w:t>
            </w:r>
          </w:p>
        </w:tc>
      </w:tr>
      <w:tr>
        <w:trPr>
          <w:trHeight w:val="168"/>
        </w:trPr>
        <w:tc>
          <w:tcPr>
            <w:tcW w:w="22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Pro forma information on the Company's consolidated statements of income for the three months ended December 31, 2004 to reflect the Longshine acquisition is not presented, as its results of operations during such period are not material to the Company's consolidated statements of income.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Set forth below is the unaudited pro forma revenue, operating income, net income and per share figures for the three months ended December 31, 2004 as if DST Innovis had been acquired as of October 1, 2004, excluding the capitalization of research and development expense, write-off of purchased in-process research and development and other acquisition related costs: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42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168"/>
        </w:trPr>
        <w:tc>
          <w:tcPr>
            <w:tcW w:w="242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$523,452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71,957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60,428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0.28</w:t>
            </w:r>
          </w:p>
        </w:tc>
      </w:tr>
    </w:tbl>
    <w:p>
      <w:pPr>
        <w:spacing w:after="0" w:line="3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fourth quarter of fiscal 2005, the Company commenced a series of measures designed to align its operational structure to its expected future growth, to allow better integration of the acquisitions of DST Innovis and Longshine, and to improve efficiency. As part of this plan, the Company recorded a charge of $8,135 in connection with the termination of employment of software and information technology specialists and administrative professionals. Approximately $3,088 of the total charge was paid in cash as of December 31, 2005. The remaining separation costs are expected to be paid out during fiscal 2006.</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restructuring accrual balance for this cost reduction program is comprised of the following as of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7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EMPLOYEE SEPARATION</w:t>
            </w:r>
          </w:p>
        </w:tc>
      </w:tr>
      <w:tr>
        <w:trPr>
          <w:trHeight w:val="168"/>
        </w:trPr>
        <w:tc>
          <w:tcPr>
            <w:tcW w:w="2860" w:type="dxa"/>
            <w:vAlign w:val="bottom"/>
          </w:tcPr>
          <w:p>
            <w:pPr>
              <w:spacing w:after="0"/>
              <w:rPr>
                <w:sz w:val="14"/>
                <w:szCs w:val="14"/>
                <w:color w:val="auto"/>
              </w:rPr>
            </w:pPr>
          </w:p>
        </w:tc>
        <w:tc>
          <w:tcPr>
            <w:tcW w:w="17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COSTS</w:t>
            </w:r>
          </w:p>
        </w:tc>
      </w:tr>
      <w:tr>
        <w:trPr>
          <w:trHeight w:val="168"/>
        </w:trPr>
        <w:tc>
          <w:tcPr>
            <w:tcW w:w="2860" w:type="dxa"/>
            <w:vAlign w:val="bottom"/>
          </w:tcPr>
          <w:p>
            <w:pPr>
              <w:spacing w:after="0"/>
              <w:rPr>
                <w:sz w:val="14"/>
                <w:szCs w:val="14"/>
                <w:color w:val="auto"/>
              </w:rPr>
            </w:pPr>
          </w:p>
        </w:tc>
        <w:tc>
          <w:tcPr>
            <w:tcW w:w="17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$ 7,002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28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2005</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$ 4,828</w:t>
            </w:r>
          </w:p>
        </w:tc>
      </w:tr>
      <w:tr>
        <w:trPr>
          <w:trHeight w:val="168"/>
        </w:trPr>
        <w:tc>
          <w:tcPr>
            <w:tcW w:w="286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860" w:type="dxa"/>
            <w:vAlign w:val="bottom"/>
          </w:tcPr>
          <w:p>
            <w:pPr>
              <w:spacing w:after="0"/>
              <w:rPr>
                <w:sz w:val="24"/>
                <w:szCs w:val="24"/>
                <w:color w:val="auto"/>
              </w:rPr>
            </w:pPr>
          </w:p>
        </w:tc>
        <w:tc>
          <w:tcPr>
            <w:tcW w:w="17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39"/>
          </w:cols>
          <w:pgMar w:left="220" w:top="617"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prior fiscal years, the Company implemented a series of cost reduction programs designed to reduce operating costs and improve productivity. As part of these programs, the Company reduced its workforce, vacated facilities in different centers around the world and implemented other cost reduction measures, including travel cuts and reduction in other discretionary costs.</w:t>
      </w:r>
    </w:p>
    <w:p>
      <w:pPr>
        <w:spacing w:after="0" w:line="16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restructuring accrual balance for these cost reduction programs is comprised of the following as of December 31,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r>
      <w:tr>
        <w:trPr>
          <w:trHeight w:val="168"/>
        </w:trPr>
        <w:tc>
          <w:tcPr>
            <w:tcW w:w="32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as of October 1, 2005</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$6,667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32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2005 (1)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$6,028</w:t>
            </w:r>
          </w:p>
        </w:tc>
      </w:tr>
      <w:tr>
        <w:trPr>
          <w:trHeight w:val="168"/>
        </w:trPr>
        <w:tc>
          <w:tcPr>
            <w:tcW w:w="32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67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the accrual is expected to be paid out through August 2008.</w:t>
      </w:r>
    </w:p>
    <w:p>
      <w:pPr>
        <w:spacing w:after="0" w:line="167"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net periodic benefit costs under these plans for the three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2005 and 2004,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THREE MONTHS ENDED</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860" w:type="dxa"/>
            <w:vAlign w:val="bottom"/>
          </w:tcPr>
          <w:p>
            <w:pPr>
              <w:spacing w:after="0"/>
              <w:rPr>
                <w:sz w:val="14"/>
                <w:szCs w:val="14"/>
                <w:color w:val="auto"/>
              </w:rPr>
            </w:pPr>
          </w:p>
        </w:tc>
        <w:tc>
          <w:tcPr>
            <w:tcW w:w="1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 2005</w:t>
            </w:r>
          </w:p>
        </w:tc>
        <w:tc>
          <w:tcPr>
            <w:tcW w:w="1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168"/>
        </w:trPr>
        <w:tc>
          <w:tcPr>
            <w:tcW w:w="2860" w:type="dxa"/>
            <w:vAlign w:val="bottom"/>
          </w:tcPr>
          <w:p>
            <w:pPr>
              <w:spacing w:after="0"/>
              <w:rPr>
                <w:sz w:val="14"/>
                <w:szCs w:val="14"/>
                <w:color w:val="auto"/>
              </w:rPr>
            </w:pP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PENSION</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PENSION</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BENEFITS</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$ 769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$ 547</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benefit obligations</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837</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$ 929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$ 698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three months ended December 31, 2005, the Company made contributions of $939 to the pension plan and $39 for other benefits. The Company expects that contributions for the fiscal year ending September 30, 2006 will approximate $2,800 to the pension plan and $200 for other benefits.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5" w:name="page16"/>
    <w:bookmarkEnd w:id="15"/>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6"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INCENTIVE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January 1998, the Company first adopted the 1998 Stock Option and Incentive Plan (the "Plan"), which provides for the grant of restricted stock awards, stock options and other stock-based awards to directors, officers, employees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is currently comprised of restricted stock awards and a fewer number of stock options.</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stock options to purchase the Company's Ordinary Shares, as well as changes during the first quarter of fiscal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WEIGHTED</w:t>
            </w:r>
          </w:p>
        </w:tc>
      </w:tr>
      <w:tr>
        <w:trPr>
          <w:trHeight w:val="168"/>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WEIGHTED</w:t>
            </w:r>
          </w:p>
        </w:tc>
        <w:tc>
          <w:tcPr>
            <w:tcW w:w="15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-AVERAGE</w:t>
            </w:r>
          </w:p>
        </w:tc>
        <w:tc>
          <w:tcPr>
            <w:tcW w:w="15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REMAINING</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NUMBER OF OPTIONS</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 PRICE</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CONTRACTUAL TERM</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as of October 1, 2005</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25,807</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$26.91</w:t>
            </w:r>
          </w:p>
        </w:tc>
        <w:tc>
          <w:tcPr>
            <w:tcW w:w="1520" w:type="dxa"/>
            <w:vAlign w:val="bottom"/>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1,829</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27.46</w:t>
            </w:r>
          </w:p>
        </w:tc>
        <w:tc>
          <w:tcPr>
            <w:tcW w:w="15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9.20</w:t>
            </w: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(855)</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35.51</w:t>
            </w:r>
          </w:p>
        </w:tc>
        <w:tc>
          <w:tcPr>
            <w:tcW w:w="15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as of December 31, 2005</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25,884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$27.28</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6.75</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Exercisble on December 31, 2005</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16,039</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$30.66</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5.76</w:t>
            </w:r>
          </w:p>
        </w:tc>
      </w:tr>
      <w:tr>
        <w:trPr>
          <w:trHeight w:val="168"/>
        </w:trPr>
        <w:tc>
          <w:tcPr>
            <w:tcW w:w="3200" w:type="dxa"/>
            <w:vAlign w:val="bottom"/>
          </w:tcPr>
          <w:p>
            <w:pPr>
              <w:spacing w:after="0"/>
              <w:rPr>
                <w:sz w:val="14"/>
                <w:szCs w:val="14"/>
                <w:color w:val="auto"/>
              </w:rPr>
            </w:pP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weighted average grant date fair value of stock options granted during the three months ended December 31, 2005 and 2004 was $9.69 and $12.47, respectively. The total intrinsic value of options exercised during the first quarters of fiscal 2006 and 2005 was $16,636 and $12,161, respectively. The aggregate intrinsic value of outstanding and exercisable stock options as of December 31, 2005 was $129,209 and $71,493, respectively.</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6" w:name="page17"/>
    <w:bookmarkEnd w:id="16"/>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summarizes information relating to awards of restricted nonvested shares, as well as changes to such awards during the first quarter of fiscal 2006: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NUMBER OF</w:t>
            </w:r>
          </w:p>
        </w:tc>
        <w:tc>
          <w:tcPr>
            <w:tcW w:w="1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32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GRANT DATE FAIR VALUE</w:t>
            </w:r>
          </w:p>
        </w:tc>
      </w:tr>
      <w:tr>
        <w:trPr>
          <w:trHeight w:val="168"/>
        </w:trPr>
        <w:tc>
          <w:tcPr>
            <w:tcW w:w="32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Outstanding as of October 1, 2005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w:t>
            </w:r>
          </w:p>
        </w:tc>
        <w:tc>
          <w:tcPr>
            <w:tcW w:w="1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$26.43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27.45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Vested</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26.43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as of December 31, 2005</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345</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$27.28</w:t>
            </w:r>
          </w:p>
        </w:tc>
      </w:tr>
    </w:tbl>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December 31, 2005, there was $53,411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fair value of stock options granted was estimated on the date of grant using the Black-Scholes pricing model that uses the assumptions noted in the following table (all in weighted averages for options granted during the period):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12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12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Risk-free interest rate (1)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stock options (2)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 (3)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0.638</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 (4)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None</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None</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per option</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w:t>
            </w:r>
          </w:p>
        </w:tc>
      </w:tr>
    </w:tbl>
    <w:p>
      <w:pPr>
        <w:spacing w:after="0" w:line="341" w:lineRule="exact"/>
        <w:rPr>
          <w:sz w:val="20"/>
          <w:szCs w:val="20"/>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Risk-free interest rate is based upon U.S. Treasury yield curve appropriate for the term of the Company's employee stock options.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life of stock options is based upon historical experience.</w:t>
      </w:r>
    </w:p>
    <w:p>
      <w:pPr>
        <w:spacing w:after="0" w:line="172"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volatility for the first quarter of fiscal 2006 is based on implied volatility of the Company's traded options. For the first quarter of fiscal 2005, expected volatility is based on the Company's historical stock price.</w:t>
      </w:r>
    </w:p>
    <w:p>
      <w:pPr>
        <w:spacing w:after="0" w:line="17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dividend yield is based on the Company's history and expectation of dividend payouts.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7" w:name="page18"/>
    <w:bookmarkEnd w:id="17"/>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pro forma effect of applying SFAS 123 on net income and earnings per share for the first quarter of fiscal 2005: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$69,443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Stock-based employee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expense included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net income, net of related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effects</w:t>
            </w:r>
          </w:p>
        </w:tc>
        <w:tc>
          <w:tcPr>
            <w:tcW w:w="6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Total stock-based employee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expense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under fair value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method for all awards, net of</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related tax effects</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(7,540)</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$61,961</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reported</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 forma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reported</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 forma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0.29</w:t>
            </w:r>
          </w:p>
        </w:tc>
      </w:tr>
      <w:tr>
        <w:trPr>
          <w:trHeight w:val="168"/>
        </w:trPr>
        <w:tc>
          <w:tcPr>
            <w:tcW w:w="2940" w:type="dxa"/>
            <w:vAlign w:val="bottom"/>
          </w:tcPr>
          <w:p>
            <w:pPr>
              <w:spacing w:after="0"/>
              <w:rPr>
                <w:sz w:val="14"/>
                <w:szCs w:val="14"/>
                <w:color w:val="auto"/>
              </w:rPr>
            </w:pP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8299" w:hanging="430"/>
        <w:spacing w:after="0" w:line="509" w:lineRule="auto"/>
        <w:tabs>
          <w:tab w:leader="none" w:pos="35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Legal Proceedings</w:t>
      </w: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2003, the Company was informed that the Midwest Regional Office of the SEC was conducting a private investigation into the events leading up to the Company's announcement in June 2002 of revised projected revenue for the third and fourth quarters of fiscal 2002. The investigation appeared to be focused on, but was not explicitly limited to, the Company's forecasting beginning with its April 23, 2002 press release. The Company responded to an initial document request by the SEC but has not received any requests for additional information or had any substantive contact with the SEC with respect to this investigation since 2003. The Company has cooperated with the SEC staff and believes that it would be able to satisfy any concerns the SEC staff may have as to the matters under investigation. However, given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8" w:name="page19"/>
    <w:bookmarkEnd w:id="18"/>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current status of the investigation, the Company is still unable to predict the duration, scope, or outcome of the investigation.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expired in December 2005. As of December 31, 2005 and September 30, 2005,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first quarters of fiscal 2006 and 2005.</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On January 17, 2006 Sprint Nextel Corporation announced it had reached a preliminary agreement for the Company to provide a single billing and customer care platform for Sprint Nextel's more than 45.6 million wireless subscribers.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2005 that we filed on December 28, 2005 with the United States Securities and Exchange Commission ("SEC").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67"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first quarters of fiscal 2006 and 2005,</w:t>
      </w:r>
    </w:p>
    <w:p>
      <w:pPr>
        <w:spacing w:after="0" w:line="177"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expenditures for the first quarters of fiscal 2006 and 2005, and</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first quarters of fiscal 2006 and 2005. You should read this section in conjunction with our consolidated financial statements.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combine software and services with business knowledge to accelerate the adoption of integrated customer management strategies by service providers. Our market focus is primarily Tier 1 and Tier 2 companies in the communications industry, and we are a leading provider of software products and services to that industry. Our addressable market has been expanded to include broadband media cable and satellite companies, which we refer to as the Broadband Industry, as a result of our recent acquisition of DST Innovis, Inc. and DST Interactive, Inc., which we refer to together as DST Innovis. The acquisition not only enlarges our customer base, but also allows us to offer a broader set of solutions to customers in the Broadband Industry. We are also leveraging our experience by working with service providers in the financial services sector, since certain of the challenges faced by companies in this sector are similar to those of communications service providers. Our products and services help our customers move toward an integrated approach to customer management, which we refer to as Integrated Customer Management, or ICM. Our portfolio of product offerings includes billing, customer relationship management, or CRM, order management, service fulfillment, mediation, and content revenue management products, which we collectively refer to as Integrated Customer Management Enabling Systems, or ICM Enabling Systems.</w:t>
      </w:r>
    </w:p>
    <w:p>
      <w:pPr>
        <w:spacing w:after="0" w:line="34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designed ICM 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Internet Protocol, or IP, broadband, content, electronic and mobile commerce. We also support companies that offer multiple service packages, commonly referred to as bundled or convergent service packages.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that include services such as system modernization and consolidation, the operation of data centers, ongoing support, maintenance services, system modification, the provision of rating and billing services and communications facility management services, in all cases on either or a combination of a fixed or unit charge basis to our customers.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conduct our business globally, and, as a result we are subject to the effect of general global economic conditions and, in particular, market conditions in the communications industry. Recently we expanded our operations in China as a result of the acquisition of Longshine Information Technology Company, Ltd., or Longshine, a leading vendor of customer care and billing software in China. We maintain development facilities located in Canada, China, Cyprus, India, Ireland, Israel and the United States.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part of our strategy, we have pursued and may continue to pursue acquisitions and other initiatives in order to offer new products or services or otherwise enhance our market position or strategic strengths.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believe that we are a leading global provider of ICM Enabling Systems. We provide a broad set of products, with proven functionality and scalability, accompanied by a comprehensive range of business consulting, system implementation and integration services.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1" w:name="page22"/>
    <w:bookmarkEnd w:id="21"/>
    <w:p>
      <w:pPr>
        <w:ind w:right="3239" w:firstLine="437"/>
        <w:spacing w:after="0" w:line="236" w:lineRule="auto"/>
        <w:rPr>
          <w:sz w:val="20"/>
          <w:szCs w:val="20"/>
          <w:color w:val="auto"/>
        </w:rPr>
      </w:pPr>
      <w:r>
        <w:rPr>
          <w:rFonts w:ascii="Courier New" w:cs="Courier New" w:eastAsia="Courier New" w:hAnsi="Courier New"/>
          <w:sz w:val="15"/>
          <w:szCs w:val="15"/>
          <w:color w:val="auto"/>
        </w:rPr>
        <w:t>The telecommunications industry is being transformed by continued consolidation and the convergence of the telecommunications, broadband cable and satellite industries. Service providers are coping with the challenges of this consolidation trend and are also expected to offer new IP-based products and services with innovative business models. Competition among service providers is intensifying, a trend that increases the need for differentiation. We believe we have positioned ourselves to take advantage of these trends and to enable service providers to rapidly introduce new offerings, lower total cost of ownership and focus on their customers, which we believe drove our growth in the first quarter of fiscal 2006 and will continue to drive our growth in fiscal 2006.</w:t>
      </w:r>
    </w:p>
    <w:p>
      <w:pPr>
        <w:spacing w:after="0" w:line="180"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believe that demand for our ICM Enabling Systems is driven by, among other key factors:</w:t>
      </w:r>
    </w:p>
    <w:p>
      <w:pPr>
        <w:spacing w:after="0" w:line="167"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use of communications services,</w:t>
      </w:r>
    </w:p>
    <w:p>
      <w:pPr>
        <w:spacing w:after="0" w:line="172" w:lineRule="exact"/>
        <w:rPr>
          <w:rFonts w:ascii="Courier New" w:cs="Courier New" w:eastAsia="Courier New" w:hAnsi="Courier New"/>
          <w:sz w:val="15"/>
          <w:szCs w:val="15"/>
          <w:color w:val="auto"/>
        </w:rPr>
      </w:pPr>
    </w:p>
    <w:p>
      <w:pPr>
        <w:ind w:left="880" w:right="3499" w:hanging="433"/>
        <w:spacing w:after="0" w:line="256"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emergence of new communications products and services, especially video, broadband, data and content services and IP convergence services, such as Internet Protocol Television, or IPTV, Voice over IP, or VoIP and services based on IP Multimedia Subsystem systems,</w:t>
      </w:r>
    </w:p>
    <w:p>
      <w:pPr>
        <w:spacing w:after="0" w:line="164"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3G wireless technology, next-generation content systems, and WiFi and WiMax based access technologies,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consolidation within the communications industry,</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convergence of communications services, broadband cable and satellite industries,</w:t>
      </w:r>
    </w:p>
    <w:p>
      <w:pPr>
        <w:spacing w:after="0" w:line="173"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needs of communications service providers to reduce costs and retain high value customers in a highly competitive environment, and</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customers multiple service packages, commonly referred to as bundled or convergent services (combinations of voice, broadband, electronic and mobile commerce and IP services), and the ability of our ICM Enabling Systems to improve customer satisfaction, loyalty, profitability and overall productivity.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3" w:lineRule="exact"/>
        <w:rPr>
          <w:sz w:val="20"/>
          <w:szCs w:val="20"/>
          <w:color w:val="auto"/>
        </w:rPr>
      </w:pPr>
    </w:p>
    <w:p>
      <w:pPr>
        <w:ind w:left="880" w:right="375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licenses to use our products and related services, including modification, implementation and integration services,</w:t>
      </w:r>
    </w:p>
    <w:p>
      <w:pPr>
        <w:spacing w:after="0" w:line="173"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239"/>
        <w:spacing w:after="0" w:line="254" w:lineRule="auto"/>
        <w:rPr>
          <w:sz w:val="20"/>
          <w:szCs w:val="20"/>
          <w:color w:val="auto"/>
        </w:rPr>
      </w:pPr>
      <w:r>
        <w:rPr>
          <w:rFonts w:ascii="Courier New" w:cs="Courier New" w:eastAsia="Courier New" w:hAnsi="Courier New"/>
          <w:sz w:val="14"/>
          <w:szCs w:val="14"/>
          <w:color w:val="auto"/>
        </w:rPr>
        <w:t>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Revenue from Managed Services arrangements is included in both license and service revenue from the sale of ICM Enabling Systems and Directory Systems. Managed Services projects are a significant part of our business, generating substantial, long-term revenue streams, cash flow and operating income. Revenue from managed services customers was approximately 35% and 40% of our total revenue in the first quarters of fiscal 2006 and 2005, respectively.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term of the relationships.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Effective October 1, 2005, we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In March 2005, the U.S. Securities and Exchange Commission, or the SEC, issued Staff Accounting Bulletin No. 107 ("SAB 107"), which provides supplemental implementation guidance on SFAS 123(R). We have applied the provisions of SAB 107 in our adoption of SFAS 123(R). Prior to October 1, 2005 the Company accounted for share-based payments to employees under the recognition and measurement provisions of APB No. 25. Stock-based compensation expense recognized under SFAS 123(R) for the first quarter of fiscal 2006 was $11.1 million. Stock-based compensation expense recognized under APB No. 25 for the first quarter of fiscal 2005 was not material.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2005, there was $53.4 million of unrecognized compensation expense related to nonvested stock options and nonvested restricted stock awards. We recognize compensation costs using the graded vesting attribution method which results in a weighted average period of approximately one year over which the unrecognized compensation expense is expected to be recognized.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ind w:right="3319" w:firstLine="87"/>
        <w:spacing w:after="0" w:line="254" w:lineRule="auto"/>
        <w:rPr>
          <w:sz w:val="20"/>
          <w:szCs w:val="20"/>
          <w:color w:val="auto"/>
        </w:rPr>
      </w:pPr>
      <w:r>
        <w:rPr>
          <w:rFonts w:ascii="Courier New" w:cs="Courier New" w:eastAsia="Courier New" w:hAnsi="Courier New"/>
          <w:sz w:val="14"/>
          <w:szCs w:val="14"/>
          <w:color w:val="auto"/>
        </w:rPr>
        <w:t>We adopted SFAS 123(R) using the modified prospective method. Under this transition method, compensation costs recognized in the first quarter of fiscal 2006 include (a) compensation costs for all share based payments granted prior to, but not yet vested as of October 1, 2005, based on the grant date fair value estimated in accordance with the pro forma provisions of SFAS 123, and</w:t>
      </w:r>
    </w:p>
    <w:p>
      <w:pPr>
        <w:spacing w:after="0" w:line="2" w:lineRule="exact"/>
        <w:rPr>
          <w:sz w:val="20"/>
          <w:szCs w:val="20"/>
          <w:color w:val="auto"/>
        </w:rPr>
      </w:pPr>
    </w:p>
    <w:p>
      <w:pPr>
        <w:ind w:right="3239" w:firstLine="10"/>
        <w:spacing w:after="0" w:line="255"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costs for the share based payments granted subsequent to October 1, 2005, based on the grant date fair value estimated in accordance with SFAS 123(R). Our consolidated financial statements for prior periods have not been restated to reflect, and do not include, the impact of SFAS 123(R). We selected the Black-Scholes option pricing model as the most appropriate fair value method for our stock based awards and recognize compensation costs using the graded vesting attribution method that results in an accelerated recognition of compensation costs in comparison to the straight line method.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adoption of SFAS 123(R) on October 1, 2005, our income before income taxes and net income for the first quarter of fiscal 2006 (not including restricted stock expense), were $10.4 million and $9.1 million lower, respectively, than if we had continued to account for share based compensation under APB No. 25. Basic and diluted earnings per share for the first quarter of fiscal 2006 would have been $0.42 and $0.40, respectively, if we had not adopted SFAS 123(R), compared to reported basic and diluted earning per share of $0.38 and $0.36, respectively.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the adoption of SFAS 123(R), we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$0.61 million excess tax benefit classified as financing cash inflows would have been classified as an operating cash inflow if the Company had not adopted SFAS 123(R).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conjunction with the adoption of SFAS 123(R), we began to use the implied volatility of the Company's traded options as the expected volatility assumption required in the Black-Scholes option valuation model. Prior to October 1, 2005, we had used our historical stock price volatility in accordance with SFAS 123 for purpose of presenting pro forma information. The selection of the implied volatility approach was based upon the availability of actively traded options on the Company's shares and the Company's assessment that implied volatility is more representative of future share price trends than historical volatility. As stock-based compensation expense recognized in the Consolidated Statement of Operations for the first quarter of fiscal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we accounted for forfeitures as they occurred.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three months ended December 31, 2005 and 2004 certain items in our consolidated statements of income reflected as a percentage of total revenue: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2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2005</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License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Service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license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service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62.8</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42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administrative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Amortization of purchased intangible assets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85.9</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income and other, net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44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5" w:name="page26"/>
    <w:bookmarkEnd w:id="25"/>
    <w:p>
      <w:pPr>
        <w:ind w:left="440"/>
        <w:spacing w:after="0"/>
        <w:rPr>
          <w:sz w:val="20"/>
          <w:szCs w:val="20"/>
          <w:color w:val="auto"/>
        </w:rPr>
      </w:pPr>
      <w:r>
        <w:rPr>
          <w:rFonts w:ascii="Courier New" w:cs="Courier New" w:eastAsia="Courier New" w:hAnsi="Courier New"/>
          <w:sz w:val="15"/>
          <w:szCs w:val="15"/>
          <w:color w:val="auto"/>
        </w:rPr>
        <w:t>THREE MONTHS ENDED DECEMBER 31, 2005 AND 2004</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December 31, 2005 compared to the three months ended December 31, 2004. Following the table is a discussion and analysis of our business and results of operations for the mentioned periods.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4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DECEMBER 31,</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INCREASE (DECREASE)</w:t>
            </w:r>
          </w:p>
        </w:tc>
      </w:tr>
      <w:tr>
        <w:trPr>
          <w:trHeight w:val="168"/>
        </w:trPr>
        <w:tc>
          <w:tcPr>
            <w:tcW w:w="3020" w:type="dxa"/>
            <w:vAlign w:val="bottom"/>
          </w:tcPr>
          <w:p>
            <w:pPr>
              <w:spacing w:after="0"/>
              <w:rPr>
                <w:sz w:val="14"/>
                <w:szCs w:val="14"/>
                <w:color w:val="auto"/>
              </w:rPr>
            </w:pPr>
          </w:p>
        </w:tc>
        <w:tc>
          <w:tcPr>
            <w:tcW w:w="24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2005</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License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$ 31,661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$ 20,366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$ 11,295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Service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555,367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449,166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106,201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587,028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469,532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117,496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license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service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374,051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294,947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79,104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43,114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32,911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administrative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78,550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54,960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23,590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w:t>
            </w: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purchased</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7,572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3,718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504,349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387,691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116,658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Operating income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82,679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81,841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Interest income and other, net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4,959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Income before income taxes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91,093</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86,800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Income taxes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17,357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$ 75,334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$ 69,443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5,891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0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REVENUE. Total revenue increased by $117.5 million, or 25.0%, in the first quarter of fiscal 2006 to $587.0 million from $469.5 million in the first quarter of fiscal 2005. Approximately $57.2 million of the increase was attributable to revenue contributed by DST Innovis, and the remainder was attributable to additional revenue from existing and new customers.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License and service revenue attributable to the sale of ICM Enabling Systems was $518.9 million in the first quarter of fiscal 2006, an increase of $111.4 million, or 27.3%, over the first quarter of fiscal 2005. Approximately $57.2 million of the increase was attributable to revenue contributed by DST Innovis, and the remainder was attributable to additional revenue from existing and new customers. License and service revenue resulted from the sale of ICM Enabling Systems represented 88.4% and 86.8% of our total revenue in the first quarters of fiscal 2006 and 2005, respectively. The demand for our ICM Enabling Systems is primarily driven by the need for communications service provides to continue to integrate their billing, CRM and order management systems into an ICM approach. In the first quarter of fiscal 2006, we observed strong demand for our offerings.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License and service revenue resulted from the sale of Directory Systems was $68.1 million in the first quarter of fiscal 2006, an increase of $6.1 million, or 9.9 %, over the first quarter of fiscal 2005. The increase in Directory Systems revenue in the first quarter of fiscal 2006 was attributable to an increase in business related to Managed Services customers. License and service revenue from the sale of Directory Systems represented 11.6% and 13.2% of our total revenue in the first quarters of fiscal 2006 and 2005, respectively. We believe that we are a leading provider of Directory Systems in most of the markets we serve. We expect that our revenue from Directory Systems in absolute amount will slightly increase in fiscal 2006.</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the first quarter of fiscal 2006, revenue from customers in North America, Europe and the rest of the world accounted for 73.1%, 18.4% and 8.5%, respectively, of total revenue compared to 67.9%, 23.4%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6" w:name="page27"/>
    <w:bookmarkEnd w:id="26"/>
    <w:p>
      <w:pPr>
        <w:ind w:right="3239"/>
        <w:spacing w:after="0" w:line="255" w:lineRule="auto"/>
        <w:rPr>
          <w:sz w:val="20"/>
          <w:szCs w:val="20"/>
          <w:color w:val="auto"/>
        </w:rPr>
      </w:pPr>
      <w:r>
        <w:rPr>
          <w:rFonts w:ascii="Courier New" w:cs="Courier New" w:eastAsia="Courier New" w:hAnsi="Courier New"/>
          <w:sz w:val="14"/>
          <w:szCs w:val="14"/>
          <w:color w:val="auto"/>
        </w:rPr>
        <w:t>8.7%, respectively, in the first quarter of fiscal 2005. Approximately 50% of the increase in revenue from customers in North America was attributable to revenues contributed by DST Innovis, and the remainder was attributable to additional revenue from existing and new customers. Revenue from customers in Europe in the first quarter of fiscal 2006, in absolute amounts, was relatively stable compared to the first quarter of fiscal 2005, and this resulted in a decrease in revenue from customers in Europe as a percentage of total revenue. Revenue from customers in the rest of the world increased in absolute amounts in the first quarter of fiscal 2006, but the increase was less than the 25.0% increase in our total revenue which resulted in a decrease in revenue from customers in the rest of the world as a percentage of total revenue.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first quarter of fiscal 2006, cost of license, as a percentage of license revenue, was 3.4%, compared to 5.7% in the first quarter of fiscal 2005.</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 OF SERVICE. The increase in cost of service in the first quarter of fiscal 2006 was 26.8%, which is greater than the increase in our total revenue in the first quarter of fiscal 2006. As a percentage of revenue cost of service was 63.7% in the first quarter of fiscal 2006, compared to 62.8% in the first quarter of fiscal 2005. Cost of service in the first quarter of fiscal 2006 includes the effect of $4.4 million of stock-based compensation expense related to employee stock options, and there was no stock-based compensation expense related to employee stock options in the first quarter of fiscal 2005. Our cost of service and gross margin may vary depending on the types and geographic locations of projects that we undertake.</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Research and development expense increased by $10.2 million, or 31.0%, in the first quarter of fiscal 2006 to $43.1 million from $32.9 million in the first quarter of fiscal 2005. Research and development expense increased as a percentage of revenue from 7.0% in the first quarter of fiscal 2005 to 7.3% in the first quarter of fiscal 2006. The increase in research and development expenses was attributable mainly to research and development activities related to the DST Innovis acquisition, including integration efforts of DST Innovis' products into our ICM Enabling Systems. Research and development in the first quarter of fiscal 2006 includes the effect of $1.1 million of stock-based compensation expense related to employee stock options, and there was no stock-based compensation expense related to employee stock options in the first quarter of fiscal 2005.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$23.6 million, or 42.9%, in first quarter of fiscal 2006 to $78.6 million, from $55.0 million in the first quarter of fiscal 2005. Selling, general and administrative expense is primarily comprised of compensation expense. The increase in selling, general and administrative expense in the first quarter of fiscal 2006 was attributable to an overall increase in our operations and sales fees, as well as to the inclusion of $5.7 million of stock-based compensation expense related to employee stock options. There was no stock-based compensation expense related to employee stock options in the first quarter of fiscal 2005.</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first quarter of fiscal 2006 was $7.6 million, compared to $3.7 million in the first quarter of fiscal 2005. The increase in amortization of purchased intangible assets was due to purchased intangible assets acquired in the DST Innovis and Longshine acquisitions, partially offset by purchased intangible assets that were fully amortized in the first quarter of fiscal 2005.</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INCOME. Operating income slightly increased by $0.8 million, or 1.0%, in the first quarter of fiscal 2006, to $82.7 million, or 14.1% of revenue, from $81.8 million, or 17.4% of revenue, in the first quarter of fiscal 2005. The decrease in operating income as a percentage of revenue was attributable to a 30.0% increase in operating expense which grew at a greater rate than the 25.0% increase in revenue during the first quarter of fiscal 2006. Total compensation expense related to employee stock options included in operating expense for the first quarter of fiscal 2006 was $11.1 million or 1.9% of revenue.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7" w:name="page28"/>
    <w:bookmarkEnd w:id="27"/>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AND OTHER, NET. Interest income and other, net increased by $3.4 million in the first quarter of fiscal 2006 to $8.4 million from $5.0 million in the first quarter of fiscal 2005. The increase in interest income and other, net, is primarily attributable to the increase in market interest rates on our short-term interest-bearing investments.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INCOME TAXES. Income taxes for the first quarter of fiscal 2006 were $15.8 million on pretax income of $91.1 million, an effective tax rate of 17.3% compared to 20.0% in the first quarter of fiscal 2005. Our effective tax rate for fiscal year 2006 is expected to be approximately 17% on an annualized basis compared to 20% in fiscal year 2005. Approximately 2% of the reduction in our effective tax rate is attributable to our continued expansion into countries with lower effective tax rates and approximately 1% is attributable to the effect of acquisition-related costs and stock based compensation expense. Our effective tax rate may fluctuate between quarters as a result of discrete items that may affect a specific quarter.</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NET INCOME. Net income was $75.3 million in the first quarter of fiscal 2006, compared to a net income of $69.4 million in the first quarter of fiscal 2005. The increase in net income is attributable to the increase in interest income and other, net, and the decrease of our effective tax rate during the first quarter of fiscal 2006.</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increased by $0.04, or 12.5%, in the first quarter of fiscal 2006 to $0.36 from $0.32 in the first quarter of fiscal 2005. The increase in diluted earnings per share resulted from the increase in net income and from the reduction in diluted weighted average number of shares outstanding due to our share repurchases during fiscal 2005, partially offset by stock options exercises. The adoption of SFAS 123(R) with respect to share based payments to employees had the effect of reducing diluted earnings per share by $0.04 in the first quarter of fiscal 2006.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Cash, cash equivalents and short-term interest-bearing investments totaled $1,220.9 million as of December 31, 2005, compared to $1,145.6 million as of September 30, 2005. The increase is mainly attributable to positive cash flows from operations. Net cash provided by operating activities amounted to $83.5 million and $83.0 million for the first quarters of fiscal 2006 and 2005, respectively.</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2005, $450.0 million and $0.3 million aggregate principal amount of our 0.50% Notes and 2% Notes were outstanding, respectively. As of December 31, 2005, we had available short-term general revolving lines of credit totaling $31.0 million, pursuant to which $1.0 million of loans were outstanding, and outstanding letters of credit and bank guarantees from various banks totaling $16.5 million. As of December 31, 2005, we had outstanding a short term loan of $1.7 million secured by specified pledges and guaranties and outstanding long-term obligations of $1.8 million in connection with leasing arrangements.</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have contractual obligations for our convertible notes, financing arrangements, capital leases and non-cancelable operating leases that were summarized in a table of contractual obligations in our Annual Report on Form 20-F for fiscal 2005. Since September 30, 2005, there have been no material changes in contractual obligations outside the ordinary course of our business.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capital expenditures were approximately $14.1 million in the first quarter of fiscal 2006. Approximately 90% of these expenditures consisted of purchases of computer equipment, and the remainder to leasehold improvements. We funded our capital expenditures principally from operating cash flows. We do not anticipate any changes to this policy in the foreseeable future.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CURRENCY FLUCTUATIONS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first quarter of fiscal 2006, approximately 75% of our revenue and approximately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ITEM 2. REPORTS ON FORM 6-K</w:t>
      </w:r>
    </w:p>
    <w:p>
      <w:pPr>
        <w:spacing w:after="0" w:line="166"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or filed the following reports on Form 6-K during the three months ended December 31, 2005:</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October 31, 2005.</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November 10, 2005.</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19, 2005.</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23, 2005.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1" w:name="page32"/>
    <w:bookmarkEnd w:id="3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Thomas G. O'Brien</w:t>
      </w:r>
    </w:p>
    <w:p>
      <w:pPr>
        <w:ind w:left="3500"/>
        <w:spacing w:after="0" w:line="237" w:lineRule="auto"/>
        <w:rPr>
          <w:sz w:val="20"/>
          <w:szCs w:val="20"/>
          <w:color w:val="auto"/>
        </w:rPr>
      </w:pPr>
      <w:r>
        <w:rPr>
          <w:rFonts w:ascii="Courier New" w:cs="Courier New" w:eastAsia="Courier New" w:hAnsi="Courier New"/>
          <w:sz w:val="15"/>
          <w:szCs w:val="15"/>
          <w:color w:val="auto"/>
        </w:rPr>
        <w:t>Treasurer and Secretary</w:t>
      </w:r>
    </w:p>
    <w:p>
      <w:pPr>
        <w:ind w:left="3500"/>
        <w:spacing w:after="0" w:line="238" w:lineRule="auto"/>
        <w:rPr>
          <w:sz w:val="20"/>
          <w:szCs w:val="20"/>
          <w:color w:val="auto"/>
        </w:rPr>
      </w:pPr>
      <w:r>
        <w:rPr>
          <w:rFonts w:ascii="Courier New" w:cs="Courier New" w:eastAsia="Courier New" w:hAnsi="Courier New"/>
          <w:sz w:val="15"/>
          <w:szCs w:val="15"/>
          <w:color w:val="auto"/>
        </w:rPr>
        <w:t>Authorized U.S. Representative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15, 2005</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2019-12-14T20:55:42Z</dcterms:created>
  <dcterms:modified xsi:type="dcterms:W3CDTF">2019-12-14T20:55:42Z</dcterms:modified>
</cp:coreProperties>
</file>