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PROSPECTUS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Filed Pursuant to Rule 424 (b)(3)</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No. 333-114344</w:t>
      </w:r>
    </w:p>
    <w:p>
      <w:pPr>
        <w:spacing w:after="0" w:line="200" w:lineRule="exact"/>
        <w:rPr>
          <w:sz w:val="24"/>
          <w:szCs w:val="24"/>
          <w:color w:val="auto"/>
        </w:rPr>
      </w:pPr>
    </w:p>
    <w:p>
      <w:pPr>
        <w:sectPr>
          <w:pgSz w:w="11900" w:h="16838" w:orient="portrait"/>
          <w:cols w:equalWidth="0" w:num="2">
            <w:col w:w="3360" w:space="720"/>
            <w:col w:w="6159"/>
          </w:cols>
          <w:pgMar w:left="220" w:top="538" w:right="1440" w:bottom="1440" w:gutter="0" w:footer="0" w:header="0"/>
        </w:sectPr>
      </w:pPr>
    </w:p>
    <w:p>
      <w:pPr>
        <w:spacing w:after="0" w:line="116"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$450,000,000</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0.50% CONVERTIBLE SENIOR NOTES DUE 2024</w:t>
      </w:r>
    </w:p>
    <w:p>
      <w:pPr>
        <w:sectPr>
          <w:pgSz w:w="11900" w:h="16838" w:orient="portrait"/>
          <w:cols w:equalWidth="0" w:num="1">
            <w:col w:w="10239"/>
          </w:cols>
          <w:pgMar w:left="220" w:top="538" w:right="1440" w:bottom="1440" w:gutter="0" w:footer="0" w:header="0"/>
          <w:type w:val="continuous"/>
        </w:sectPr>
      </w:pPr>
    </w:p>
    <w:p>
      <w:pPr>
        <w:spacing w:after="0" w:line="86"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10,435,995 ORDINARY SHARES ISSUABLE UPON CONVERSION OF THE NOTES</w:t>
      </w:r>
    </w:p>
    <w:p>
      <w:pPr>
        <w:spacing w:after="0" w:line="9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48" w:lineRule="exact"/>
        <w:rPr>
          <w:sz w:val="24"/>
          <w:szCs w:val="24"/>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68" w:lineRule="exact"/>
        <w:rPr>
          <w:sz w:val="24"/>
          <w:szCs w:val="24"/>
          <w:color w:val="auto"/>
        </w:rPr>
      </w:pPr>
    </w:p>
    <w:p>
      <w:pPr>
        <w:ind w:right="3279" w:firstLine="781"/>
        <w:spacing w:after="0" w:line="378" w:lineRule="auto"/>
        <w:rPr>
          <w:sz w:val="20"/>
          <w:szCs w:val="20"/>
          <w:color w:val="auto"/>
        </w:rPr>
      </w:pPr>
      <w:r>
        <w:rPr>
          <w:rFonts w:ascii="Courier New" w:cs="Courier New" w:eastAsia="Courier New" w:hAnsi="Courier New"/>
          <w:sz w:val="14"/>
          <w:szCs w:val="14"/>
          <w:color w:val="auto"/>
        </w:rPr>
        <w:t>Holders may convert each note for a number of ordinary shares, which we refer to as the conversion rate, as follows:</w:t>
      </w:r>
    </w:p>
    <w:p>
      <w:pPr>
        <w:spacing w:after="0" w:line="1" w:lineRule="exact"/>
        <w:rPr>
          <w:sz w:val="24"/>
          <w:szCs w:val="24"/>
          <w:color w:val="auto"/>
        </w:rPr>
      </w:pPr>
    </w:p>
    <w:p>
      <w:pPr>
        <w:ind w:left="1220" w:right="3279" w:hanging="430"/>
        <w:spacing w:after="0" w:line="280"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43" w:lineRule="exact"/>
        <w:rPr>
          <w:rFonts w:ascii="Courier New" w:cs="Courier New" w:eastAsia="Courier New" w:hAnsi="Courier New"/>
          <w:sz w:val="14"/>
          <w:szCs w:val="14"/>
          <w:color w:val="auto"/>
        </w:rPr>
      </w:pPr>
    </w:p>
    <w:p>
      <w:pPr>
        <w:ind w:left="1220" w:right="3279" w:hanging="430"/>
        <w:spacing w:after="0" w:line="378"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w:t>
      </w:r>
    </w:p>
    <w:p>
      <w:pPr>
        <w:spacing w:after="0" w:line="1" w:lineRule="exact"/>
        <w:rPr>
          <w:rFonts w:ascii="Courier New" w:cs="Courier New" w:eastAsia="Courier New" w:hAnsi="Courier New"/>
          <w:sz w:val="14"/>
          <w:szCs w:val="14"/>
          <w:color w:val="auto"/>
        </w:rPr>
      </w:pPr>
    </w:p>
    <w:p>
      <w:pPr>
        <w:ind w:left="1220" w:right="3279" w:hanging="430"/>
        <w:spacing w:after="0" w:line="267"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71"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75" w:lineRule="exact"/>
        <w:rPr>
          <w:rFonts w:ascii="Courier New" w:cs="Courier New" w:eastAsia="Courier New" w:hAnsi="Courier New"/>
          <w:sz w:val="14"/>
          <w:szCs w:val="14"/>
          <w:color w:val="auto"/>
        </w:rPr>
      </w:pPr>
    </w:p>
    <w:p>
      <w:pPr>
        <w:ind w:left="1220" w:right="3379" w:hanging="430"/>
        <w:spacing w:after="0" w:line="317"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39" w:lineRule="exact"/>
        <w:rPr>
          <w:sz w:val="24"/>
          <w:szCs w:val="24"/>
          <w:color w:val="auto"/>
        </w:rPr>
      </w:pPr>
    </w:p>
    <w:p>
      <w:pPr>
        <w:ind w:right="3279" w:firstLine="781"/>
        <w:spacing w:after="0" w:line="275" w:lineRule="auto"/>
        <w:rPr>
          <w:sz w:val="20"/>
          <w:szCs w:val="20"/>
          <w:color w:val="auto"/>
        </w:rPr>
      </w:pPr>
      <w:r>
        <w:rPr>
          <w:rFonts w:ascii="Courier New" w:cs="Courier New" w:eastAsia="Courier New" w:hAnsi="Courier New"/>
          <w:sz w:val="14"/>
          <w:szCs w:val="14"/>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ectPr>
          <w:pgSz w:w="11900" w:h="16838" w:orient="portrait"/>
          <w:cols w:equalWidth="0" w:num="1">
            <w:col w:w="10239"/>
          </w:cols>
          <w:pgMar w:left="220" w:top="538" w:right="1440" w:bottom="1440" w:gutter="0" w:footer="0" w:header="0"/>
          <w:type w:val="continuous"/>
        </w:sectPr>
      </w:pPr>
    </w:p>
    <w:bookmarkStart w:id="1" w:name="page2"/>
    <w:bookmarkEnd w:id="1"/>
    <w:p>
      <w:pPr>
        <w:ind w:right="3279" w:firstLine="781"/>
        <w:spacing w:after="0" w:line="295"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22"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Our ordinary shares are traded on the New York Stock Exchange under the symbol "DOX." On November 15, 2004, the closing sale price of our ordinary shares on the New York Stock Exchange was $26.78 per share. You are urged to obtain current market quotations for our ordinary shares.</w:t>
      </w:r>
    </w:p>
    <w:p>
      <w:pPr>
        <w:spacing w:after="0" w:line="222" w:lineRule="exact"/>
        <w:rPr>
          <w:sz w:val="20"/>
          <w:szCs w:val="20"/>
          <w:color w:val="auto"/>
        </w:rPr>
      </w:pPr>
    </w:p>
    <w:p>
      <w:pPr>
        <w:ind w:right="3799" w:firstLine="781"/>
        <w:spacing w:after="0" w:line="378" w:lineRule="auto"/>
        <w:rPr>
          <w:sz w:val="20"/>
          <w:szCs w:val="20"/>
          <w:color w:val="auto"/>
        </w:rPr>
      </w:pPr>
      <w:r>
        <w:rPr>
          <w:rFonts w:ascii="Courier New" w:cs="Courier New" w:eastAsia="Courier New" w:hAnsi="Courier New"/>
          <w:sz w:val="14"/>
          <w:szCs w:val="14"/>
          <w:color w:val="auto"/>
        </w:rPr>
        <w:t>For a more detailed description of the notes, see "Description of Notes" beginning on page 25.</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"RISK FACTORS" BEGINNING ON PAGE 9 TO READ ABOUT FACTORS YOU SHOULD CONSIDER</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BEFORE INVESTING IN THE NOTES OR OUR ORDINARY SHARES.</w:t>
      </w:r>
    </w:p>
    <w:p>
      <w:pPr>
        <w:spacing w:after="0" w:line="149"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NEITHER THE SECURITIES AND EXCHANGE COMMISSION NOR ANY STATE SECURITIES</w:t>
      </w:r>
    </w:p>
    <w:p>
      <w:pPr>
        <w:spacing w:after="0" w:line="34" w:lineRule="exact"/>
        <w:rPr>
          <w:sz w:val="20"/>
          <w:szCs w:val="20"/>
          <w:color w:val="auto"/>
        </w:rPr>
      </w:pPr>
    </w:p>
    <w:p>
      <w:pPr>
        <w:jc w:val="center"/>
        <w:ind w:right="3279"/>
        <w:spacing w:after="0" w:line="297" w:lineRule="auto"/>
        <w:rPr>
          <w:sz w:val="20"/>
          <w:szCs w:val="20"/>
          <w:color w:val="auto"/>
        </w:rPr>
      </w:pPr>
      <w:r>
        <w:rPr>
          <w:rFonts w:ascii="Courier New" w:cs="Courier New" w:eastAsia="Courier New" w:hAnsi="Courier New"/>
          <w:sz w:val="14"/>
          <w:szCs w:val="14"/>
          <w:color w:val="auto"/>
        </w:rPr>
        <w:t>COMMISSION HAS APPROVED OR DISAPPROVED OF THESE SECURITIES OR DETERMINED IF THIS PROSPECTUS IS TRUTHFUL OR COMPLETE. ANY REPRESENTATION TO THE CONTRARY IS A CRIMINAL OFFENSE.</w:t>
      </w:r>
    </w:p>
    <w:p>
      <w:pPr>
        <w:spacing w:after="0" w:line="5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THE DATE OF THIS PROSPECTUS IS NOVEMBER 22, 2004.</w:t>
      </w:r>
    </w:p>
    <w:p>
      <w:pPr>
        <w:sectPr>
          <w:pgSz w:w="11900" w:h="16838" w:orient="portrait"/>
          <w:cols w:equalWidth="0" w:num="1">
            <w:col w:w="10239"/>
          </w:cols>
          <w:pgMar w:left="220" w:top="594" w:right="1440" w:bottom="1440" w:gutter="0" w:footer="0" w:header="0"/>
        </w:sectPr>
      </w:pPr>
    </w:p>
    <w:bookmarkStart w:id="2" w:name="page3"/>
    <w:bookmarkEnd w:id="2"/>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PAGE</w:t>
      </w:r>
    </w:p>
    <w:p>
      <w:pPr>
        <w:spacing w:after="0" w:line="3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34"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THE OFFERING</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SUMMARY HISTORICAL CONSOLIDATED FINANCIAL INFORMATION</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RATIO OF EARNINGS TO FIXED CHARGES</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SPECIAL NOTE REGARDING FORWARD-LOOKING INFORMATION</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OFFERING STATISTICS AND TIMETABLE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REASONS FOR THE OFFER AND USE OF PROCEEDS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MATERIAL CHANGES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THE OFFER AND LISTING</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NOTES</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SHARE CAPITAL</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COMPARISON OF UNITED STATES AND GUERNSEY CORPORATE LAW</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UNITED STATES FEDERAL INCOME TAX CONSIDERATIONS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GUERNSEY TAX CONSIDERATIONS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SELLING SECURITYHOLDERS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VOTING/INVESTMENT CONTROL TABLE</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ENFORCEABILITY OF CIVIL LIABILITIES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INCORPORATION OF DOCUMENTS BY REFERENCE</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CONSOLIDATED FINANCIAL STATEMENTS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77</w:t>
      </w:r>
    </w:p>
    <w:p>
      <w:pPr>
        <w:spacing w:after="0" w:line="316"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23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594" w:right="1440" w:bottom="1440" w:gutter="0" w:footer="0" w:header="0"/>
        </w:sectPr>
      </w:pPr>
    </w:p>
    <w:bookmarkStart w:id="3" w:name="page4"/>
    <w:bookmarkEnd w:id="3"/>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6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72"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83" w:lineRule="exact"/>
        <w:rPr>
          <w:sz w:val="20"/>
          <w:szCs w:val="20"/>
          <w:color w:val="auto"/>
        </w:rPr>
      </w:pPr>
    </w:p>
    <w:p>
      <w:pPr>
        <w:ind w:right="3459" w:firstLine="781"/>
        <w:spacing w:after="0" w:line="268"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242" w:lineRule="exact"/>
        <w:rPr>
          <w:sz w:val="20"/>
          <w:szCs w:val="20"/>
          <w:color w:val="auto"/>
        </w:rPr>
      </w:pPr>
    </w:p>
    <w:p>
      <w:pPr>
        <w:jc w:val="both"/>
        <w:ind w:right="3979" w:firstLine="781"/>
        <w:spacing w:after="0" w:line="295" w:lineRule="auto"/>
        <w:rPr>
          <w:sz w:val="20"/>
          <w:szCs w:val="20"/>
          <w:color w:val="auto"/>
        </w:rPr>
      </w:pPr>
      <w:r>
        <w:rPr>
          <w:rFonts w:ascii="Courier New" w:cs="Courier New" w:eastAsia="Courier New" w:hAnsi="Courier New"/>
          <w:sz w:val="14"/>
          <w:szCs w:val="14"/>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222" w:lineRule="exact"/>
        <w:rPr>
          <w:sz w:val="20"/>
          <w:szCs w:val="20"/>
          <w:color w:val="auto"/>
        </w:rPr>
      </w:pPr>
    </w:p>
    <w:p>
      <w:pPr>
        <w:ind w:left="1220" w:right="3379" w:hanging="430"/>
        <w:spacing w:after="0" w:line="269"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246" w:lineRule="exact"/>
        <w:rPr>
          <w:rFonts w:ascii="Courier New" w:cs="Courier New" w:eastAsia="Courier New" w:hAnsi="Courier New"/>
          <w:sz w:val="14"/>
          <w:szCs w:val="14"/>
          <w:color w:val="auto"/>
        </w:rPr>
      </w:pPr>
    </w:p>
    <w:p>
      <w:pPr>
        <w:ind w:left="1220" w:right="3539" w:hanging="430"/>
        <w:spacing w:after="0" w:line="285"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w:t>
      </w:r>
    </w:p>
    <w:p>
      <w:pPr>
        <w:spacing w:after="0" w:line="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594" w:right="1440" w:bottom="1440" w:gutter="0" w:footer="0" w:header="0"/>
        </w:sectPr>
      </w:pPr>
    </w:p>
    <w:bookmarkStart w:id="4" w:name="page5"/>
    <w:bookmarkEnd w:id="4"/>
    <w:p>
      <w:pPr>
        <w:ind w:left="1220" w:right="3279"/>
        <w:spacing w:after="0" w:line="274" w:lineRule="auto"/>
        <w:rPr>
          <w:sz w:val="20"/>
          <w:szCs w:val="20"/>
          <w:color w:val="auto"/>
        </w:rPr>
      </w:pPr>
      <w:r>
        <w:rPr>
          <w:rFonts w:ascii="Courier New" w:cs="Courier New" w:eastAsia="Courier New" w:hAnsi="Courier New"/>
          <w:sz w:val="14"/>
          <w:szCs w:val="14"/>
          <w:color w:val="auto"/>
        </w:rPr>
        <w:t>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68" w:lineRule="exact"/>
        <w:rPr>
          <w:sz w:val="20"/>
          <w:szCs w:val="20"/>
          <w:color w:val="auto"/>
        </w:rPr>
      </w:pPr>
    </w:p>
    <w:p>
      <w:pPr>
        <w:ind w:left="1220" w:right="3279" w:hanging="430"/>
        <w:spacing w:after="0" w:line="274"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67" w:lineRule="exact"/>
        <w:rPr>
          <w:rFonts w:ascii="Courier New" w:cs="Courier New" w:eastAsia="Courier New" w:hAnsi="Courier New"/>
          <w:sz w:val="14"/>
          <w:szCs w:val="14"/>
          <w:color w:val="auto"/>
        </w:rPr>
      </w:pPr>
    </w:p>
    <w:p>
      <w:pPr>
        <w:ind w:left="1220" w:right="3279" w:hanging="430"/>
        <w:spacing w:after="0" w:line="265"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76" w:lineRule="exact"/>
        <w:rPr>
          <w:rFonts w:ascii="Courier New" w:cs="Courier New" w:eastAsia="Courier New" w:hAnsi="Courier New"/>
          <w:sz w:val="14"/>
          <w:szCs w:val="14"/>
          <w:color w:val="auto"/>
        </w:rPr>
      </w:pPr>
    </w:p>
    <w:p>
      <w:pPr>
        <w:ind w:left="1220" w:right="3379" w:hanging="430"/>
        <w:spacing w:after="0" w:line="265"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77"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5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RECENT DEVELOPMENTS</w:t>
      </w:r>
    </w:p>
    <w:p>
      <w:pPr>
        <w:spacing w:after="0" w:line="17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 As of April 30, 2004, there was $395.5 million aggregate principal amount of notes outstanding.</w:t>
      </w:r>
    </w:p>
    <w:p>
      <w:pPr>
        <w:spacing w:after="0" w:line="75"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235"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we repurchased approximately 4.9 million ordinary shares, at an average price of $20.40 per share.</w:t>
      </w:r>
    </w:p>
    <w:p>
      <w:pPr>
        <w:spacing w:after="0" w:line="400"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On November 3, 2004, we announced our financial results for the quarter ended September 30, 2004. For the quarter ended September 30, 2004, our revenue was $452.5 million. Our net income for the quarter ended September 30, 2004 was $61.6 million. In the fiscal year ended September 30, 2004, revenue was $1.774 billion. Our net income for the fiscal year ended September 30, 2004 was $234.9 million.</w:t>
      </w:r>
    </w:p>
    <w:p>
      <w:pPr>
        <w:spacing w:after="0" w:line="23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94" w:right="1440" w:bottom="0" w:gutter="0" w:footer="0" w:header="0"/>
        </w:sectPr>
      </w:pPr>
    </w:p>
    <w:bookmarkStart w:id="5" w:name="page6"/>
    <w:bookmarkEnd w:id="5"/>
    <w:p>
      <w:pPr>
        <w:ind w:right="3279" w:firstLine="781"/>
        <w:spacing w:after="0" w:line="378" w:lineRule="auto"/>
        <w:rPr>
          <w:sz w:val="20"/>
          <w:szCs w:val="20"/>
          <w:color w:val="auto"/>
        </w:rPr>
      </w:pPr>
      <w:r>
        <w:rPr>
          <w:rFonts w:ascii="Courier New" w:cs="Courier New" w:eastAsia="Courier New" w:hAnsi="Courier New"/>
          <w:sz w:val="14"/>
          <w:szCs w:val="14"/>
          <w:color w:val="auto"/>
        </w:rPr>
        <w:t>Unless the context otherwise requires, references in this prospectus to "Amdocs," "we," "us," and "our" refer to Amdocs Limited and its subsidiaries.</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15" w:right="1440" w:bottom="1440" w:gutter="0" w:footer="0" w:header="0"/>
        </w:sectPr>
      </w:pPr>
    </w:p>
    <w:bookmarkStart w:id="6" w:name="page7"/>
    <w:bookmarkEnd w:id="6"/>
    <w:p>
      <w:pPr>
        <w:jc w:val="center"/>
        <w:ind w:right="3279"/>
        <w:spacing w:after="0"/>
        <w:rPr>
          <w:sz w:val="20"/>
          <w:szCs w:val="20"/>
          <w:color w:val="auto"/>
        </w:rPr>
      </w:pPr>
      <w:r>
        <w:rPr>
          <w:rFonts w:ascii="Courier New" w:cs="Courier New" w:eastAsia="Courier New" w:hAnsi="Courier New"/>
          <w:sz w:val="14"/>
          <w:szCs w:val="14"/>
          <w:color w:val="auto"/>
        </w:rPr>
        <w:t>THE OFFERING</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Issuer ................</w:t>
      </w:r>
      <w:r>
        <w:rPr>
          <w:sz w:val="20"/>
          <w:szCs w:val="20"/>
          <w:color w:val="auto"/>
        </w:rPr>
        <w:tab/>
      </w:r>
      <w:r>
        <w:rPr>
          <w:rFonts w:ascii="Courier New" w:cs="Courier New" w:eastAsia="Courier New" w:hAnsi="Courier New"/>
          <w:sz w:val="14"/>
          <w:szCs w:val="14"/>
          <w:color w:val="auto"/>
        </w:rPr>
        <w:t>Amdocs Limited, a company organized under the laws of</w:t>
      </w:r>
    </w:p>
    <w:p>
      <w:pPr>
        <w:spacing w:after="0" w:line="3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Island of Guernsey.</w:t>
      </w:r>
    </w:p>
    <w:p>
      <w:pPr>
        <w:spacing w:after="0" w:line="149"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Securities Offered ....</w:t>
      </w:r>
      <w:r>
        <w:rPr>
          <w:sz w:val="20"/>
          <w:szCs w:val="20"/>
          <w:color w:val="auto"/>
        </w:rPr>
        <w:tab/>
      </w:r>
      <w:r>
        <w:rPr>
          <w:rFonts w:ascii="Courier New" w:cs="Courier New" w:eastAsia="Courier New" w:hAnsi="Courier New"/>
          <w:sz w:val="14"/>
          <w:szCs w:val="14"/>
          <w:color w:val="auto"/>
        </w:rPr>
        <w:t>$450.0 million principal amount of 0.50% Convertible</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Senior Notes due 2024 and 10,435,995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issuable upon conversion of the notes.</w:t>
      </w:r>
    </w:p>
    <w:p>
      <w:pPr>
        <w:spacing w:after="0" w:line="149"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Maturity Date .........</w:t>
      </w:r>
      <w:r>
        <w:rPr>
          <w:sz w:val="20"/>
          <w:szCs w:val="20"/>
          <w:color w:val="auto"/>
        </w:rPr>
        <w:tab/>
      </w:r>
      <w:r>
        <w:rPr>
          <w:rFonts w:ascii="Courier New" w:cs="Courier New" w:eastAsia="Courier New" w:hAnsi="Courier New"/>
          <w:sz w:val="14"/>
          <w:szCs w:val="14"/>
          <w:color w:val="auto"/>
        </w:rPr>
        <w:t>March 15, 2024, unless earlier converted, redeemed or</w:t>
      </w:r>
    </w:p>
    <w:p>
      <w:pPr>
        <w:spacing w:after="0" w:line="34"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repurchased.</w:t>
      </w:r>
    </w:p>
    <w:p>
      <w:pPr>
        <w:spacing w:after="0" w:line="149"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Ranking ...............</w:t>
      </w:r>
      <w:r>
        <w:rPr>
          <w:sz w:val="20"/>
          <w:szCs w:val="20"/>
          <w:color w:val="auto"/>
        </w:rPr>
        <w:tab/>
      </w:r>
      <w:r>
        <w:rPr>
          <w:rFonts w:ascii="Courier New" w:cs="Courier New" w:eastAsia="Courier New" w:hAnsi="Courier New"/>
          <w:sz w:val="14"/>
          <w:szCs w:val="14"/>
          <w:color w:val="auto"/>
        </w:rPr>
        <w:t>The notes are our direct, unsecured and</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unsubordinated obligations and rank equal in priority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with all of our other existing and future unsecured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unsubordinated indebtedness, including our 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Convertible Notes due June 1, 2008, which we refer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the 2% Notes, and senior in right of payment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all of our existing and future subordinated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unsecured and, therefore,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are effectively subordinated to any of our 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debt, to the extent of the assets securing such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also structurally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subordinated to the debt and other liabilities of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subsidiaries. With the exception of the 2%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substantially all of the liabilities reflected on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balance sheet as of June 30, 2003 are liabilities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subsidiaries.</w:t>
      </w:r>
    </w:p>
    <w:p>
      <w:pPr>
        <w:spacing w:after="0" w:line="149"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Interest ..............</w:t>
      </w:r>
      <w:r>
        <w:rPr>
          <w:sz w:val="20"/>
          <w:szCs w:val="20"/>
          <w:color w:val="auto"/>
        </w:rPr>
        <w:tab/>
      </w:r>
      <w:r>
        <w:rPr>
          <w:rFonts w:ascii="Courier New" w:cs="Courier New" w:eastAsia="Courier New" w:hAnsi="Courier New"/>
          <w:sz w:val="14"/>
          <w:szCs w:val="14"/>
          <w:color w:val="auto"/>
        </w:rPr>
        <w:t>0.50% per annum on the principal amount of the notes,</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semi-annually in arrears in cash on March 15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September 15 of each year, beginning on September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15, 2004.</w:t>
      </w:r>
    </w:p>
    <w:p>
      <w:pPr>
        <w:spacing w:after="0" w:line="149"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Conversion Rights .....</w:t>
      </w:r>
      <w:r>
        <w:rPr>
          <w:sz w:val="20"/>
          <w:szCs w:val="20"/>
          <w:color w:val="auto"/>
        </w:rPr>
        <w:tab/>
      </w:r>
      <w:r>
        <w:rPr>
          <w:rFonts w:ascii="Courier New" w:cs="Courier New" w:eastAsia="Courier New" w:hAnsi="Courier New"/>
          <w:sz w:val="14"/>
          <w:szCs w:val="14"/>
          <w:color w:val="auto"/>
        </w:rPr>
        <w:t>You may convert the notes into our ordinary shares,</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par value(pound)0.01 per share, which we refer to as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ordinary shares, at a conversion rate of 23.1911</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per $1,000 principal amount of notes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price of $43.12 per share), subject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adjustment, prior to the close of business on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final maturity date under any of the following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w:t>
      </w:r>
    </w:p>
    <w:p>
      <w:pPr>
        <w:spacing w:after="0" w:line="149"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during any fiscal quarter commencing after</w:t>
      </w:r>
    </w:p>
    <w:p>
      <w:pPr>
        <w:spacing w:after="0" w:line="3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March 31, 2004, and only during that fiscal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quarter if the closing sale price of 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ordinary shares exceeds 130%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conversion price for at least 20 trading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in the 30 consecutive trading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ending on the last trading day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preceding fiscal quarter; or</w:t>
      </w:r>
    </w:p>
    <w:p>
      <w:pPr>
        <w:spacing w:after="0" w:line="149"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after the earlier of (a) the date the notes</w:t>
      </w:r>
    </w:p>
    <w:p>
      <w:pPr>
        <w:spacing w:after="0" w:line="3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are rated by both Standard &amp; Poor's Ratings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 division of The McGraw-Hill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Companies, Inc., and its successors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and Moody's Investor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and its successors ("Moody's")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five business days from the date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are issued, during any period in which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credit rating assigned to the notes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or Moody's is "BB-"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"Ba3," respectively, or lower, or if either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these rating agencies no longer rates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or if either of these rating agencies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suspends or withdraws the rating assigned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notes, or if the notes are not assigned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rating by both rating agencies; or</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4" w:right="1440" w:bottom="1440" w:gutter="0" w:footer="0" w:header="0"/>
        </w:sectPr>
      </w:pPr>
    </w:p>
    <w:bookmarkStart w:id="7" w:name="page8"/>
    <w:bookmarkEnd w:id="7"/>
    <w:p>
      <w:pPr>
        <w:ind w:left="3140" w:right="3279" w:hanging="788"/>
        <w:spacing w:after="0" w:line="261"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five business day period after any five consecutive trading day period (the "measurement period") in which the trading price per note for each day of that measurement period 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83" w:lineRule="exact"/>
        <w:rPr>
          <w:rFonts w:ascii="Courier New" w:cs="Courier New" w:eastAsia="Courier New" w:hAnsi="Courier New"/>
          <w:sz w:val="14"/>
          <w:szCs w:val="14"/>
          <w:color w:val="auto"/>
        </w:rPr>
      </w:pPr>
    </w:p>
    <w:p>
      <w:pPr>
        <w:ind w:left="3140" w:right="4239" w:hanging="788"/>
        <w:spacing w:after="0" w:line="378"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 w:lineRule="exact"/>
        <w:rPr>
          <w:rFonts w:ascii="Courier New" w:cs="Courier New" w:eastAsia="Courier New" w:hAnsi="Courier New"/>
          <w:sz w:val="14"/>
          <w:szCs w:val="14"/>
          <w:color w:val="auto"/>
        </w:rPr>
      </w:pPr>
    </w:p>
    <w:p>
      <w:pPr>
        <w:ind w:left="3140" w:right="3379" w:hanging="788"/>
        <w:spacing w:after="0" w:line="295"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5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 will not receive any cash payment or additional</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representing accrued and unpaid interest upon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of a note, except in limited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 Instead, such interest, if any, will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forfeited upon conversion. Notes called for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redemption may be converted until the close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business on the business day immediately preceding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redemption date, after which time your right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 will expire unless we default in the payment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the redemption price.</w:t>
      </w:r>
    </w:p>
    <w:p>
      <w:pPr>
        <w:spacing w:after="0" w:line="149"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Sinking Fund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ind w:left="2360" w:right="3279" w:hanging="2342"/>
        <w:spacing w:after="0" w:line="268" w:lineRule="auto"/>
        <w:tabs>
          <w:tab w:leader="none" w:pos="2340" w:val="left"/>
        </w:tabs>
        <w:rPr>
          <w:sz w:val="20"/>
          <w:szCs w:val="20"/>
          <w:color w:val="auto"/>
        </w:rPr>
      </w:pPr>
      <w:r>
        <w:rPr>
          <w:rFonts w:ascii="Courier New" w:cs="Courier New" w:eastAsia="Courier New" w:hAnsi="Courier New"/>
          <w:sz w:val="14"/>
          <w:szCs w:val="14"/>
          <w:color w:val="auto"/>
        </w:rPr>
        <w:t>Optional Redemption ...</w:t>
      </w:r>
      <w:r>
        <w:rPr>
          <w:sz w:val="20"/>
          <w:szCs w:val="20"/>
          <w:color w:val="auto"/>
        </w:rPr>
        <w:tab/>
      </w:r>
      <w:r>
        <w:rPr>
          <w:rFonts w:ascii="Courier New" w:cs="Courier New" w:eastAsia="Courier New" w:hAnsi="Courier New"/>
          <w:sz w:val="14"/>
          <w:szCs w:val="14"/>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Designated Event ......</w:t>
      </w:r>
      <w:r>
        <w:rPr>
          <w:sz w:val="20"/>
          <w:szCs w:val="20"/>
          <w:color w:val="auto"/>
        </w:rPr>
        <w:tab/>
      </w:r>
      <w:r>
        <w:rPr>
          <w:rFonts w:ascii="Courier New" w:cs="Courier New" w:eastAsia="Courier New" w:hAnsi="Courier New"/>
          <w:sz w:val="14"/>
          <w:szCs w:val="14"/>
          <w:color w:val="auto"/>
        </w:rPr>
        <w:t>If a designated event (as described under</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"Description of Notes--Repurchase at Option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Holder Upon a Designated Event") occurs prior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maturity, you may require us to purchase all or part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your notes at a repurchase price equal to 100%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their principal amount, plus accrued and unpaid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interest and liquidated damages, if any, to, but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excluding, the date of repurchase.</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w:t>
      </w:r>
    </w:p>
    <w:p>
      <w:pPr>
        <w:spacing w:after="0" w:line="34"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4"/>
          <w:szCs w:val="14"/>
          <w:color w:val="auto"/>
        </w:rPr>
        <w:t>of the Holder .....</w:t>
      </w:r>
      <w:r>
        <w:rPr>
          <w:sz w:val="20"/>
          <w:szCs w:val="20"/>
          <w:color w:val="auto"/>
        </w:rPr>
        <w:tab/>
      </w:r>
      <w:r>
        <w:rPr>
          <w:rFonts w:ascii="Courier New" w:cs="Courier New" w:eastAsia="Courier New" w:hAnsi="Courier New"/>
          <w:sz w:val="14"/>
          <w:szCs w:val="14"/>
          <w:color w:val="auto"/>
        </w:rPr>
        <w:t>You may require us to repurchase some or all of your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 on March 15 of 2009, 2014 and 2019, at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equal to 100% of the principal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amount, plus accrued and unpaid interest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liquidated damages, if any, to, but excluding,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repurchase date. We may choose to pay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in cash or ordinary shares (valued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using the method set forth in "Description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Notes--Repurchase at Option of the Holder") or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combination of cash and ordinary shares, provided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that we will pay any accrued and unpaid interest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cash.</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2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7"/>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Use of Proceeds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We will not receive any proceeds from the sale by the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securityholders of the notes or the ordinary</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shares issuable upon conversion of the notes.</w:t>
            </w:r>
          </w:p>
        </w:tc>
        <w:tc>
          <w:tcPr>
            <w:tcW w:w="0" w:type="dxa"/>
            <w:vAlign w:val="bottom"/>
          </w:tcPr>
          <w:p>
            <w:pPr>
              <w:spacing w:after="0"/>
              <w:rPr>
                <w:sz w:val="1"/>
                <w:szCs w:val="1"/>
                <w:color w:val="auto"/>
              </w:rPr>
            </w:pPr>
          </w:p>
        </w:tc>
      </w:tr>
      <w:tr>
        <w:trPr>
          <w:trHeight w:val="256"/>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Registration Rights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Pursuant to a registration rights agreement, we have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agreed to register the resale of the notes and the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issuable upon conversion of the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If we fail to comply with certain of our</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the registration rights agreement,</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liquidated damages will be payable on the notes and</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ordinary shares issuable upon conversion of the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See "Description of Notes--Registration</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c>
          <w:tcPr>
            <w:tcW w:w="0" w:type="dxa"/>
            <w:vAlign w:val="bottom"/>
          </w:tcPr>
          <w:p>
            <w:pPr>
              <w:spacing w:after="0"/>
              <w:rPr>
                <w:sz w:val="1"/>
                <w:szCs w:val="1"/>
                <w:color w:val="auto"/>
              </w:rPr>
            </w:pPr>
          </w:p>
        </w:tc>
      </w:tr>
      <w:tr>
        <w:trPr>
          <w:trHeight w:val="256"/>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Book-entry Form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have been issued in book-entry form and are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represented by global certificates deposited with, or</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on behalf of, The Depository Trust Company, or DTC,</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and registered in the name of a nominee of DTC.</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Beneficial interests in any of the notes will be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shown on, and transfers will be effected only</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through, records maintained by DTC or its nominee and</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any such interest may not be exchanged for</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certificated securities, except in limited</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circumstances.</w:t>
            </w:r>
          </w:p>
        </w:tc>
        <w:tc>
          <w:tcPr>
            <w:tcW w:w="0" w:type="dxa"/>
            <w:vAlign w:val="bottom"/>
          </w:tcPr>
          <w:p>
            <w:pPr>
              <w:spacing w:after="0"/>
              <w:rPr>
                <w:sz w:val="1"/>
                <w:szCs w:val="1"/>
                <w:color w:val="auto"/>
              </w:rPr>
            </w:pPr>
          </w:p>
        </w:tc>
      </w:tr>
      <w:tr>
        <w:trPr>
          <w:trHeight w:val="256"/>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are new securities for which no market</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currently exists. While the initial purchasers have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informed us that they intend to make a market in the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they are under no obligation to do so and may</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discontinue such activities at any time without</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notice. The notes are listed on any securities</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exchange or included in any automated quotation</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system. While the notes are expected to be designated</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 trading in The PORTAL Market, we cannot assure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you that any active or liquid market will develop for</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w:t>
            </w:r>
          </w:p>
        </w:tc>
        <w:tc>
          <w:tcPr>
            <w:tcW w:w="0" w:type="dxa"/>
            <w:vAlign w:val="bottom"/>
          </w:tcPr>
          <w:p>
            <w:pPr>
              <w:spacing w:after="0"/>
              <w:rPr>
                <w:sz w:val="1"/>
                <w:szCs w:val="1"/>
                <w:color w:val="auto"/>
              </w:rPr>
            </w:pPr>
          </w:p>
        </w:tc>
      </w:tr>
      <w:tr>
        <w:trPr>
          <w:trHeight w:val="256"/>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Symbol for Our</w:t>
            </w:r>
          </w:p>
        </w:tc>
        <w:tc>
          <w:tcPr>
            <w:tcW w:w="47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DOX.</w:t>
            </w:r>
          </w:p>
        </w:tc>
        <w:tc>
          <w:tcPr>
            <w:tcW w:w="0" w:type="dxa"/>
            <w:vAlign w:val="bottom"/>
          </w:tcPr>
          <w:p>
            <w:pPr>
              <w:spacing w:after="0"/>
              <w:rPr>
                <w:sz w:val="1"/>
                <w:szCs w:val="1"/>
                <w:color w:val="auto"/>
              </w:rPr>
            </w:pPr>
          </w:p>
        </w:tc>
      </w:tr>
      <w:tr>
        <w:trPr>
          <w:trHeight w:val="24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Ordinary Shares .....</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4"/>
                <w:szCs w:val="24"/>
                <w:color w:val="auto"/>
              </w:rPr>
            </w:pPr>
          </w:p>
        </w:tc>
        <w:tc>
          <w:tcPr>
            <w:tcW w:w="4780" w:type="dxa"/>
            <w:vAlign w:val="bottom"/>
          </w:tcPr>
          <w:p>
            <w:pPr>
              <w:ind w:left="1220"/>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4" w:right="1440" w:bottom="1440" w:gutter="0" w:footer="0" w:header="0"/>
        </w:sectPr>
      </w:pPr>
    </w:p>
    <w:bookmarkStart w:id="9" w:name="page10"/>
    <w:bookmarkEnd w:id="9"/>
    <w:p>
      <w:pPr>
        <w:ind w:left="1220"/>
        <w:spacing w:after="0"/>
        <w:rPr>
          <w:sz w:val="20"/>
          <w:szCs w:val="20"/>
          <w:color w:val="auto"/>
        </w:rPr>
      </w:pPr>
      <w:r>
        <w:rPr>
          <w:rFonts w:ascii="Courier New" w:cs="Courier New" w:eastAsia="Courier New" w:hAnsi="Courier New"/>
          <w:sz w:val="14"/>
          <w:szCs w:val="14"/>
          <w:color w:val="auto"/>
        </w:rPr>
        <w:t>SUMMARY HISTORICAL CONSOLIDATED FINANCIAL INFORMATION</w:t>
      </w:r>
    </w:p>
    <w:p>
      <w:pPr>
        <w:spacing w:after="0" w:line="175" w:lineRule="exact"/>
        <w:rPr>
          <w:sz w:val="20"/>
          <w:szCs w:val="20"/>
          <w:color w:val="auto"/>
        </w:rPr>
      </w:pPr>
    </w:p>
    <w:p>
      <w:pPr>
        <w:ind w:right="3980" w:firstLine="781"/>
        <w:spacing w:after="0" w:line="259" w:lineRule="auto"/>
        <w:rPr>
          <w:sz w:val="20"/>
          <w:szCs w:val="20"/>
          <w:color w:val="auto"/>
        </w:rPr>
      </w:pPr>
      <w:r>
        <w:rPr>
          <w:rFonts w:ascii="Courier New" w:cs="Courier New" w:eastAsia="Courier New" w:hAnsi="Courier New"/>
          <w:sz w:val="14"/>
          <w:szCs w:val="14"/>
          <w:color w:val="auto"/>
        </w:rPr>
        <w:t>Our consolidated financial statements are prepared in accordance with accounting principles generally accepted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2003 is derived from our consolidated financial statements, which have been audited by Ernst &amp; Young LLP, our independent auditors. The summary historical consolidated interim financial information as of and for the nine months ended June 30,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vMerge w:val="restart"/>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NINE MONTHS</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ENDED</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SEPTEMBER 30,</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JUNE 30</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1300" w:type="dxa"/>
            <w:vAlign w:val="bottom"/>
            <w:vMerge w:val="restart"/>
          </w:tcPr>
          <w:p>
            <w:pPr>
              <w:ind w:left="440"/>
              <w:spacing w:after="0"/>
              <w:rPr>
                <w:sz w:val="20"/>
                <w:szCs w:val="20"/>
                <w:color w:val="auto"/>
              </w:rPr>
            </w:pPr>
            <w:r>
              <w:rPr>
                <w:rFonts w:ascii="Courier New" w:cs="Courier New" w:eastAsia="Courier New" w:hAnsi="Courier New"/>
                <w:sz w:val="6"/>
                <w:szCs w:val="6"/>
                <w:color w:val="auto"/>
                <w:w w:val="77"/>
                <w:vertAlign w:val="subscript"/>
              </w:rPr>
              <w:t>2003</w:t>
            </w:r>
            <w:r>
              <w:rPr>
                <w:rFonts w:ascii="Courier New" w:cs="Courier New" w:eastAsia="Courier New" w:hAnsi="Courier New"/>
                <w:sz w:val="3"/>
                <w:szCs w:val="3"/>
                <w:color w:val="auto"/>
                <w:w w:val="77"/>
              </w:rPr>
              <w:t>-------------------------------------------------------</w:t>
            </w:r>
          </w:p>
        </w:tc>
        <w:tc>
          <w:tcPr>
            <w:tcW w:w="110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1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(in</w:t>
            </w:r>
          </w:p>
        </w:tc>
        <w:tc>
          <w:tcPr>
            <w:tcW w:w="3080" w:type="dxa"/>
            <w:vAlign w:val="bottom"/>
            <w:gridSpan w:val="3"/>
            <w:vMerge w:val="restart"/>
          </w:tcPr>
          <w:p>
            <w:pPr>
              <w:jc w:val="right"/>
              <w:ind w:right="108"/>
              <w:spacing w:after="0"/>
              <w:rPr>
                <w:sz w:val="20"/>
                <w:szCs w:val="20"/>
                <w:color w:val="auto"/>
              </w:rPr>
            </w:pPr>
            <w:r>
              <w:rPr>
                <w:rFonts w:ascii="Courier New" w:cs="Courier New" w:eastAsia="Courier New" w:hAnsi="Courier New"/>
                <w:sz w:val="14"/>
                <w:szCs w:val="14"/>
                <w:color w:val="auto"/>
              </w:rPr>
              <w:t>thousands, except per share data)</w:t>
            </w: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(UNAUDITED)</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vMerge w:val="restart"/>
          </w:tcPr>
          <w:p>
            <w:pPr>
              <w:jc w:val="right"/>
              <w:ind w:right="196"/>
              <w:spacing w:after="0"/>
              <w:rPr>
                <w:sz w:val="20"/>
                <w:szCs w:val="20"/>
                <w:color w:val="auto"/>
              </w:rPr>
            </w:pPr>
            <w:r>
              <w:rPr>
                <w:rFonts w:ascii="Courier New" w:cs="Courier New" w:eastAsia="Courier New" w:hAnsi="Courier New"/>
                <w:sz w:val="14"/>
                <w:szCs w:val="14"/>
                <w:color w:val="auto"/>
              </w:rPr>
              <w:t>$1,483,327</w:t>
            </w: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$1,613,565</w:t>
            </w:r>
          </w:p>
        </w:tc>
        <w:tc>
          <w:tcPr>
            <w:tcW w:w="10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$1,533,910</w:t>
            </w:r>
          </w:p>
        </w:tc>
        <w:tc>
          <w:tcPr>
            <w:tcW w:w="11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$626,855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$1,321,277</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$1,071,568</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Operating income (1)(2)(3).............</w:t>
            </w:r>
          </w:p>
        </w:tc>
        <w:tc>
          <w:tcPr>
            <w:tcW w:w="13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210,418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159,281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(1)(2)(3)(4).........</w:t>
            </w:r>
          </w:p>
        </w:tc>
        <w:tc>
          <w:tcPr>
            <w:tcW w:w="13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168,883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66,386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13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0.78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0.77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00" w:type="dxa"/>
            <w:vAlign w:val="bottom"/>
          </w:tcPr>
          <w:p>
            <w:pPr>
              <w:spacing w:after="0"/>
              <w:rPr>
                <w:sz w:val="14"/>
                <w:szCs w:val="14"/>
                <w:color w:val="auto"/>
              </w:rPr>
            </w:pPr>
          </w:p>
        </w:tc>
        <w:tc>
          <w:tcPr>
            <w:tcW w:w="25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AS OF JUNE 30, 2004</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14"/>
                <w:szCs w:val="14"/>
                <w:color w:val="auto"/>
              </w:rPr>
            </w:pPr>
          </w:p>
        </w:tc>
        <w:tc>
          <w:tcPr>
            <w:tcW w:w="25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(UNAUDITED)</w:t>
            </w:r>
          </w:p>
        </w:tc>
        <w:tc>
          <w:tcPr>
            <w:tcW w:w="0" w:type="dxa"/>
            <w:vAlign w:val="bottom"/>
          </w:tcPr>
          <w:p>
            <w:pPr>
              <w:spacing w:after="0"/>
              <w:rPr>
                <w:sz w:val="1"/>
                <w:szCs w:val="1"/>
                <w:color w:val="auto"/>
              </w:rPr>
            </w:pPr>
          </w:p>
        </w:tc>
      </w:tr>
      <w:tr>
        <w:trPr>
          <w:trHeight w:val="244"/>
        </w:trPr>
        <w:tc>
          <w:tcPr>
            <w:tcW w:w="7700" w:type="dxa"/>
            <w:vAlign w:val="bottom"/>
          </w:tcPr>
          <w:p>
            <w:pPr>
              <w:spacing w:after="0"/>
              <w:rPr>
                <w:sz w:val="21"/>
                <w:szCs w:val="21"/>
                <w:color w:val="auto"/>
              </w:rPr>
            </w:pP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590"/>
        </w:trPr>
        <w:tc>
          <w:tcPr>
            <w:tcW w:w="77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560" w:type="dxa"/>
            <w:vAlign w:val="bottom"/>
            <w:vMerge w:val="restart"/>
          </w:tcPr>
          <w:p>
            <w:pPr>
              <w:jc w:val="right"/>
              <w:ind w:right="888"/>
              <w:spacing w:after="0"/>
              <w:rPr>
                <w:sz w:val="20"/>
                <w:szCs w:val="20"/>
                <w:color w:val="auto"/>
              </w:rPr>
            </w:pPr>
            <w:r>
              <w:rPr>
                <w:rFonts w:ascii="Courier New" w:cs="Courier New" w:eastAsia="Courier New" w:hAnsi="Courier New"/>
                <w:sz w:val="14"/>
                <w:szCs w:val="14"/>
                <w:color w:val="auto"/>
              </w:rPr>
              <w:t>$2,897,972</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2% Convertible Notes due 2008 ........................................................</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344</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0.50% Convertible Senior Notes due 2024...............................................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450,000</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Long-term obligations, including current portion......................................</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31,107</w:t>
            </w:r>
          </w:p>
        </w:tc>
        <w:tc>
          <w:tcPr>
            <w:tcW w:w="0" w:type="dxa"/>
            <w:vAlign w:val="bottom"/>
          </w:tcPr>
          <w:p>
            <w:pPr>
              <w:spacing w:after="0"/>
              <w:rPr>
                <w:sz w:val="1"/>
                <w:szCs w:val="1"/>
                <w:color w:val="auto"/>
              </w:rPr>
            </w:pPr>
          </w:p>
        </w:tc>
      </w:tr>
      <w:tr>
        <w:trPr>
          <w:trHeight w:val="244"/>
        </w:trPr>
        <w:tc>
          <w:tcPr>
            <w:tcW w:w="7700" w:type="dxa"/>
            <w:vAlign w:val="bottom"/>
          </w:tcPr>
          <w:p>
            <w:pPr>
              <w:spacing w:after="0"/>
              <w:rPr>
                <w:sz w:val="20"/>
                <w:szCs w:val="20"/>
                <w:color w:val="auto"/>
              </w:rPr>
            </w:pPr>
            <w:r>
              <w:rPr>
                <w:rFonts w:ascii="Courier New" w:cs="Courier New" w:eastAsia="Courier New" w:hAnsi="Courier New"/>
                <w:sz w:val="14"/>
                <w:szCs w:val="14"/>
                <w:color w:val="auto"/>
              </w:rPr>
              <w:t>Shareholders' equity (4)..............................................................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1,482,961</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160" w:hanging="791"/>
        <w:spacing w:after="0" w:line="278"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we recorded acquisition-related charges of $75,617, relating to our acquisitions of International Telecommunication Data Systems, Inc. in November 1999 and Solect Technology Group Inc. in April 2000, in stock-for-stock transactions. These charges included write-offs of purchased in-process research and development and other indirect acquisition-related costs.</w:t>
      </w:r>
    </w:p>
    <w:p>
      <w:pPr>
        <w:spacing w:after="0" w:line="66" w:lineRule="exact"/>
        <w:rPr>
          <w:rFonts w:ascii="Courier New" w:cs="Courier New" w:eastAsia="Courier New" w:hAnsi="Courier New"/>
          <w:sz w:val="14"/>
          <w:szCs w:val="14"/>
          <w:color w:val="auto"/>
        </w:rPr>
      </w:pPr>
    </w:p>
    <w:p>
      <w:pPr>
        <w:ind w:left="800" w:right="4080" w:hanging="791"/>
        <w:spacing w:after="0" w:line="278"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we recorded acquisition-related charges for in-process research and development of $17,400, relating to our November 2001 acquisition from Nortel Networks Corporation of substantially all of the assets of its Clarify business for cash. We also recorded restructuring charges of $34,230 relating to the closure of our Stamford, Connecticut data center and our cost reduction program.</w:t>
      </w:r>
    </w:p>
    <w:p>
      <w:pPr>
        <w:spacing w:after="0" w:line="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940"/>
          </w:cols>
          <w:pgMar w:left="220" w:top="594" w:right="739" w:bottom="1440" w:gutter="0" w:footer="0" w:header="0"/>
        </w:sectPr>
      </w:pPr>
    </w:p>
    <w:bookmarkStart w:id="10" w:name="page11"/>
    <w:bookmarkEnd w:id="10"/>
    <w:p>
      <w:pPr>
        <w:ind w:left="800" w:right="3279" w:hanging="791"/>
        <w:spacing w:after="0" w:line="274"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for cash. Prior to this acquisition, we had 10% ownership interest in Certen. This charge reflects our 10% share in Certen's pre-acquisition results.</w:t>
      </w:r>
    </w:p>
    <w:p>
      <w:pPr>
        <w:spacing w:after="0" w:line="200" w:lineRule="exact"/>
        <w:rPr>
          <w:rFonts w:ascii="Courier New" w:cs="Courier New" w:eastAsia="Courier New" w:hAnsi="Courier New"/>
          <w:sz w:val="14"/>
          <w:szCs w:val="14"/>
          <w:color w:val="auto"/>
        </w:rPr>
      </w:pPr>
    </w:p>
    <w:p>
      <w:pPr>
        <w:spacing w:after="0" w:line="201" w:lineRule="exact"/>
        <w:rPr>
          <w:rFonts w:ascii="Courier New" w:cs="Courier New" w:eastAsia="Courier New" w:hAnsi="Courier New"/>
          <w:sz w:val="14"/>
          <w:szCs w:val="14"/>
          <w:color w:val="auto"/>
        </w:rPr>
      </w:pPr>
    </w:p>
    <w:p>
      <w:pPr>
        <w:ind w:left="800" w:right="3279" w:hanging="791"/>
        <w:spacing w:after="0" w:line="259"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2001, our Board of Directors approved a twelve-month share repurchase program and authorized us to repurchase ordinary shares. During fiscal 2002, we repurchased 7,732 ordinary shares, at an average price of $14.13 per share. During fiscal 2003, we did not repurchase any ordinary shares. On November 5, 2003, our Board of Directors approved an additional twelve-month share repurchase program to purchase up to 5,000 ordinary shares. In accordance with this program, as of December 31, 2003, we had repurchased an additional 4,990 ordinary shares, at an average price of $24.82 per share. In connection with our acquisition of XACCT Technologies Ltd., our Board of Directors approved the repurchase of ordinary shares to offset the dilutive effect of share issuances in the acquisition. The closing of the acquisition occurred in February 2004, and we repurchased 485 ordinary shares in February 2004. 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we repurchased approximately 4.9 million ordinary shares, at an average price of $20.40 per share.</w:t>
      </w:r>
    </w:p>
    <w:p>
      <w:pPr>
        <w:spacing w:after="0" w:line="200" w:lineRule="exact"/>
        <w:rPr>
          <w:sz w:val="20"/>
          <w:szCs w:val="20"/>
          <w:color w:val="auto"/>
        </w:rPr>
      </w:pPr>
    </w:p>
    <w:p>
      <w:pPr>
        <w:spacing w:after="0" w:line="22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79" w:firstLine="781"/>
        <w:spacing w:after="0" w:line="382" w:lineRule="auto"/>
        <w:rPr>
          <w:sz w:val="20"/>
          <w:szCs w:val="20"/>
          <w:color w:val="auto"/>
        </w:rPr>
      </w:pPr>
      <w:r>
        <w:rPr>
          <w:rFonts w:ascii="Courier New" w:cs="Courier New" w:eastAsia="Courier New" w:hAnsi="Courier New"/>
          <w:sz w:val="14"/>
          <w:szCs w:val="14"/>
          <w:color w:val="auto"/>
        </w:rPr>
        <w:t>The following table presents our historical ratios of earnings to fixed charges for the periods indicated: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0" w:type="dxa"/>
            <w:vAlign w:val="bottom"/>
          </w:tcPr>
          <w:p>
            <w:pPr>
              <w:spacing w:after="0"/>
              <w:rPr>
                <w:sz w:val="14"/>
                <w:szCs w:val="14"/>
                <w:color w:val="auto"/>
              </w:rPr>
            </w:pPr>
          </w:p>
        </w:tc>
        <w:tc>
          <w:tcPr>
            <w:tcW w:w="3480" w:type="dxa"/>
            <w:vAlign w:val="bottom"/>
            <w:gridSpan w:val="3"/>
            <w:vMerge w:val="restart"/>
          </w:tcPr>
          <w:p>
            <w:pPr>
              <w:ind w:left="2480"/>
              <w:spacing w:after="0"/>
              <w:rPr>
                <w:sz w:val="20"/>
                <w:szCs w:val="20"/>
                <w:color w:val="auto"/>
              </w:rPr>
            </w:pPr>
            <w:r>
              <w:rPr>
                <w:rFonts w:ascii="Courier New" w:cs="Courier New" w:eastAsia="Courier New" w:hAnsi="Courier New"/>
                <w:sz w:val="14"/>
                <w:szCs w:val="14"/>
                <w:color w:val="auto"/>
              </w:rPr>
              <w:t>NINE MONTHS</w:t>
            </w:r>
          </w:p>
        </w:tc>
        <w:tc>
          <w:tcPr>
            <w:tcW w:w="7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ENDED</w:t>
            </w:r>
          </w:p>
        </w:tc>
        <w:tc>
          <w:tcPr>
            <w:tcW w:w="1220" w:type="dxa"/>
            <w:vAlign w:val="bottom"/>
          </w:tcPr>
          <w:p>
            <w:pPr>
              <w:spacing w:after="0"/>
              <w:rPr>
                <w:sz w:val="14"/>
                <w:szCs w:val="14"/>
                <w:color w:val="auto"/>
              </w:rPr>
            </w:pPr>
          </w:p>
        </w:tc>
        <w:tc>
          <w:tcPr>
            <w:tcW w:w="30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FISCAL YEARS ENDED SEPTEMBER 30,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34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20" w:type="dxa"/>
            <w:vAlign w:val="bottom"/>
            <w:vMerge w:val="restart"/>
          </w:tcPr>
          <w:p>
            <w:pPr>
              <w:ind w:left="260"/>
              <w:spacing w:after="0"/>
              <w:rPr>
                <w:sz w:val="20"/>
                <w:szCs w:val="20"/>
                <w:color w:val="auto"/>
              </w:rPr>
            </w:pPr>
            <w:r>
              <w:rPr>
                <w:rFonts w:ascii="Courier New" w:cs="Courier New" w:eastAsia="Courier New" w:hAnsi="Courier New"/>
                <w:sz w:val="6"/>
                <w:szCs w:val="6"/>
                <w:color w:val="auto"/>
                <w:w w:val="87"/>
                <w:vertAlign w:val="subscript"/>
              </w:rPr>
              <w:t>2003</w:t>
            </w:r>
            <w:r>
              <w:rPr>
                <w:rFonts w:ascii="Courier New" w:cs="Courier New" w:eastAsia="Courier New" w:hAnsi="Courier New"/>
                <w:sz w:val="3"/>
                <w:szCs w:val="3"/>
                <w:color w:val="auto"/>
                <w:w w:val="87"/>
              </w:rPr>
              <w:t>------------------------------------------------------</w:t>
            </w:r>
          </w:p>
        </w:tc>
        <w:tc>
          <w:tcPr>
            <w:tcW w:w="90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2002</w:t>
            </w:r>
          </w:p>
        </w:tc>
        <w:tc>
          <w:tcPr>
            <w:tcW w:w="1080" w:type="dxa"/>
            <w:vAlign w:val="bottom"/>
            <w:vMerge w:val="restart"/>
          </w:tcPr>
          <w:p>
            <w:pPr>
              <w:jc w:val="center"/>
              <w:ind w:right="48"/>
              <w:spacing w:after="0"/>
              <w:rPr>
                <w:sz w:val="20"/>
                <w:szCs w:val="20"/>
                <w:color w:val="auto"/>
              </w:rPr>
            </w:pPr>
            <w:r>
              <w:rPr>
                <w:rFonts w:ascii="Courier New" w:cs="Courier New" w:eastAsia="Courier New" w:hAnsi="Courier New"/>
                <w:sz w:val="14"/>
                <w:szCs w:val="14"/>
                <w:color w:val="auto"/>
              </w:rPr>
              <w:t>2001</w:t>
            </w:r>
          </w:p>
        </w:tc>
        <w:tc>
          <w:tcPr>
            <w:tcW w:w="10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2000</w:t>
            </w:r>
          </w:p>
        </w:tc>
        <w:tc>
          <w:tcPr>
            <w:tcW w:w="78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2920" w:type="dxa"/>
            <w:vAlign w:val="bottom"/>
          </w:tcPr>
          <w:p>
            <w:pPr>
              <w:ind w:left="2480"/>
              <w:spacing w:after="0"/>
              <w:rPr>
                <w:sz w:val="20"/>
                <w:szCs w:val="20"/>
                <w:color w:val="auto"/>
              </w:rPr>
            </w:pPr>
            <w:r>
              <w:rPr>
                <w:rFonts w:ascii="Courier New" w:cs="Courier New" w:eastAsia="Courier New" w:hAnsi="Courier New"/>
                <w:sz w:val="14"/>
                <w:szCs w:val="14"/>
                <w:color w:val="auto"/>
              </w:rPr>
              <w:t>JUNE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1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3220" w:type="dxa"/>
            <w:vAlign w:val="bottom"/>
            <w:gridSpan w:val="2"/>
          </w:tcPr>
          <w:p>
            <w:pPr>
              <w:ind w:left="2480"/>
              <w:spacing w:after="0"/>
              <w:rPr>
                <w:sz w:val="20"/>
                <w:szCs w:val="20"/>
                <w:color w:val="auto"/>
              </w:rPr>
            </w:pPr>
            <w:r>
              <w:rPr>
                <w:rFonts w:ascii="Courier New" w:cs="Courier New" w:eastAsia="Courier New" w:hAnsi="Courier New"/>
                <w:sz w:val="10"/>
                <w:szCs w:val="10"/>
                <w:color w:val="auto"/>
                <w:w w:val="70"/>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920" w:type="dxa"/>
            <w:vAlign w:val="bottom"/>
          </w:tcPr>
          <w:p>
            <w:pPr>
              <w:jc w:val="right"/>
              <w:ind w:right="973"/>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14.99x</w:t>
            </w:r>
          </w:p>
        </w:tc>
        <w:tc>
          <w:tcPr>
            <w:tcW w:w="74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13.49x</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3.87x</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9.19x</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10.10x</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15.29x</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800" w:right="3459" w:hanging="791"/>
        <w:spacing w:after="0" w:line="278"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40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4" w:right="1440" w:bottom="1440" w:gutter="0" w:footer="0" w:header="0"/>
        </w:sectPr>
      </w:pPr>
    </w:p>
    <w:bookmarkStart w:id="11" w:name="page12"/>
    <w:bookmarkEnd w:id="11"/>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34" w:lineRule="exact"/>
        <w:rPr>
          <w:sz w:val="20"/>
          <w:szCs w:val="20"/>
          <w:color w:val="auto"/>
        </w:rPr>
      </w:pPr>
    </w:p>
    <w:p>
      <w:pPr>
        <w:ind w:right="3379" w:firstLine="781"/>
        <w:spacing w:after="0" w:line="265" w:lineRule="auto"/>
        <w:rPr>
          <w:sz w:val="20"/>
          <w:szCs w:val="20"/>
          <w:color w:val="auto"/>
        </w:rPr>
      </w:pPr>
      <w:r>
        <w:rPr>
          <w:rFonts w:ascii="Courier New" w:cs="Courier New" w:eastAsia="Courier New" w:hAnsi="Courier New"/>
          <w:sz w:val="14"/>
          <w:szCs w:val="14"/>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175" w:lineRule="exact"/>
        <w:rPr>
          <w:sz w:val="20"/>
          <w:szCs w:val="20"/>
          <w:color w:val="auto"/>
        </w:rPr>
      </w:pPr>
    </w:p>
    <w:p>
      <w:pPr>
        <w:ind w:left="440" w:right="4239"/>
        <w:spacing w:after="0" w:line="378" w:lineRule="auto"/>
        <w:rPr>
          <w:sz w:val="20"/>
          <w:szCs w:val="20"/>
          <w:color w:val="auto"/>
        </w:rPr>
      </w:pPr>
      <w:r>
        <w:rPr>
          <w:rFonts w:ascii="Courier New" w:cs="Courier New" w:eastAsia="Courier New" w:hAnsi="Courier New"/>
          <w:sz w:val="14"/>
          <w:szCs w:val="14"/>
          <w:color w:val="auto"/>
        </w:rPr>
        <w:t>WE ARE EXPOSED TO GENERAL GLOBAL ECONOMIC AND MARKET CONDITIONS, PARTICULARLY THOSE IMPACTING THE COMMUNICATIONS INDUSTRY.</w:t>
      </w:r>
    </w:p>
    <w:p>
      <w:pPr>
        <w:spacing w:after="0" w:line="1"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76"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251" w:lineRule="exact"/>
        <w:rPr>
          <w:sz w:val="20"/>
          <w:szCs w:val="20"/>
          <w:color w:val="auto"/>
        </w:rPr>
      </w:pPr>
    </w:p>
    <w:p>
      <w:pPr>
        <w:jc w:val="both"/>
        <w:ind w:left="440" w:right="3899"/>
        <w:spacing w:after="0" w:line="317" w:lineRule="auto"/>
        <w:rPr>
          <w:sz w:val="20"/>
          <w:szCs w:val="20"/>
          <w:color w:val="auto"/>
        </w:rPr>
      </w:pPr>
      <w:r>
        <w:rPr>
          <w:rFonts w:ascii="Courier New" w:cs="Courier New" w:eastAsia="Courier New" w:hAnsi="Courier New"/>
          <w:sz w:val="14"/>
          <w:szCs w:val="14"/>
          <w:color w:val="auto"/>
        </w:rPr>
        <w:t>IF WE FAIL TO ADAPT TO CHANGING MARKET CONDITIONS AND CANNOT COMPETE SUCCESSFULLY WITH EXISTING OR NEW COMPETITORS, OUR BUSINESS COULD BE HARMED.</w:t>
      </w:r>
    </w:p>
    <w:p>
      <w:pPr>
        <w:spacing w:after="0" w:line="39" w:lineRule="exact"/>
        <w:rPr>
          <w:sz w:val="20"/>
          <w:szCs w:val="20"/>
          <w:color w:val="auto"/>
        </w:rPr>
      </w:pPr>
    </w:p>
    <w:p>
      <w:pPr>
        <w:ind w:right="3459" w:firstLine="781"/>
        <w:spacing w:after="0" w:line="267" w:lineRule="auto"/>
        <w:rPr>
          <w:sz w:val="20"/>
          <w:szCs w:val="20"/>
          <w:color w:val="auto"/>
        </w:rPr>
      </w:pPr>
      <w:r>
        <w:rPr>
          <w:rFonts w:ascii="Courier New" w:cs="Courier New" w:eastAsia="Courier New" w:hAnsi="Courier New"/>
          <w:sz w:val="14"/>
          <w:szCs w:val="14"/>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72"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72" w:lineRule="exact"/>
        <w:rPr>
          <w:sz w:val="20"/>
          <w:szCs w:val="20"/>
          <w:color w:val="auto"/>
        </w:rPr>
      </w:pPr>
    </w:p>
    <w:p>
      <w:pPr>
        <w:ind w:right="3379" w:firstLine="781"/>
        <w:spacing w:after="0" w:line="378" w:lineRule="auto"/>
        <w:rPr>
          <w:sz w:val="20"/>
          <w:szCs w:val="20"/>
          <w:color w:val="auto"/>
        </w:rPr>
      </w:pPr>
      <w:r>
        <w:rPr>
          <w:rFonts w:ascii="Courier New" w:cs="Courier New" w:eastAsia="Courier New" w:hAnsi="Courier New"/>
          <w:sz w:val="14"/>
          <w:szCs w:val="14"/>
          <w:color w:val="auto"/>
        </w:rPr>
        <w:t>We believe that our ability to compete depends on a number of factors, including:</w:t>
      </w:r>
    </w:p>
    <w:p>
      <w:pPr>
        <w:spacing w:after="0" w:line="1" w:lineRule="exact"/>
        <w:rPr>
          <w:sz w:val="20"/>
          <w:szCs w:val="20"/>
          <w:color w:val="auto"/>
        </w:rPr>
      </w:pPr>
    </w:p>
    <w:p>
      <w:pPr>
        <w:ind w:left="1320" w:right="3539" w:hanging="530"/>
        <w:spacing w:after="0" w:line="37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by others of software that is competitive with our products and services,</w:t>
      </w:r>
    </w:p>
    <w:p>
      <w:pPr>
        <w:spacing w:after="0" w:line="1" w:lineRule="exact"/>
        <w:rPr>
          <w:rFonts w:ascii="Courier New" w:cs="Courier New" w:eastAsia="Courier New" w:hAnsi="Courier New"/>
          <w:sz w:val="14"/>
          <w:szCs w:val="14"/>
          <w:color w:val="auto"/>
        </w:rPr>
      </w:pPr>
    </w:p>
    <w:p>
      <w:pPr>
        <w:ind w:left="1320" w:right="4059" w:hanging="530"/>
        <w:spacing w:after="0" w:line="37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others offer competitive software and services,</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responsiveness of our competitors to customer needs, and</w:t>
      </w:r>
    </w:p>
    <w:p>
      <w:pPr>
        <w:spacing w:after="0" w:line="175" w:lineRule="exact"/>
        <w:rPr>
          <w:rFonts w:ascii="Courier New" w:cs="Courier New" w:eastAsia="Courier New" w:hAnsi="Courier New"/>
          <w:sz w:val="14"/>
          <w:szCs w:val="14"/>
          <w:color w:val="auto"/>
        </w:rPr>
      </w:pPr>
    </w:p>
    <w:p>
      <w:pPr>
        <w:ind w:left="1320" w:right="3459" w:hanging="530"/>
        <w:spacing w:after="0" w:line="37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our competitors to hire, retain and motivate key personnel.</w:t>
      </w:r>
    </w:p>
    <w:p>
      <w:pPr>
        <w:spacing w:after="0" w:line="1" w:lineRule="exact"/>
        <w:rPr>
          <w:sz w:val="20"/>
          <w:szCs w:val="20"/>
          <w:color w:val="auto"/>
        </w:rPr>
      </w:pPr>
    </w:p>
    <w:p>
      <w:pPr>
        <w:ind w:right="3639" w:firstLine="781"/>
        <w:spacing w:after="0" w:line="278" w:lineRule="auto"/>
        <w:rPr>
          <w:sz w:val="20"/>
          <w:szCs w:val="20"/>
          <w:color w:val="auto"/>
        </w:rPr>
      </w:pPr>
      <w:r>
        <w:rPr>
          <w:rFonts w:ascii="Courier New" w:cs="Courier New" w:eastAsia="Courier New" w:hAnsi="Courier New"/>
          <w:sz w:val="14"/>
          <w:szCs w:val="14"/>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w:t>
      </w:r>
    </w:p>
    <w:p>
      <w:pPr>
        <w:spacing w:after="0" w:line="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4" w:right="1440" w:bottom="666" w:gutter="0" w:footer="0" w:header="0"/>
        </w:sectPr>
      </w:pPr>
    </w:p>
    <w:bookmarkStart w:id="12" w:name="page13"/>
    <w:bookmarkEnd w:id="12"/>
    <w:p>
      <w:pPr>
        <w:ind w:right="3279"/>
        <w:spacing w:after="0" w:line="265" w:lineRule="auto"/>
        <w:rPr>
          <w:sz w:val="20"/>
          <w:szCs w:val="20"/>
          <w:color w:val="auto"/>
        </w:rPr>
      </w:pPr>
      <w:r>
        <w:rPr>
          <w:rFonts w:ascii="Courier New" w:cs="Courier New" w:eastAsia="Courier New" w:hAnsi="Courier New"/>
          <w:sz w:val="14"/>
          <w:szCs w:val="14"/>
          <w:color w:val="auto"/>
        </w:rPr>
        <w:t>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77" w:lineRule="exact"/>
        <w:rPr>
          <w:sz w:val="20"/>
          <w:szCs w:val="20"/>
          <w:color w:val="auto"/>
        </w:rPr>
      </w:pPr>
    </w:p>
    <w:p>
      <w:pPr>
        <w:ind w:left="440" w:right="3279"/>
        <w:spacing w:after="0" w:line="378" w:lineRule="auto"/>
        <w:rPr>
          <w:sz w:val="20"/>
          <w:szCs w:val="20"/>
          <w:color w:val="auto"/>
        </w:rPr>
      </w:pPr>
      <w:r>
        <w:rPr>
          <w:rFonts w:ascii="Courier New" w:cs="Courier New" w:eastAsia="Courier New" w:hAnsi="Courier New"/>
          <w:sz w:val="14"/>
          <w:szCs w:val="14"/>
          <w:color w:val="auto"/>
        </w:rPr>
        <w:t>IF WE DO NOT CONTINUALLY ENHANCE OUR PRODUCTS AND SERVICE OFFERINGS, WE MAY HAVE DIFFICULTY RETAINING EXISTING CUSTOMERS AND ATTRACTING NEW CUSTOMERS</w:t>
      </w:r>
    </w:p>
    <w:p>
      <w:pPr>
        <w:spacing w:after="0" w:line="1"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72" w:lineRule="exact"/>
        <w:rPr>
          <w:sz w:val="20"/>
          <w:szCs w:val="20"/>
          <w:color w:val="auto"/>
        </w:rPr>
      </w:pPr>
    </w:p>
    <w:p>
      <w:pPr>
        <w:ind w:left="440" w:right="3459"/>
        <w:spacing w:after="0" w:line="317" w:lineRule="auto"/>
        <w:rPr>
          <w:sz w:val="20"/>
          <w:szCs w:val="20"/>
          <w:color w:val="auto"/>
        </w:rPr>
      </w:pPr>
      <w:r>
        <w:rPr>
          <w:rFonts w:ascii="Courier New" w:cs="Courier New" w:eastAsia="Courier New" w:hAnsi="Courier New"/>
          <w:sz w:val="14"/>
          <w:szCs w:val="14"/>
          <w:color w:val="auto"/>
        </w:rPr>
        <w:t>WE MAY SEEK TO ACQUIRE COMPANIES OR TECHNOLOGIES, WHICH COULD DISRUPT OUR ONGOING BUSINESS, DISTRACT OUR MANAGEMENT AND EMPLOYEES AND ADVERSELY AFFECT OUR RESULTS OF OPERATIONS.</w:t>
      </w:r>
    </w:p>
    <w:p>
      <w:pPr>
        <w:spacing w:after="0" w:line="39" w:lineRule="exact"/>
        <w:rPr>
          <w:sz w:val="20"/>
          <w:szCs w:val="20"/>
          <w:color w:val="auto"/>
        </w:rPr>
      </w:pPr>
    </w:p>
    <w:p>
      <w:pPr>
        <w:ind w:right="3379" w:firstLine="781"/>
        <w:spacing w:after="0" w:line="263" w:lineRule="auto"/>
        <w:rPr>
          <w:sz w:val="20"/>
          <w:szCs w:val="20"/>
          <w:color w:val="auto"/>
        </w:rPr>
      </w:pPr>
      <w:r>
        <w:rPr>
          <w:rFonts w:ascii="Courier New" w:cs="Courier New" w:eastAsia="Courier New" w:hAnsi="Courier New"/>
          <w:sz w:val="14"/>
          <w:szCs w:val="14"/>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77" w:lineRule="exact"/>
        <w:rPr>
          <w:sz w:val="20"/>
          <w:szCs w:val="20"/>
          <w:color w:val="auto"/>
        </w:rPr>
      </w:pPr>
    </w:p>
    <w:p>
      <w:pPr>
        <w:ind w:left="440" w:right="3279"/>
        <w:spacing w:after="0" w:line="317" w:lineRule="auto"/>
        <w:rPr>
          <w:sz w:val="20"/>
          <w:szCs w:val="20"/>
          <w:color w:val="auto"/>
        </w:rPr>
      </w:pPr>
      <w:r>
        <w:rPr>
          <w:rFonts w:ascii="Courier New" w:cs="Courier New" w:eastAsia="Courier New" w:hAnsi="Courier New"/>
          <w:sz w:val="14"/>
          <w:szCs w:val="14"/>
          <w:color w:val="auto"/>
        </w:rPr>
        <w:t>OUR BUSINESS IS DEPENDENT ON A LIMITED NUMBER OF SIGNIFICANT CUSTOMERS, AND THE LOSS OF ANY ONE OF OUR SIGNIFICANT CUSTOMERS COULD HARM OUR RESULTS OF OPERATIONS.</w:t>
      </w:r>
    </w:p>
    <w:p>
      <w:pPr>
        <w:spacing w:after="0" w:line="39" w:lineRule="exact"/>
        <w:rPr>
          <w:sz w:val="20"/>
          <w:szCs w:val="20"/>
          <w:color w:val="auto"/>
        </w:rPr>
      </w:pPr>
    </w:p>
    <w:p>
      <w:pPr>
        <w:ind w:right="3379" w:firstLine="781"/>
        <w:spacing w:after="0" w:line="265"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September 30, 2004, it beneficially owned approximately 6.3% of our outstanding ordinary shares. The loss of any significant customer or a significant decrease in business from any such customer could harm our results of operations and financial condition.</w:t>
      </w:r>
    </w:p>
    <w:p>
      <w:pPr>
        <w:spacing w:after="0" w:line="244"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36" w:lineRule="exact"/>
        <w:rPr>
          <w:sz w:val="20"/>
          <w:szCs w:val="20"/>
          <w:color w:val="auto"/>
        </w:rPr>
      </w:pPr>
    </w:p>
    <w:p>
      <w:pPr>
        <w:jc w:val="both"/>
        <w:ind w:left="440" w:right="4059"/>
        <w:spacing w:after="0" w:line="317" w:lineRule="auto"/>
        <w:rPr>
          <w:sz w:val="20"/>
          <w:szCs w:val="20"/>
          <w:color w:val="auto"/>
        </w:rPr>
      </w:pPr>
      <w:r>
        <w:rPr>
          <w:rFonts w:ascii="Courier New" w:cs="Courier New" w:eastAsia="Courier New" w:hAnsi="Courier New"/>
          <w:sz w:val="14"/>
          <w:szCs w:val="14"/>
          <w:color w:val="auto"/>
        </w:rPr>
        <w:t>OUR FUTURE SUCCESS WILL DEPEND ON OUR ABILITY TO DEVELOP LONG-TERM RELATIONSHIPS WITH OUR CUSTOMERS AND TO MEET THEIR EXPECTATIONS IN PROVIDING PRODUCTS AND PERFORMING SERVICES.</w:t>
      </w:r>
    </w:p>
    <w:p>
      <w:pPr>
        <w:spacing w:after="0" w:line="39" w:lineRule="exact"/>
        <w:rPr>
          <w:sz w:val="20"/>
          <w:szCs w:val="20"/>
          <w:color w:val="auto"/>
        </w:rPr>
      </w:pPr>
    </w:p>
    <w:p>
      <w:pPr>
        <w:ind w:right="3379" w:firstLine="781"/>
        <w:spacing w:after="0" w:line="317" w:lineRule="auto"/>
        <w:rPr>
          <w:sz w:val="20"/>
          <w:szCs w:val="20"/>
          <w:color w:val="auto"/>
        </w:rPr>
      </w:pPr>
      <w:r>
        <w:rPr>
          <w:rFonts w:ascii="Courier New" w:cs="Courier New" w:eastAsia="Courier New" w:hAnsi="Courier New"/>
          <w:sz w:val="14"/>
          <w:szCs w:val="14"/>
          <w:color w:val="auto"/>
        </w:rPr>
        <w:t>We believe that our future success will depend to a significant extent on our ability to develop long-term relationships with successful network operators and service providers with the financial and</w:t>
      </w:r>
    </w:p>
    <w:p>
      <w:pPr>
        <w:spacing w:after="0" w:line="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4" w:right="1440" w:bottom="1440" w:gutter="0" w:footer="0" w:header="0"/>
        </w:sectPr>
      </w:pPr>
    </w:p>
    <w:bookmarkStart w:id="13" w:name="page14"/>
    <w:bookmarkEnd w:id="13"/>
    <w:p>
      <w:pPr>
        <w:ind w:right="3279"/>
        <w:spacing w:after="0" w:line="274" w:lineRule="auto"/>
        <w:rPr>
          <w:sz w:val="20"/>
          <w:szCs w:val="20"/>
          <w:color w:val="auto"/>
        </w:rPr>
      </w:pPr>
      <w:r>
        <w:rPr>
          <w:rFonts w:ascii="Courier New" w:cs="Courier New" w:eastAsia="Courier New" w:hAnsi="Courier New"/>
          <w:sz w:val="14"/>
          <w:szCs w:val="14"/>
          <w:color w:val="auto"/>
        </w:rPr>
        <w:t>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68" w:lineRule="exact"/>
        <w:rPr>
          <w:sz w:val="20"/>
          <w:szCs w:val="20"/>
          <w:color w:val="auto"/>
        </w:rPr>
      </w:pPr>
    </w:p>
    <w:p>
      <w:pPr>
        <w:ind w:left="440" w:right="3379"/>
        <w:spacing w:after="0" w:line="378" w:lineRule="auto"/>
        <w:rPr>
          <w:sz w:val="20"/>
          <w:szCs w:val="20"/>
          <w:color w:val="auto"/>
        </w:rPr>
      </w:pPr>
      <w:r>
        <w:rPr>
          <w:rFonts w:ascii="Courier New" w:cs="Courier New" w:eastAsia="Courier New" w:hAnsi="Courier New"/>
          <w:sz w:val="14"/>
          <w:szCs w:val="14"/>
          <w:color w:val="auto"/>
        </w:rPr>
        <w:t>WE MAY BE EXPOSED TO THE CREDIT RISK OF CUSTOMERS THAT HAVE BEEN ADVERSELY AFFECTED BY WEAKENED MARKETS.</w:t>
      </w:r>
    </w:p>
    <w:p>
      <w:pPr>
        <w:spacing w:after="0" w:line="1" w:lineRule="exact"/>
        <w:rPr>
          <w:sz w:val="20"/>
          <w:szCs w:val="20"/>
          <w:color w:val="auto"/>
        </w:rPr>
      </w:pPr>
    </w:p>
    <w:p>
      <w:pPr>
        <w:ind w:right="3279" w:firstLine="781"/>
        <w:spacing w:after="0" w:line="280" w:lineRule="auto"/>
        <w:rPr>
          <w:sz w:val="20"/>
          <w:szCs w:val="20"/>
          <w:color w:val="auto"/>
        </w:rPr>
      </w:pPr>
      <w:r>
        <w:rPr>
          <w:rFonts w:ascii="Courier New" w:cs="Courier New" w:eastAsia="Courier New" w:hAnsi="Courier New"/>
          <w:sz w:val="14"/>
          <w:szCs w:val="14"/>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43" w:lineRule="exact"/>
        <w:rPr>
          <w:sz w:val="20"/>
          <w:szCs w:val="20"/>
          <w:color w:val="auto"/>
        </w:rPr>
      </w:pPr>
    </w:p>
    <w:p>
      <w:pPr>
        <w:ind w:left="440" w:right="3279"/>
        <w:spacing w:after="0" w:line="295" w:lineRule="auto"/>
        <w:rPr>
          <w:sz w:val="20"/>
          <w:szCs w:val="20"/>
          <w:color w:val="auto"/>
        </w:rPr>
      </w:pPr>
      <w:r>
        <w:rPr>
          <w:rFonts w:ascii="Courier New" w:cs="Courier New" w:eastAsia="Courier New" w:hAnsi="Courier New"/>
          <w:sz w:val="14"/>
          <w:szCs w:val="14"/>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55" w:lineRule="exact"/>
        <w:rPr>
          <w:sz w:val="20"/>
          <w:szCs w:val="20"/>
          <w:color w:val="auto"/>
        </w:rPr>
      </w:pPr>
    </w:p>
    <w:p>
      <w:pPr>
        <w:ind w:right="3279" w:firstLine="781"/>
        <w:spacing w:after="0" w:line="259" w:lineRule="auto"/>
        <w:rPr>
          <w:sz w:val="20"/>
          <w:szCs w:val="20"/>
          <w:color w:val="auto"/>
        </w:rPr>
      </w:pPr>
      <w:r>
        <w:rPr>
          <w:rFonts w:ascii="Courier New" w:cs="Courier New" w:eastAsia="Courier New" w:hAnsi="Courier New"/>
          <w:sz w:val="14"/>
          <w:szCs w:val="14"/>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86"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55" w:lineRule="exact"/>
        <w:rPr>
          <w:sz w:val="20"/>
          <w:szCs w:val="20"/>
          <w:color w:val="auto"/>
        </w:rPr>
      </w:pPr>
    </w:p>
    <w:p>
      <w:pPr>
        <w:ind w:left="440" w:right="3379"/>
        <w:spacing w:after="0" w:line="317" w:lineRule="auto"/>
        <w:rPr>
          <w:sz w:val="20"/>
          <w:szCs w:val="20"/>
          <w:color w:val="auto"/>
        </w:rPr>
      </w:pPr>
      <w:r>
        <w:rPr>
          <w:rFonts w:ascii="Courier New" w:cs="Courier New" w:eastAsia="Courier New" w:hAnsi="Courier New"/>
          <w:sz w:val="14"/>
          <w:szCs w:val="14"/>
          <w:color w:val="auto"/>
        </w:rPr>
        <w:t>OUR QUARTERLY OPERATING RESULTS MAY FLUCTUATE, AND A DECLINE IN REVENUE IN ANY QUARTER COULD RESULT IN LOWER PROFITABILITY FOR THAT QUARTER AND FLUCTUATIONS IN THE MARKET PRICE OF OUR ORDINARY SHARES.</w:t>
      </w:r>
    </w:p>
    <w:p>
      <w:pPr>
        <w:spacing w:after="0" w:line="39" w:lineRule="exact"/>
        <w:rPr>
          <w:sz w:val="20"/>
          <w:szCs w:val="20"/>
          <w:color w:val="auto"/>
        </w:rPr>
      </w:pPr>
    </w:p>
    <w:p>
      <w:pPr>
        <w:jc w:val="both"/>
        <w:ind w:right="3279" w:firstLine="781"/>
        <w:spacing w:after="0" w:line="317"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movement may continue and could intensify. Fluctuations may result from many factors, including:</w:t>
      </w:r>
    </w:p>
    <w:p>
      <w:pPr>
        <w:spacing w:after="0" w:line="39" w:lineRule="exact"/>
        <w:rPr>
          <w:sz w:val="20"/>
          <w:szCs w:val="20"/>
          <w:color w:val="auto"/>
        </w:rPr>
      </w:pPr>
    </w:p>
    <w:p>
      <w:pPr>
        <w:ind w:left="1320" w:right="3379" w:hanging="530"/>
        <w:spacing w:after="0" w:line="378" w:lineRule="auto"/>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or cancellations of significant projects by customers,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expenses,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competition,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our strategy,</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changes,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exchange rate fluctuations,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political conditions.</w:t>
      </w:r>
    </w:p>
    <w:p>
      <w:pPr>
        <w:spacing w:after="0" w:line="175" w:lineRule="exact"/>
        <w:rPr>
          <w:sz w:val="20"/>
          <w:szCs w:val="20"/>
          <w:color w:val="auto"/>
        </w:rPr>
      </w:pPr>
    </w:p>
    <w:p>
      <w:pPr>
        <w:ind w:right="3279" w:firstLine="781"/>
        <w:spacing w:after="0" w:line="280" w:lineRule="auto"/>
        <w:rPr>
          <w:sz w:val="20"/>
          <w:szCs w:val="20"/>
          <w:color w:val="auto"/>
        </w:rPr>
      </w:pPr>
      <w:r>
        <w:rPr>
          <w:rFonts w:ascii="Courier New" w:cs="Courier New" w:eastAsia="Courier New" w:hAnsi="Courier New"/>
          <w:sz w:val="14"/>
          <w:szCs w:val="14"/>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243"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w:t>
      </w:r>
    </w:p>
    <w:p>
      <w:pPr>
        <w:spacing w:after="0" w:line="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4" w:right="1440" w:bottom="1000" w:gutter="0" w:footer="0" w:header="0"/>
        </w:sectPr>
      </w:pPr>
    </w:p>
    <w:bookmarkStart w:id="14" w:name="page15"/>
    <w:bookmarkEnd w:id="14"/>
    <w:p>
      <w:pPr>
        <w:ind w:right="3379"/>
        <w:spacing w:after="0" w:line="295" w:lineRule="auto"/>
        <w:rPr>
          <w:sz w:val="20"/>
          <w:szCs w:val="20"/>
          <w:color w:val="auto"/>
        </w:rPr>
      </w:pPr>
      <w:r>
        <w:rPr>
          <w:rFonts w:ascii="Courier New" w:cs="Courier New" w:eastAsia="Courier New" w:hAnsi="Courier New"/>
          <w:sz w:val="14"/>
          <w:szCs w:val="14"/>
          <w:color w:val="auto"/>
        </w:rPr>
        <w:t>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55" w:lineRule="exact"/>
        <w:rPr>
          <w:sz w:val="20"/>
          <w:szCs w:val="20"/>
          <w:color w:val="auto"/>
        </w:rPr>
      </w:pPr>
    </w:p>
    <w:p>
      <w:pPr>
        <w:ind w:left="440" w:right="3279"/>
        <w:spacing w:after="0" w:line="317" w:lineRule="auto"/>
        <w:rPr>
          <w:sz w:val="20"/>
          <w:szCs w:val="20"/>
          <w:color w:val="auto"/>
        </w:rPr>
      </w:pPr>
      <w:r>
        <w:rPr>
          <w:rFonts w:ascii="Courier New" w:cs="Courier New" w:eastAsia="Courier New" w:hAnsi="Courier New"/>
          <w:sz w:val="14"/>
          <w:szCs w:val="14"/>
          <w:color w:val="auto"/>
        </w:rPr>
        <w:t>OUR REVENUE, EARNINGS AND PROFITABILITY ARE IMPACTED BY THE LENGTH OF OUR SALES CYCLE, AND A LONGER SALES CYCLE COULD ADVERSELY AFFECT OUR RESULTS OF OPERATIONS AND FINANCIAL CONDITION.</w:t>
      </w:r>
    </w:p>
    <w:p>
      <w:pPr>
        <w:spacing w:after="0" w:line="39"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84" w:lineRule="exact"/>
        <w:rPr>
          <w:sz w:val="20"/>
          <w:szCs w:val="20"/>
          <w:color w:val="auto"/>
        </w:rPr>
      </w:pPr>
    </w:p>
    <w:p>
      <w:pPr>
        <w:ind w:left="440" w:right="3899"/>
        <w:spacing w:after="0" w:line="378" w:lineRule="auto"/>
        <w:rPr>
          <w:sz w:val="20"/>
          <w:szCs w:val="20"/>
          <w:color w:val="auto"/>
        </w:rPr>
      </w:pPr>
      <w:r>
        <w:rPr>
          <w:rFonts w:ascii="Courier New" w:cs="Courier New" w:eastAsia="Courier New" w:hAnsi="Courier New"/>
          <w:sz w:val="14"/>
          <w:szCs w:val="14"/>
          <w:color w:val="auto"/>
        </w:rPr>
        <w:t>IF THE MARKET FOR OUR PRODUCTS DETERIORATES, WE MAY INCUR ADDITIONAL RESTRUCTURING CHARGES.</w:t>
      </w:r>
    </w:p>
    <w:p>
      <w:pPr>
        <w:spacing w:after="0" w:line="1"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77" w:lineRule="exact"/>
        <w:rPr>
          <w:sz w:val="20"/>
          <w:szCs w:val="20"/>
          <w:color w:val="auto"/>
        </w:rPr>
      </w:pPr>
    </w:p>
    <w:p>
      <w:pPr>
        <w:ind w:left="440" w:right="3799"/>
        <w:spacing w:after="0" w:line="378" w:lineRule="auto"/>
        <w:rPr>
          <w:sz w:val="20"/>
          <w:szCs w:val="20"/>
          <w:color w:val="auto"/>
        </w:rPr>
      </w:pPr>
      <w:r>
        <w:rPr>
          <w:rFonts w:ascii="Courier New" w:cs="Courier New" w:eastAsia="Courier New" w:hAnsi="Courier New"/>
          <w:sz w:val="14"/>
          <w:szCs w:val="14"/>
          <w:color w:val="auto"/>
        </w:rPr>
        <w:t>IF WE FAIL TO SUCCESSFULLY PLAN AND MANAGE CHANGES IN THE SIZE OF OUR OPERATIONS OUR BUSINESS WILL SUFFER.</w:t>
      </w:r>
    </w:p>
    <w:p>
      <w:pPr>
        <w:spacing w:after="0" w:line="1"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60"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78" w:lineRule="exact"/>
        <w:rPr>
          <w:sz w:val="20"/>
          <w:szCs w:val="20"/>
          <w:color w:val="auto"/>
        </w:rPr>
      </w:pPr>
    </w:p>
    <w:p>
      <w:pPr>
        <w:ind w:left="440" w:right="3459"/>
        <w:spacing w:after="0" w:line="378" w:lineRule="auto"/>
        <w:rPr>
          <w:sz w:val="20"/>
          <w:szCs w:val="20"/>
          <w:color w:val="auto"/>
        </w:rPr>
      </w:pPr>
      <w:r>
        <w:rPr>
          <w:rFonts w:ascii="Courier New" w:cs="Courier New" w:eastAsia="Courier New" w:hAnsi="Courier New"/>
          <w:sz w:val="14"/>
          <w:szCs w:val="14"/>
          <w:color w:val="auto"/>
        </w:rPr>
        <w:t>OUR INTERNATIONAL PRESENCE EXPOSES US TO RISKS ASSOCIATED WITH VARIED AND CHANGING POLITICAL, CULTURAL AND ECONOMIC CONDITIONS WORLDWIDE.</w:t>
      </w:r>
    </w:p>
    <w:p>
      <w:pPr>
        <w:spacing w:after="0" w:line="1" w:lineRule="exact"/>
        <w:rPr>
          <w:sz w:val="20"/>
          <w:szCs w:val="20"/>
          <w:color w:val="auto"/>
        </w:rPr>
      </w:pPr>
    </w:p>
    <w:p>
      <w:pPr>
        <w:ind w:right="3379" w:firstLine="781"/>
        <w:spacing w:after="0" w:line="278" w:lineRule="auto"/>
        <w:rPr>
          <w:sz w:val="20"/>
          <w:szCs w:val="20"/>
          <w:color w:val="auto"/>
        </w:rPr>
      </w:pPr>
      <w:r>
        <w:rPr>
          <w:rFonts w:ascii="Courier New" w:cs="Courier New" w:eastAsia="Courier New" w:hAnsi="Courier New"/>
          <w:sz w:val="14"/>
          <w:szCs w:val="14"/>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4" w:right="1440" w:bottom="1440" w:gutter="0" w:footer="0" w:header="0"/>
        </w:sectPr>
      </w:pPr>
    </w:p>
    <w:bookmarkStart w:id="15" w:name="page16"/>
    <w:bookmarkEnd w:id="15"/>
    <w:p>
      <w:pPr>
        <w:ind w:right="3279"/>
        <w:spacing w:after="0" w:line="285" w:lineRule="auto"/>
        <w:rPr>
          <w:sz w:val="20"/>
          <w:szCs w:val="20"/>
          <w:color w:val="auto"/>
        </w:rPr>
      </w:pPr>
      <w:r>
        <w:rPr>
          <w:rFonts w:ascii="Courier New" w:cs="Courier New" w:eastAsia="Courier New" w:hAnsi="Courier New"/>
          <w:sz w:val="14"/>
          <w:szCs w:val="14"/>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60" w:lineRule="exact"/>
        <w:rPr>
          <w:sz w:val="20"/>
          <w:szCs w:val="20"/>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acceptance of non-localized products,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cultural differences in the conduct of business,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staffing and managing foreign operations,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w:t>
      </w:r>
    </w:p>
    <w:p>
      <w:pPr>
        <w:spacing w:after="0" w:line="175" w:lineRule="exact"/>
        <w:rPr>
          <w:rFonts w:ascii="Courier New" w:cs="Courier New" w:eastAsia="Courier New" w:hAnsi="Courier New"/>
          <w:sz w:val="14"/>
          <w:szCs w:val="14"/>
          <w:color w:val="auto"/>
        </w:rPr>
      </w:pPr>
    </w:p>
    <w:p>
      <w:pPr>
        <w:ind w:left="1320" w:right="3539" w:hanging="530"/>
        <w:spacing w:after="0" w:line="37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collecting accounts receivable and withholding taxes that limit the repatriation of earnings,</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barriers,</w:t>
      </w:r>
    </w:p>
    <w:p>
      <w:pPr>
        <w:spacing w:after="0" w:line="175" w:lineRule="exact"/>
        <w:rPr>
          <w:rFonts w:ascii="Courier New" w:cs="Courier New" w:eastAsia="Courier New" w:hAnsi="Courier New"/>
          <w:sz w:val="14"/>
          <w:szCs w:val="14"/>
          <w:color w:val="auto"/>
        </w:rPr>
      </w:pPr>
    </w:p>
    <w:p>
      <w:pPr>
        <w:ind w:left="1320" w:right="3719" w:hanging="530"/>
        <w:spacing w:after="0" w:line="37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 and</w:t>
      </w:r>
    </w:p>
    <w:p>
      <w:pPr>
        <w:spacing w:after="0" w:line="175" w:lineRule="exact"/>
        <w:rPr>
          <w:rFonts w:ascii="Courier New" w:cs="Courier New" w:eastAsia="Courier New" w:hAnsi="Courier New"/>
          <w:sz w:val="14"/>
          <w:szCs w:val="14"/>
          <w:color w:val="auto"/>
        </w:rPr>
      </w:pPr>
    </w:p>
    <w:p>
      <w:pPr>
        <w:ind w:left="1320" w:right="3279" w:hanging="530"/>
        <w:spacing w:after="0" w:line="37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effective income tax rates among countries where we conduct business.</w:t>
      </w:r>
    </w:p>
    <w:p>
      <w:pPr>
        <w:spacing w:after="0" w:line="1" w:lineRule="exact"/>
        <w:rPr>
          <w:sz w:val="20"/>
          <w:szCs w:val="20"/>
          <w:color w:val="auto"/>
        </w:rPr>
      </w:pPr>
    </w:p>
    <w:p>
      <w:pPr>
        <w:ind w:right="3539" w:firstLine="781"/>
        <w:spacing w:after="0" w:line="317" w:lineRule="auto"/>
        <w:rPr>
          <w:sz w:val="20"/>
          <w:szCs w:val="20"/>
          <w:color w:val="auto"/>
        </w:rPr>
      </w:pPr>
      <w:r>
        <w:rPr>
          <w:rFonts w:ascii="Courier New" w:cs="Courier New" w:eastAsia="Courier New" w:hAnsi="Courier New"/>
          <w:sz w:val="14"/>
          <w:szCs w:val="14"/>
          <w:color w:val="auto"/>
        </w:rPr>
        <w:t>One or more of these factors could have a material adverse effect on our international operations, which could harm our results of operations and financial condition.</w:t>
      </w:r>
    </w:p>
    <w:p>
      <w:pPr>
        <w:spacing w:after="0" w:line="39" w:lineRule="exact"/>
        <w:rPr>
          <w:sz w:val="20"/>
          <w:szCs w:val="20"/>
          <w:color w:val="auto"/>
        </w:rPr>
      </w:pPr>
    </w:p>
    <w:p>
      <w:pPr>
        <w:ind w:left="440" w:right="3459"/>
        <w:spacing w:after="0" w:line="317" w:lineRule="auto"/>
        <w:rPr>
          <w:sz w:val="20"/>
          <w:szCs w:val="20"/>
          <w:color w:val="auto"/>
        </w:rPr>
      </w:pPr>
      <w:r>
        <w:rPr>
          <w:rFonts w:ascii="Courier New" w:cs="Courier New" w:eastAsia="Courier New" w:hAnsi="Courier New"/>
          <w:sz w:val="14"/>
          <w:szCs w:val="14"/>
          <w:color w:val="auto"/>
        </w:rPr>
        <w:t>POLITICAL AND ECONOMIC CONDITIONS IN THE MIDDLE EAST MAY ADVERSELY AFFECT OUR BUSINESS AND OUR DEVELOPMENT FACILITY IN CYPRUS MAY BE ADVERSELY AFFECTED BY POLITICAL CONDITIONS IN THAT COUNTRY.</w:t>
      </w:r>
    </w:p>
    <w:p>
      <w:pPr>
        <w:spacing w:after="0" w:line="39"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51"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48"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4" w:right="1440" w:bottom="1440" w:gutter="0" w:footer="0" w:header="0"/>
        </w:sectPr>
      </w:pPr>
    </w:p>
    <w:bookmarkStart w:id="16" w:name="page17"/>
    <w:bookmarkEnd w:id="16"/>
    <w:p>
      <w:pPr>
        <w:ind w:left="440" w:right="3279"/>
        <w:spacing w:after="0" w:line="343" w:lineRule="auto"/>
        <w:rPr>
          <w:sz w:val="20"/>
          <w:szCs w:val="20"/>
          <w:color w:val="auto"/>
        </w:rPr>
      </w:pPr>
      <w:r>
        <w:rPr>
          <w:rFonts w:ascii="Courier New" w:cs="Courier New" w:eastAsia="Courier New" w:hAnsi="Courier New"/>
          <w:sz w:val="14"/>
          <w:szCs w:val="14"/>
          <w:color w:val="auto"/>
        </w:rPr>
        <w:t>OUR INTERNATIONAL OPERATIONS EXPOSE US TO RISKS ASSOCIATED WITH FLUCTUATIONS IN FOREIGN CURRENCY EXCHANGE RATES THAT COULD ADVERSELY AFFECT OUR BUSINESS.</w:t>
      </w:r>
    </w:p>
    <w:p>
      <w:pPr>
        <w:spacing w:after="0" w:line="214"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83" w:lineRule="exact"/>
        <w:rPr>
          <w:sz w:val="20"/>
          <w:szCs w:val="20"/>
          <w:color w:val="auto"/>
        </w:rPr>
      </w:pPr>
    </w:p>
    <w:p>
      <w:pPr>
        <w:ind w:right="3379" w:firstLine="781"/>
        <w:spacing w:after="0" w:line="274" w:lineRule="auto"/>
        <w:rPr>
          <w:sz w:val="20"/>
          <w:szCs w:val="20"/>
          <w:color w:val="auto"/>
        </w:rPr>
      </w:pPr>
      <w:r>
        <w:rPr>
          <w:rFonts w:ascii="Courier New" w:cs="Courier New" w:eastAsia="Courier New" w:hAnsi="Courier New"/>
          <w:sz w:val="14"/>
          <w:szCs w:val="14"/>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68"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66" w:lineRule="exact"/>
        <w:rPr>
          <w:sz w:val="20"/>
          <w:szCs w:val="20"/>
          <w:color w:val="auto"/>
        </w:rPr>
      </w:pPr>
    </w:p>
    <w:p>
      <w:pPr>
        <w:jc w:val="both"/>
        <w:ind w:right="3459" w:firstLine="781"/>
        <w:spacing w:after="0" w:line="317"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our business, results of operations and financial condition.</w:t>
      </w:r>
    </w:p>
    <w:p>
      <w:pPr>
        <w:spacing w:after="0" w:line="39" w:lineRule="exact"/>
        <w:rPr>
          <w:sz w:val="20"/>
          <w:szCs w:val="20"/>
          <w:color w:val="auto"/>
        </w:rPr>
      </w:pPr>
    </w:p>
    <w:p>
      <w:pPr>
        <w:ind w:left="440" w:right="4679"/>
        <w:spacing w:after="0" w:line="378" w:lineRule="auto"/>
        <w:rPr>
          <w:sz w:val="20"/>
          <w:szCs w:val="20"/>
          <w:color w:val="auto"/>
        </w:rPr>
      </w:pPr>
      <w:r>
        <w:rPr>
          <w:rFonts w:ascii="Courier New" w:cs="Courier New" w:eastAsia="Courier New" w:hAnsi="Courier New"/>
          <w:sz w:val="14"/>
          <w:szCs w:val="14"/>
          <w:color w:val="auto"/>
        </w:rPr>
        <w:t>IF WE ARE UNABLE TO PROTECT OUR PROPRIETARY TECHNOLOGY FROM MISAPPROPRIATION, OUR BUSINESS MAY BE HARMED.</w:t>
      </w:r>
    </w:p>
    <w:p>
      <w:pPr>
        <w:spacing w:after="0" w:line="1"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72"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70" w:lineRule="exact"/>
        <w:rPr>
          <w:sz w:val="20"/>
          <w:szCs w:val="20"/>
          <w:color w:val="auto"/>
        </w:rPr>
      </w:pPr>
    </w:p>
    <w:p>
      <w:pPr>
        <w:jc w:val="both"/>
        <w:ind w:right="3459" w:firstLine="781"/>
        <w:spacing w:after="0" w:line="317" w:lineRule="auto"/>
        <w:rPr>
          <w:sz w:val="20"/>
          <w:szCs w:val="20"/>
          <w:color w:val="auto"/>
        </w:rPr>
      </w:pPr>
      <w:r>
        <w:rPr>
          <w:rFonts w:ascii="Courier New" w:cs="Courier New" w:eastAsia="Courier New" w:hAnsi="Courier New"/>
          <w:sz w:val="14"/>
          <w:szCs w:val="14"/>
          <w:color w:val="auto"/>
        </w:rPr>
        <w:t>If we have to resort to legal proceedings to enforce our intellectual property rights, the proceedings could be burdensome, protracted and expensive and could involve a high degree of risk.</w:t>
      </w:r>
    </w:p>
    <w:p>
      <w:pPr>
        <w:spacing w:after="0" w:line="39" w:lineRule="exact"/>
        <w:rPr>
          <w:sz w:val="20"/>
          <w:szCs w:val="20"/>
          <w:color w:val="auto"/>
        </w:rPr>
      </w:pPr>
    </w:p>
    <w:p>
      <w:pPr>
        <w:ind w:left="440" w:right="3459"/>
        <w:spacing w:after="0" w:line="378" w:lineRule="auto"/>
        <w:rPr>
          <w:sz w:val="20"/>
          <w:szCs w:val="20"/>
          <w:color w:val="auto"/>
        </w:rPr>
      </w:pPr>
      <w:r>
        <w:rPr>
          <w:rFonts w:ascii="Courier New" w:cs="Courier New" w:eastAsia="Courier New" w:hAnsi="Courier New"/>
          <w:sz w:val="14"/>
          <w:szCs w:val="14"/>
          <w:color w:val="auto"/>
        </w:rPr>
        <w:t>CLAIMS BY OTHERS THAT WE INFRINGE THEIR PROPRIETARY TECHNOLOGY COULD HARM OUR BUSINESS.</w:t>
      </w:r>
    </w:p>
    <w:p>
      <w:pPr>
        <w:spacing w:after="0" w:line="1" w:lineRule="exact"/>
        <w:rPr>
          <w:sz w:val="20"/>
          <w:szCs w:val="20"/>
          <w:color w:val="auto"/>
        </w:rPr>
      </w:pPr>
    </w:p>
    <w:p>
      <w:pPr>
        <w:ind w:right="3379" w:firstLine="781"/>
        <w:spacing w:after="0" w:line="274" w:lineRule="auto"/>
        <w:rPr>
          <w:sz w:val="20"/>
          <w:szCs w:val="20"/>
          <w:color w:val="auto"/>
        </w:rPr>
      </w:pPr>
      <w:r>
        <w:rPr>
          <w:rFonts w:ascii="Courier New" w:cs="Courier New" w:eastAsia="Courier New" w:hAnsi="Courier New"/>
          <w:sz w:val="14"/>
          <w:szCs w:val="14"/>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w:t>
      </w:r>
    </w:p>
    <w:p>
      <w:pPr>
        <w:spacing w:after="0" w:line="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4" w:right="1440" w:bottom="1440" w:gutter="0" w:footer="0" w:header="0"/>
        </w:sectPr>
      </w:pPr>
    </w:p>
    <w:bookmarkStart w:id="17" w:name="page18"/>
    <w:bookmarkEnd w:id="17"/>
    <w:p>
      <w:pPr>
        <w:ind w:right="3379"/>
        <w:spacing w:after="0" w:line="278" w:lineRule="auto"/>
        <w:rPr>
          <w:sz w:val="20"/>
          <w:szCs w:val="20"/>
          <w:color w:val="auto"/>
        </w:rPr>
      </w:pPr>
      <w:r>
        <w:rPr>
          <w:rFonts w:ascii="Courier New" w:cs="Courier New" w:eastAsia="Courier New" w:hAnsi="Courier New"/>
          <w:sz w:val="14"/>
          <w:szCs w:val="14"/>
          <w:color w:val="auto"/>
        </w:rPr>
        <w:t>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66"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DEFECTS OR SOFTWARE ERRORS COULD ADVERSELY AFFECT OUR BUSINESS.</w:t>
      </w:r>
    </w:p>
    <w:p>
      <w:pPr>
        <w:spacing w:after="0" w:line="175" w:lineRule="exact"/>
        <w:rPr>
          <w:sz w:val="20"/>
          <w:szCs w:val="20"/>
          <w:color w:val="auto"/>
        </w:rPr>
      </w:pPr>
    </w:p>
    <w:p>
      <w:pPr>
        <w:ind w:right="3379" w:firstLine="781"/>
        <w:spacing w:after="0" w:line="285"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60"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83" w:lineRule="exact"/>
        <w:rPr>
          <w:sz w:val="20"/>
          <w:szCs w:val="20"/>
          <w:color w:val="auto"/>
        </w:rPr>
      </w:pPr>
    </w:p>
    <w:p>
      <w:pPr>
        <w:ind w:left="440" w:right="3639"/>
        <w:spacing w:after="0" w:line="317" w:lineRule="auto"/>
        <w:rPr>
          <w:sz w:val="20"/>
          <w:szCs w:val="20"/>
          <w:color w:val="auto"/>
        </w:rPr>
      </w:pPr>
      <w:r>
        <w:rPr>
          <w:rFonts w:ascii="Courier New" w:cs="Courier New" w:eastAsia="Courier New" w:hAnsi="Courier New"/>
          <w:sz w:val="14"/>
          <w:szCs w:val="14"/>
          <w:color w:val="auto"/>
        </w:rPr>
        <w:t>SYSTEM DISRUPTIONS AND FAILURES MAY RESULT IN CUSTOMER DISSATISFACTION, CUSTOMER LOSS OR BOTH, WHICH COULD MATERIALLY AND ADVERSELY AFFECT OUR REPUTATION AND BUSINESS.</w:t>
      </w:r>
    </w:p>
    <w:p>
      <w:pPr>
        <w:spacing w:after="0" w:line="39" w:lineRule="exact"/>
        <w:rPr>
          <w:sz w:val="20"/>
          <w:szCs w:val="20"/>
          <w:color w:val="auto"/>
        </w:rPr>
      </w:pPr>
    </w:p>
    <w:p>
      <w:pPr>
        <w:ind w:right="3379" w:firstLine="781"/>
        <w:spacing w:after="0" w:line="274" w:lineRule="auto"/>
        <w:rPr>
          <w:sz w:val="20"/>
          <w:szCs w:val="20"/>
          <w:color w:val="auto"/>
        </w:rPr>
      </w:pPr>
      <w:r>
        <w:rPr>
          <w:rFonts w:ascii="Courier New" w:cs="Courier New" w:eastAsia="Courier New" w:hAnsi="Courier New"/>
          <w:sz w:val="14"/>
          <w:szCs w:val="14"/>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68"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77" w:lineRule="exact"/>
        <w:rPr>
          <w:sz w:val="20"/>
          <w:szCs w:val="20"/>
          <w:color w:val="auto"/>
        </w:rPr>
      </w:pPr>
    </w:p>
    <w:p>
      <w:pPr>
        <w:ind w:right="3379" w:firstLine="781"/>
        <w:spacing w:after="0" w:line="278" w:lineRule="auto"/>
        <w:rPr>
          <w:sz w:val="20"/>
          <w:szCs w:val="20"/>
          <w:color w:val="auto"/>
        </w:rPr>
      </w:pPr>
      <w:r>
        <w:rPr>
          <w:rFonts w:ascii="Courier New" w:cs="Courier New" w:eastAsia="Courier New" w:hAnsi="Courier New"/>
          <w:sz w:val="14"/>
          <w:szCs w:val="14"/>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w:t>
      </w:r>
    </w:p>
    <w:p>
      <w:pPr>
        <w:spacing w:after="0" w:line="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94" w:right="1440" w:bottom="1440" w:gutter="0" w:footer="0" w:header="0"/>
        </w:sectPr>
      </w:pPr>
    </w:p>
    <w:bookmarkStart w:id="18" w:name="page19"/>
    <w:bookmarkEnd w:id="18"/>
    <w:p>
      <w:pPr>
        <w:spacing w:after="0" w:line="77"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from an outage or interruption. Any damage or failure that interrupts or delays our operations could result in material harm to our business and expose us to material liabilities.</w:t>
      </w:r>
    </w:p>
    <w:p>
      <w:pPr>
        <w:spacing w:after="0" w:line="39" w:lineRule="exact"/>
        <w:rPr>
          <w:sz w:val="20"/>
          <w:szCs w:val="20"/>
          <w:color w:val="auto"/>
        </w:rPr>
      </w:pPr>
    </w:p>
    <w:p>
      <w:pPr>
        <w:ind w:left="440" w:right="3979"/>
        <w:spacing w:after="0" w:line="378"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 w:lineRule="exact"/>
        <w:rPr>
          <w:sz w:val="20"/>
          <w:szCs w:val="20"/>
          <w:color w:val="auto"/>
        </w:rPr>
      </w:pPr>
    </w:p>
    <w:p>
      <w:pPr>
        <w:ind w:right="3379" w:firstLine="781"/>
        <w:spacing w:after="0" w:line="278" w:lineRule="auto"/>
        <w:rPr>
          <w:sz w:val="20"/>
          <w:szCs w:val="20"/>
          <w:color w:val="auto"/>
        </w:rPr>
      </w:pPr>
      <w:r>
        <w:rPr>
          <w:rFonts w:ascii="Courier New" w:cs="Courier New" w:eastAsia="Courier New" w:hAnsi="Courier New"/>
          <w:sz w:val="14"/>
          <w:szCs w:val="14"/>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66"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80" w:lineRule="exact"/>
        <w:rPr>
          <w:sz w:val="20"/>
          <w:szCs w:val="20"/>
          <w:color w:val="auto"/>
        </w:rPr>
      </w:pPr>
    </w:p>
    <w:p>
      <w:pPr>
        <w:ind w:right="3379" w:firstLine="781"/>
        <w:spacing w:after="0" w:line="285" w:lineRule="auto"/>
        <w:rPr>
          <w:sz w:val="20"/>
          <w:szCs w:val="20"/>
          <w:color w:val="auto"/>
        </w:rPr>
      </w:pPr>
      <w:r>
        <w:rPr>
          <w:rFonts w:ascii="Courier New" w:cs="Courier New" w:eastAsia="Courier New" w:hAnsi="Courier New"/>
          <w:sz w:val="14"/>
          <w:szCs w:val="14"/>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60" w:lineRule="exact"/>
        <w:rPr>
          <w:sz w:val="20"/>
          <w:szCs w:val="20"/>
          <w:color w:val="auto"/>
        </w:rPr>
      </w:pPr>
    </w:p>
    <w:p>
      <w:pPr>
        <w:ind w:right="3899" w:firstLine="781"/>
        <w:spacing w:after="0" w:line="378" w:lineRule="auto"/>
        <w:rPr>
          <w:sz w:val="20"/>
          <w:szCs w:val="20"/>
          <w:color w:val="auto"/>
        </w:rPr>
      </w:pPr>
      <w:r>
        <w:rPr>
          <w:rFonts w:ascii="Courier New" w:cs="Courier New" w:eastAsia="Courier New" w:hAnsi="Courier New"/>
          <w:sz w:val="14"/>
          <w:szCs w:val="14"/>
          <w:color w:val="auto"/>
        </w:rPr>
        <w:t>Any of the following could have a material effect on our overall effective tax rate:</w:t>
      </w:r>
    </w:p>
    <w:p>
      <w:pPr>
        <w:spacing w:after="0" w:line="1" w:lineRule="exact"/>
        <w:rPr>
          <w:sz w:val="20"/>
          <w:szCs w:val="20"/>
          <w:color w:val="auto"/>
        </w:rPr>
      </w:pPr>
    </w:p>
    <w:p>
      <w:pPr>
        <w:ind w:left="1320" w:hanging="530"/>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programs may be discontinued,</w:t>
      </w:r>
    </w:p>
    <w:p>
      <w:pPr>
        <w:spacing w:after="0" w:line="175" w:lineRule="exact"/>
        <w:rPr>
          <w:rFonts w:ascii="Courier New" w:cs="Courier New" w:eastAsia="Courier New" w:hAnsi="Courier New"/>
          <w:sz w:val="14"/>
          <w:szCs w:val="14"/>
          <w:color w:val="auto"/>
        </w:rPr>
      </w:pPr>
    </w:p>
    <w:p>
      <w:pPr>
        <w:ind w:left="1320" w:right="3799" w:hanging="530"/>
        <w:spacing w:after="0" w:line="37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meet the requirements for continuing to qualify for some programs,</w:t>
      </w:r>
    </w:p>
    <w:p>
      <w:pPr>
        <w:spacing w:after="0" w:line="1" w:lineRule="exact"/>
        <w:rPr>
          <w:rFonts w:ascii="Courier New" w:cs="Courier New" w:eastAsia="Courier New" w:hAnsi="Courier New"/>
          <w:sz w:val="14"/>
          <w:szCs w:val="14"/>
          <w:color w:val="auto"/>
        </w:rPr>
      </w:pPr>
    </w:p>
    <w:p>
      <w:pPr>
        <w:ind w:left="1320" w:right="3799" w:hanging="530"/>
        <w:spacing w:after="0" w:line="37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programs and tax benefits may be unavailable at their current levels,</w:t>
      </w:r>
    </w:p>
    <w:p>
      <w:pPr>
        <w:spacing w:after="0" w:line="1" w:lineRule="exact"/>
        <w:rPr>
          <w:rFonts w:ascii="Courier New" w:cs="Courier New" w:eastAsia="Courier New" w:hAnsi="Courier New"/>
          <w:sz w:val="14"/>
          <w:szCs w:val="14"/>
          <w:color w:val="auto"/>
        </w:rPr>
      </w:pPr>
    </w:p>
    <w:p>
      <w:pPr>
        <w:ind w:left="1320" w:right="3379" w:hanging="530"/>
        <w:spacing w:after="0" w:line="317"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expiration of a particular benefit, we may not be eligible to participate in a new program or qualify for a new tax benefit that would offset the loss of the expiring tax benefit, or</w:t>
      </w:r>
    </w:p>
    <w:p>
      <w:pPr>
        <w:spacing w:after="0" w:line="39" w:lineRule="exact"/>
        <w:rPr>
          <w:rFonts w:ascii="Courier New" w:cs="Courier New" w:eastAsia="Courier New" w:hAnsi="Courier New"/>
          <w:sz w:val="14"/>
          <w:szCs w:val="14"/>
          <w:color w:val="auto"/>
        </w:rPr>
      </w:pPr>
    </w:p>
    <w:p>
      <w:pPr>
        <w:ind w:left="1320" w:right="3379" w:hanging="530"/>
        <w:spacing w:after="0" w:line="37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refund previously recognized tax benefits if we are found to be in violation of the stipulated conditions.</w:t>
      </w:r>
    </w:p>
    <w:p>
      <w:pPr>
        <w:spacing w:after="0" w:line="1" w:lineRule="exact"/>
        <w:rPr>
          <w:sz w:val="20"/>
          <w:szCs w:val="20"/>
          <w:color w:val="auto"/>
        </w:rPr>
      </w:pPr>
    </w:p>
    <w:p>
      <w:pPr>
        <w:ind w:left="440" w:right="3279"/>
        <w:spacing w:after="0" w:line="317" w:lineRule="auto"/>
        <w:rPr>
          <w:sz w:val="20"/>
          <w:szCs w:val="20"/>
          <w:color w:val="auto"/>
        </w:rPr>
      </w:pPr>
      <w:r>
        <w:rPr>
          <w:rFonts w:ascii="Courier New" w:cs="Courier New" w:eastAsia="Courier New" w:hAnsi="Courier New"/>
          <w:sz w:val="14"/>
          <w:szCs w:val="14"/>
          <w:color w:val="auto"/>
        </w:rPr>
        <w:t>WE ARE CURRENTLY A PARTY TO SECURITIES LITIGATION CLASS ACTION LAWSUITS AND A SECURITIES EXCHANGE COMMISSION INVESTIGATION, WHICH COULD NEGATIVELY AFFECT OUR BUSINESS AND RESULTS OF OPERATIONS.</w:t>
      </w:r>
    </w:p>
    <w:p>
      <w:pPr>
        <w:spacing w:after="0" w:line="39"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83"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72" w:lineRule="exact"/>
        <w:rPr>
          <w:sz w:val="20"/>
          <w:szCs w:val="20"/>
          <w:color w:val="auto"/>
        </w:rPr>
      </w:pPr>
    </w:p>
    <w:p>
      <w:pPr>
        <w:ind w:left="440" w:right="3459"/>
        <w:spacing w:after="0" w:line="317" w:lineRule="auto"/>
        <w:rPr>
          <w:sz w:val="20"/>
          <w:szCs w:val="20"/>
          <w:color w:val="auto"/>
        </w:rPr>
      </w:pPr>
      <w:r>
        <w:rPr>
          <w:rFonts w:ascii="Courier New" w:cs="Courier New" w:eastAsia="Courier New" w:hAnsi="Courier New"/>
          <w:sz w:val="14"/>
          <w:szCs w:val="14"/>
          <w:color w:val="auto"/>
        </w:rPr>
        <w:t>IT MAY BE DIFFICULT FOR OUR SHAREHOLDERS TO ENFORCE ANY JUDGMENT OBTAINED IN THE UNITED STATES AGAINST US, THE SELLING SECURITYHOLDERS OR OUR AFFILIATES.</w:t>
      </w:r>
    </w:p>
    <w:p>
      <w:pPr>
        <w:spacing w:after="0" w:line="39"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w:t>
      </w:r>
    </w:p>
    <w:p>
      <w:pPr>
        <w:sectPr>
          <w:pgSz w:w="11900" w:h="16915" w:orient="portrait"/>
          <w:cols w:equalWidth="0" w:num="1">
            <w:col w:w="10239"/>
          </w:cols>
          <w:pgMar w:left="220" w:top="594" w:right="1440" w:bottom="0" w:gutter="0" w:footer="0" w:header="0"/>
        </w:sectPr>
      </w:pPr>
    </w:p>
    <w:bookmarkStart w:id="19" w:name="page20"/>
    <w:bookmarkEnd w:id="19"/>
    <w:p>
      <w:pPr>
        <w:ind w:right="3379"/>
        <w:spacing w:after="0" w:line="295" w:lineRule="auto"/>
        <w:rPr>
          <w:sz w:val="20"/>
          <w:szCs w:val="20"/>
          <w:color w:val="auto"/>
        </w:rPr>
      </w:pPr>
      <w:r>
        <w:rPr>
          <w:rFonts w:ascii="Courier New" w:cs="Courier New" w:eastAsia="Courier New" w:hAnsi="Courier New"/>
          <w:sz w:val="14"/>
          <w:szCs w:val="14"/>
          <w:color w:val="auto"/>
        </w:rPr>
        <w:t>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CAPITAL STRUCTURE</w:t>
      </w:r>
    </w:p>
    <w:p>
      <w:pPr>
        <w:spacing w:after="0" w:line="175" w:lineRule="exact"/>
        <w:rPr>
          <w:sz w:val="20"/>
          <w:szCs w:val="20"/>
          <w:color w:val="auto"/>
        </w:rPr>
      </w:pPr>
    </w:p>
    <w:p>
      <w:pPr>
        <w:ind w:left="440" w:right="3459"/>
        <w:spacing w:after="0" w:line="378" w:lineRule="auto"/>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 w:lineRule="exact"/>
        <w:rPr>
          <w:sz w:val="20"/>
          <w:szCs w:val="20"/>
          <w:color w:val="auto"/>
        </w:rPr>
      </w:pPr>
    </w:p>
    <w:p>
      <w:pPr>
        <w:ind w:right="3279" w:firstLine="781"/>
        <w:spacing w:after="0" w:line="288"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During fiscal year 2004, our ordinary shares traded as high as $30.69 per share and as low as $18.08 per share. During fiscal year 2003, our ordinary shares traded as high as $27.25 per share and as low as $5.85 per share.</w:t>
      </w:r>
    </w:p>
    <w:p>
      <w:pPr>
        <w:spacing w:after="0" w:line="2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15" w:right="1440" w:bottom="1440" w:gutter="0" w:footer="0" w:header="0"/>
        </w:sectPr>
      </w:pPr>
    </w:p>
    <w:bookmarkStart w:id="20" w:name="page21"/>
    <w:bookmarkEnd w:id="20"/>
    <w:p>
      <w:pPr>
        <w:ind w:right="3379"/>
        <w:spacing w:after="0" w:line="285" w:lineRule="auto"/>
        <w:rPr>
          <w:sz w:val="20"/>
          <w:szCs w:val="20"/>
          <w:color w:val="auto"/>
        </w:rPr>
      </w:pPr>
      <w:r>
        <w:rPr>
          <w:rFonts w:ascii="Courier New" w:cs="Courier New" w:eastAsia="Courier New" w:hAnsi="Courier New"/>
          <w:sz w:val="14"/>
          <w:szCs w:val="14"/>
          <w:color w:val="auto"/>
        </w:rPr>
        <w:t>Our ordinary shares traded as high as $39.25 per share and as low as $6.10 per share in fiscal 2002 and as high as $80.50 per share and as low as $25.85 per share in fiscal 2001. As of November 15, 2004, the closing price of our ordinary shares was $26.78 per share. Many factors could cause the market price of our ordinary shares to rise and fall, including:</w:t>
      </w:r>
    </w:p>
    <w:p>
      <w:pPr>
        <w:spacing w:after="0" w:line="227" w:lineRule="exact"/>
        <w:rPr>
          <w:sz w:val="20"/>
          <w:szCs w:val="20"/>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in the industry and the economy as a whole,</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quarterly operating results,</w:t>
      </w:r>
    </w:p>
    <w:p>
      <w:pPr>
        <w:spacing w:after="0" w:line="175" w:lineRule="exact"/>
        <w:rPr>
          <w:rFonts w:ascii="Courier New" w:cs="Courier New" w:eastAsia="Courier New" w:hAnsi="Courier New"/>
          <w:sz w:val="14"/>
          <w:szCs w:val="14"/>
          <w:color w:val="auto"/>
        </w:rPr>
      </w:pPr>
    </w:p>
    <w:p>
      <w:pPr>
        <w:ind w:left="1320" w:right="4159" w:hanging="530"/>
        <w:spacing w:after="0" w:line="37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by us or our competitors,</w:t>
      </w:r>
    </w:p>
    <w:p>
      <w:pPr>
        <w:spacing w:after="0" w:line="1" w:lineRule="exact"/>
        <w:rPr>
          <w:rFonts w:ascii="Courier New" w:cs="Courier New" w:eastAsia="Courier New" w:hAnsi="Courier New"/>
          <w:sz w:val="14"/>
          <w:szCs w:val="14"/>
          <w:color w:val="auto"/>
        </w:rPr>
      </w:pPr>
    </w:p>
    <w:p>
      <w:pPr>
        <w:ind w:left="1320" w:right="3539" w:hanging="530"/>
        <w:spacing w:after="0" w:line="37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introductions of new products or new pricing policies by us or our competitors,</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in the communications or software industries,</w:t>
      </w:r>
    </w:p>
    <w:p>
      <w:pPr>
        <w:spacing w:after="0" w:line="175" w:lineRule="exact"/>
        <w:rPr>
          <w:rFonts w:ascii="Courier New" w:cs="Courier New" w:eastAsia="Courier New" w:hAnsi="Courier New"/>
          <w:sz w:val="14"/>
          <w:szCs w:val="14"/>
          <w:color w:val="auto"/>
        </w:rPr>
      </w:pPr>
    </w:p>
    <w:p>
      <w:pPr>
        <w:ind w:left="1320" w:right="3899" w:hanging="530"/>
        <w:spacing w:after="0" w:line="37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or strategic alliances by us or others in our industry,</w:t>
      </w:r>
    </w:p>
    <w:p>
      <w:pPr>
        <w:spacing w:after="0" w:line="1" w:lineRule="exact"/>
        <w:rPr>
          <w:rFonts w:ascii="Courier New" w:cs="Courier New" w:eastAsia="Courier New" w:hAnsi="Courier New"/>
          <w:sz w:val="14"/>
          <w:szCs w:val="14"/>
          <w:color w:val="auto"/>
        </w:rPr>
      </w:pPr>
    </w:p>
    <w:p>
      <w:pPr>
        <w:ind w:left="1320" w:right="3639" w:hanging="530"/>
        <w:spacing w:after="0" w:line="37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estimates of our performance or recommendations by financial analysts, and</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in the Middle East.</w:t>
      </w:r>
    </w:p>
    <w:p>
      <w:pPr>
        <w:spacing w:after="0" w:line="175"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left="440" w:right="3279"/>
        <w:spacing w:after="0" w:line="378" w:lineRule="auto"/>
        <w:rPr>
          <w:sz w:val="20"/>
          <w:szCs w:val="20"/>
          <w:color w:val="auto"/>
        </w:rPr>
      </w:pPr>
      <w:r>
        <w:rPr>
          <w:rFonts w:ascii="Courier New" w:cs="Courier New" w:eastAsia="Courier New" w:hAnsi="Courier New"/>
          <w:sz w:val="14"/>
          <w:szCs w:val="14"/>
          <w:color w:val="auto"/>
        </w:rPr>
        <w:t>THE NOTES ARE EFFECTIVELY SUBORDINATED TO THE DEBT AND OTHER LIABILITIES OF OUR SUBSIDIARIES.</w:t>
      </w:r>
    </w:p>
    <w:p>
      <w:pPr>
        <w:spacing w:after="0" w:line="1"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2004, our subsidiaries had liabilities of approximately $964.7 million. We may from time to time incur additional debt. Our subsidiaries may also from time to time incur other additional debt and liabilities. The notes</w:t>
      </w:r>
    </w:p>
    <w:p>
      <w:pPr>
        <w:spacing w:after="0" w:line="7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61" w:right="1440" w:bottom="1440" w:gutter="0" w:footer="0" w:header="0"/>
        </w:sectPr>
      </w:pPr>
    </w:p>
    <w:bookmarkStart w:id="21" w:name="page22"/>
    <w:bookmarkEnd w:id="21"/>
    <w:p>
      <w:pPr>
        <w:ind w:right="3459"/>
        <w:spacing w:after="0" w:line="378" w:lineRule="auto"/>
        <w:rPr>
          <w:sz w:val="20"/>
          <w:szCs w:val="20"/>
          <w:color w:val="auto"/>
        </w:rPr>
      </w:pPr>
      <w:r>
        <w:rPr>
          <w:rFonts w:ascii="Courier New" w:cs="Courier New" w:eastAsia="Courier New" w:hAnsi="Courier New"/>
          <w:sz w:val="14"/>
          <w:szCs w:val="14"/>
          <w:color w:val="auto"/>
        </w:rPr>
        <w:t>are also effectively subordinated to any secured obligations to the extent of the value of the assets securing such obligations. See "Description of Notes."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DEPENDENT UPON OUR SUBSIDIARIES TO SERVICE OUR DEBT.</w:t>
      </w:r>
    </w:p>
    <w:p>
      <w:pPr>
        <w:spacing w:after="0" w:line="175"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72" w:lineRule="exact"/>
        <w:rPr>
          <w:sz w:val="20"/>
          <w:szCs w:val="20"/>
          <w:color w:val="auto"/>
        </w:rPr>
      </w:pPr>
    </w:p>
    <w:p>
      <w:pPr>
        <w:ind w:left="440" w:right="3379"/>
        <w:spacing w:after="0" w:line="317" w:lineRule="auto"/>
        <w:rPr>
          <w:sz w:val="20"/>
          <w:szCs w:val="20"/>
          <w:color w:val="auto"/>
        </w:rPr>
      </w:pPr>
      <w:r>
        <w:rPr>
          <w:rFonts w:ascii="Courier New" w:cs="Courier New" w:eastAsia="Courier New" w:hAnsi="Courier New"/>
          <w:sz w:val="14"/>
          <w:szCs w:val="14"/>
          <w:color w:val="auto"/>
        </w:rPr>
        <w:t>WE MAY NOT HAVE THE FUNDS NECESSARY TO FINANCE THE REPURCHASE OF THE NOTES OR MAY OTHERWISE BE RESTRICTED FROM MAKING SUCH REPURCHASE IF REQUIRED BY HOLDERS PURSUANT TO THE INDENTURE.</w:t>
      </w:r>
    </w:p>
    <w:p>
      <w:pPr>
        <w:spacing w:after="0" w:line="39"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84" w:lineRule="exact"/>
        <w:rPr>
          <w:sz w:val="20"/>
          <w:szCs w:val="20"/>
          <w:color w:val="auto"/>
        </w:rPr>
      </w:pPr>
    </w:p>
    <w:p>
      <w:pPr>
        <w:jc w:val="both"/>
        <w:ind w:left="440" w:right="3459"/>
        <w:spacing w:after="0" w:line="317" w:lineRule="auto"/>
        <w:rPr>
          <w:sz w:val="20"/>
          <w:szCs w:val="20"/>
          <w:color w:val="auto"/>
        </w:rPr>
      </w:pPr>
      <w:r>
        <w:rPr>
          <w:rFonts w:ascii="Courier New" w:cs="Courier New" w:eastAsia="Courier New" w:hAnsi="Courier New"/>
          <w:sz w:val="14"/>
          <w:szCs w:val="14"/>
          <w:color w:val="auto"/>
        </w:rPr>
        <w:t>THE INDEBTEDNESS CREATED BY THE NOTES, AND ANY FUTURE INDEBTEDNESS, COULD ADVERSELY AFFECT OUR BUSINESS AND OUR ABILITY TO MAKE FULL PAYMENT ON THE NOTES.</w:t>
      </w:r>
    </w:p>
    <w:p>
      <w:pPr>
        <w:spacing w:after="0" w:line="39"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Our aggregate level of indebtedness increased as a result of the sale by us of the notes to the initial purchasers. As of June 30, 2004, we had $481.5 million of outstanding indebtedness and cash and short term investments of $1.2 billion.</w:t>
      </w:r>
    </w:p>
    <w:p>
      <w:pPr>
        <w:spacing w:after="0" w:line="55" w:lineRule="exact"/>
        <w:rPr>
          <w:sz w:val="20"/>
          <w:szCs w:val="20"/>
          <w:color w:val="auto"/>
        </w:rPr>
      </w:pPr>
    </w:p>
    <w:p>
      <w:pPr>
        <w:ind w:right="3639" w:firstLine="781"/>
        <w:spacing w:after="0" w:line="295" w:lineRule="auto"/>
        <w:rPr>
          <w:sz w:val="20"/>
          <w:szCs w:val="20"/>
          <w:color w:val="auto"/>
        </w:rPr>
      </w:pPr>
      <w:r>
        <w:rPr>
          <w:rFonts w:ascii="Courier New" w:cs="Courier New" w:eastAsia="Courier New" w:hAnsi="Courier New"/>
          <w:sz w:val="14"/>
          <w:szCs w:val="14"/>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55" w:lineRule="exact"/>
        <w:rPr>
          <w:sz w:val="20"/>
          <w:szCs w:val="20"/>
          <w:color w:val="auto"/>
        </w:rPr>
      </w:pPr>
    </w:p>
    <w:p>
      <w:pPr>
        <w:ind w:left="1320" w:right="3639" w:hanging="530"/>
        <w:spacing w:after="0" w:line="37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our vulnerability to adverse economic and industry conditions,</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obtain additional financing,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make acquisitions,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4" w:right="1440" w:bottom="1440" w:gutter="0" w:footer="0" w:header="0"/>
        </w:sectPr>
      </w:pPr>
    </w:p>
    <w:bookmarkStart w:id="22" w:name="page23"/>
    <w:bookmarkEnd w:id="22"/>
    <w:p>
      <w:pPr>
        <w:ind w:left="1320" w:right="3639" w:hanging="530"/>
        <w:spacing w:after="0" w:line="295"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our cash flow from operations to service our indebtedness, thereby reducing the amount of our cash flow available for other purposes, including capital expenditures,</w:t>
      </w:r>
    </w:p>
    <w:p>
      <w:pPr>
        <w:spacing w:after="0" w:line="54" w:lineRule="exact"/>
        <w:rPr>
          <w:rFonts w:ascii="Courier New" w:cs="Courier New" w:eastAsia="Courier New" w:hAnsi="Courier New"/>
          <w:sz w:val="14"/>
          <w:szCs w:val="14"/>
          <w:color w:val="auto"/>
        </w:rPr>
      </w:pPr>
    </w:p>
    <w:p>
      <w:pPr>
        <w:ind w:left="1320" w:right="3279" w:hanging="530"/>
        <w:spacing w:after="0" w:line="37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industries in which we compete, and</w:t>
      </w:r>
    </w:p>
    <w:p>
      <w:pPr>
        <w:spacing w:after="0" w:line="1" w:lineRule="exact"/>
        <w:rPr>
          <w:rFonts w:ascii="Courier New" w:cs="Courier New" w:eastAsia="Courier New" w:hAnsi="Courier New"/>
          <w:sz w:val="14"/>
          <w:szCs w:val="14"/>
          <w:color w:val="auto"/>
        </w:rPr>
      </w:pPr>
    </w:p>
    <w:p>
      <w:pPr>
        <w:ind w:left="1320" w:right="3279" w:hanging="530"/>
        <w:spacing w:after="0" w:line="317"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possible competitive disadvantage with less leveraged competitors and competitors that may have better access to capital resources.</w:t>
      </w:r>
    </w:p>
    <w:p>
      <w:pPr>
        <w:spacing w:after="0" w:line="39"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48" w:lineRule="exact"/>
        <w:rPr>
          <w:sz w:val="20"/>
          <w:szCs w:val="20"/>
          <w:color w:val="auto"/>
        </w:rPr>
      </w:pPr>
    </w:p>
    <w:p>
      <w:pPr>
        <w:ind w:left="440" w:right="3279"/>
        <w:spacing w:after="0" w:line="302"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WHICH MAY RESULT IN DECISIONS THAT NEGATIVELY AFFECT THE MARKET PRICE OF THE NOTES AND OUR ORDINARY SHARES.</w:t>
      </w:r>
    </w:p>
    <w:p>
      <w:pPr>
        <w:spacing w:after="0" w:line="236"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PUBLIC MARKET MAY NOT DEVELOP FOR THE NOTES.</w:t>
      </w:r>
    </w:p>
    <w:p>
      <w:pPr>
        <w:spacing w:after="0" w:line="175"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76" w:lineRule="exact"/>
        <w:rPr>
          <w:sz w:val="20"/>
          <w:szCs w:val="20"/>
          <w:color w:val="auto"/>
        </w:rPr>
      </w:pPr>
    </w:p>
    <w:p>
      <w:pPr>
        <w:ind w:left="440" w:right="3719"/>
        <w:spacing w:after="0" w:line="378" w:lineRule="auto"/>
        <w:rPr>
          <w:sz w:val="20"/>
          <w:szCs w:val="20"/>
          <w:color w:val="auto"/>
        </w:rPr>
      </w:pPr>
      <w:r>
        <w:rPr>
          <w:rFonts w:ascii="Courier New" w:cs="Courier New" w:eastAsia="Courier New" w:hAnsi="Courier New"/>
          <w:sz w:val="14"/>
          <w:szCs w:val="14"/>
          <w:color w:val="auto"/>
        </w:rPr>
        <w:t>THE TRADING PRICES OF THE NOTES COULD BE SIGNIFICANTLY AFFECTED BY THE TRADING PRICES OF OUR ORDINARY SHARES.</w:t>
      </w:r>
    </w:p>
    <w:p>
      <w:pPr>
        <w:spacing w:after="0" w:line="1"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w:t>
      </w:r>
    </w:p>
    <w:p>
      <w:pPr>
        <w:spacing w:after="0" w:line="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4" w:right="1440" w:bottom="1440" w:gutter="0" w:footer="0" w:header="0"/>
        </w:sectPr>
      </w:pPr>
    </w:p>
    <w:bookmarkStart w:id="23" w:name="page24"/>
    <w:bookmarkEnd w:id="23"/>
    <w:p>
      <w:pPr>
        <w:ind w:right="3279"/>
        <w:spacing w:after="0" w:line="317" w:lineRule="auto"/>
        <w:rPr>
          <w:sz w:val="20"/>
          <w:szCs w:val="20"/>
          <w:color w:val="auto"/>
        </w:rPr>
      </w:pPr>
      <w:r>
        <w:rPr>
          <w:rFonts w:ascii="Courier New" w:cs="Courier New" w:eastAsia="Courier New" w:hAnsi="Courier New"/>
          <w:sz w:val="14"/>
          <w:szCs w:val="14"/>
          <w:color w:val="auto"/>
        </w:rPr>
        <w:t>substantial amounts of ordinary shares by us in the market after the offering of the notes, or the perception that such sales may occur, could affect the price of our ordinary shares.</w:t>
      </w:r>
    </w:p>
    <w:p>
      <w:pPr>
        <w:spacing w:after="0" w:line="39" w:lineRule="exact"/>
        <w:rPr>
          <w:sz w:val="20"/>
          <w:szCs w:val="20"/>
          <w:color w:val="auto"/>
        </w:rPr>
      </w:pPr>
    </w:p>
    <w:p>
      <w:pPr>
        <w:ind w:left="440" w:right="3539"/>
        <w:spacing w:after="0" w:line="317" w:lineRule="auto"/>
        <w:rPr>
          <w:sz w:val="20"/>
          <w:szCs w:val="20"/>
          <w:color w:val="auto"/>
        </w:rPr>
      </w:pPr>
      <w:r>
        <w:rPr>
          <w:rFonts w:ascii="Courier New" w:cs="Courier New" w:eastAsia="Courier New" w:hAnsi="Courier New"/>
          <w:sz w:val="14"/>
          <w:szCs w:val="14"/>
          <w:color w:val="auto"/>
        </w:rPr>
        <w:t>THE CONDITIONAL CONVERSION FEATURE OF THE NOTES COULD RESULT IN YOUR NOT RECEIVING THE VALUE OF THE ORDINARY SHARES INTO WHICH THE NOTES ARE CONVERTIBLE.</w:t>
      </w:r>
    </w:p>
    <w:p>
      <w:pPr>
        <w:spacing w:after="0" w:line="39" w:lineRule="exact"/>
        <w:rPr>
          <w:sz w:val="20"/>
          <w:szCs w:val="20"/>
          <w:color w:val="auto"/>
        </w:rPr>
      </w:pPr>
    </w:p>
    <w:p>
      <w:pPr>
        <w:ind w:right="3459" w:firstLine="781"/>
        <w:spacing w:after="0" w:line="295" w:lineRule="auto"/>
        <w:rPr>
          <w:sz w:val="20"/>
          <w:szCs w:val="20"/>
          <w:color w:val="auto"/>
        </w:rPr>
      </w:pPr>
      <w:r>
        <w:rPr>
          <w:rFonts w:ascii="Courier New" w:cs="Courier New" w:eastAsia="Courier New" w:hAnsi="Courier New"/>
          <w:sz w:val="14"/>
          <w:szCs w:val="14"/>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55" w:lineRule="exact"/>
        <w:rPr>
          <w:sz w:val="20"/>
          <w:szCs w:val="20"/>
          <w:color w:val="auto"/>
        </w:rPr>
      </w:pPr>
    </w:p>
    <w:p>
      <w:pPr>
        <w:ind w:left="440" w:right="3799"/>
        <w:spacing w:after="0" w:line="378" w:lineRule="auto"/>
        <w:rPr>
          <w:sz w:val="20"/>
          <w:szCs w:val="20"/>
          <w:color w:val="auto"/>
        </w:rPr>
      </w:pPr>
      <w:r>
        <w:rPr>
          <w:rFonts w:ascii="Courier New" w:cs="Courier New" w:eastAsia="Courier New" w:hAnsi="Courier New"/>
          <w:sz w:val="14"/>
          <w:szCs w:val="14"/>
          <w:color w:val="auto"/>
        </w:rPr>
        <w:t>THE CONVERSION RATE OF THE NOTES MAY NOT BE ADJUSTED FOR ALL DILUTIVE EVENTS.</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conversion rate of the notes is subject to adjustment for certain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including, but not limited to, the issuance of stock dividends on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 issuance of certain rights or warrants, subdivisions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of our ordinary shares, certain distributions of assets,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capital stock or cash to holders of our ordinary shares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tender or exchange offers as described under "Description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Notes--Conversion of Notes--Conversion Rate Adjustments." The conversion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adjusted for other events, such as an issuance of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that may adversely affect the trading price of the notes 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There can be no assurance that an event that adversely affects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notes, but does not result in an adjustment to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will not occur.</w:t>
      </w:r>
    </w:p>
    <w:p>
      <w:pPr>
        <w:spacing w:after="0" w:line="149" w:lineRule="exact"/>
        <w:rPr>
          <w:sz w:val="20"/>
          <w:szCs w:val="20"/>
          <w:color w:val="auto"/>
        </w:rPr>
      </w:pPr>
    </w:p>
    <w:p>
      <w:pPr>
        <w:ind w:left="440" w:right="3459"/>
        <w:spacing w:after="0" w:line="378" w:lineRule="auto"/>
        <w:rPr>
          <w:sz w:val="20"/>
          <w:szCs w:val="20"/>
          <w:color w:val="auto"/>
        </w:rPr>
      </w:pPr>
      <w:r>
        <w:rPr>
          <w:rFonts w:ascii="Courier New" w:cs="Courier New" w:eastAsia="Courier New" w:hAnsi="Courier New"/>
          <w:sz w:val="14"/>
          <w:szCs w:val="14"/>
          <w:color w:val="auto"/>
        </w:rPr>
        <w:t>CONVERSION OF THE NOTES WILL DILUTE THE OWNERSHIP INTEREST OF EXISTING SHAREHOLDERS, INCLUDING HOLDERS WHO HAD PREVIOUSLY CONVERTED THEIR NOTES.</w:t>
      </w:r>
    </w:p>
    <w:p>
      <w:pPr>
        <w:spacing w:after="0" w:line="1"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66" w:lineRule="exact"/>
        <w:rPr>
          <w:sz w:val="20"/>
          <w:szCs w:val="20"/>
          <w:color w:val="auto"/>
        </w:rPr>
      </w:pPr>
    </w:p>
    <w:p>
      <w:pPr>
        <w:ind w:left="440" w:right="3459"/>
        <w:spacing w:after="0" w:line="317"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BUT YOU WILL BE SUBJECT TO ALL CHANGES MADE WITH RESPECT TO OUR ORDINARY SHARES.</w:t>
      </w:r>
    </w:p>
    <w:p>
      <w:pPr>
        <w:spacing w:after="0" w:line="39"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7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4" w:right="1440" w:bottom="1440" w:gutter="0" w:footer="0" w:header="0"/>
        </w:sectPr>
      </w:pPr>
    </w:p>
    <w:bookmarkStart w:id="24" w:name="page25"/>
    <w:bookmarkEnd w:id="24"/>
    <w:p>
      <w:pPr>
        <w:ind w:left="1320"/>
        <w:spacing w:after="0"/>
        <w:rPr>
          <w:sz w:val="20"/>
          <w:szCs w:val="20"/>
          <w:color w:val="auto"/>
        </w:rPr>
      </w:pPr>
      <w:r>
        <w:rPr>
          <w:rFonts w:ascii="Courier New" w:cs="Courier New" w:eastAsia="Courier New" w:hAnsi="Courier New"/>
          <w:sz w:val="14"/>
          <w:szCs w:val="14"/>
          <w:color w:val="auto"/>
        </w:rPr>
        <w:t>SPECIAL NOTE REGARDING FORWARD-LOOKING INFORMATION</w:t>
      </w:r>
    </w:p>
    <w:p>
      <w:pPr>
        <w:spacing w:after="0" w:line="175" w:lineRule="exact"/>
        <w:rPr>
          <w:sz w:val="20"/>
          <w:szCs w:val="20"/>
          <w:color w:val="auto"/>
        </w:rPr>
      </w:pPr>
    </w:p>
    <w:p>
      <w:pPr>
        <w:ind w:right="3279" w:firstLine="781"/>
        <w:spacing w:after="0" w:line="256" w:lineRule="auto"/>
        <w:rPr>
          <w:sz w:val="20"/>
          <w:szCs w:val="20"/>
          <w:color w:val="auto"/>
        </w:rPr>
      </w:pPr>
      <w:r>
        <w:rPr>
          <w:rFonts w:ascii="Courier New" w:cs="Courier New" w:eastAsia="Courier New" w:hAnsi="Courier New"/>
          <w:sz w:val="14"/>
          <w:szCs w:val="14"/>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that are not statements of historical fact also may be forward-looking statements. Statements regarding our future business and/or results, including, without limitation, the statements under the captions "Summary," "Risk Factors," and "Operating and Financial Review and Prospects for the Three and Nine Month Periods Ended</w:t>
      </w:r>
    </w:p>
    <w:p>
      <w:pPr>
        <w:spacing w:after="0" w:line="1"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4"/>
          <w:szCs w:val="14"/>
          <w:color w:val="auto"/>
        </w:rPr>
        <w:t>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79" w:lineRule="exact"/>
        <w:rPr>
          <w:sz w:val="20"/>
          <w:szCs w:val="20"/>
          <w:color w:val="auto"/>
        </w:rPr>
      </w:pPr>
    </w:p>
    <w:p>
      <w:pPr>
        <w:ind w:right="3459" w:firstLine="781"/>
        <w:spacing w:after="0" w:line="264"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4" w:right="1440" w:bottom="1440" w:gutter="0" w:footer="0" w:header="0"/>
        </w:sectPr>
      </w:pPr>
    </w:p>
    <w:bookmarkStart w:id="25" w:name="page26"/>
    <w:bookmarkEnd w:id="25"/>
    <w:p>
      <w:pPr>
        <w:jc w:val="center"/>
        <w:ind w:right="3179"/>
        <w:spacing w:after="0"/>
        <w:rPr>
          <w:sz w:val="20"/>
          <w:szCs w:val="20"/>
          <w:color w:val="auto"/>
        </w:rPr>
      </w:pPr>
      <w:r>
        <w:rPr>
          <w:rFonts w:ascii="Courier New" w:cs="Courier New" w:eastAsia="Courier New" w:hAnsi="Courier New"/>
          <w:sz w:val="14"/>
          <w:szCs w:val="14"/>
          <w:color w:val="auto"/>
        </w:rPr>
        <w:t>OFFERING STATISTICS AND TIMETABLE</w:t>
      </w:r>
    </w:p>
    <w:p>
      <w:pPr>
        <w:spacing w:after="0" w:line="175"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7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REASONS FOR THE OFFER AND USE OF PROCEEDS</w:t>
      </w:r>
    </w:p>
    <w:p>
      <w:pPr>
        <w:spacing w:after="0" w:line="175"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MATERIAL CHANGES</w:t>
      </w:r>
    </w:p>
    <w:p>
      <w:pPr>
        <w:spacing w:after="0" w:line="175"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from the sale of the notes and other cash resources to repurchase approximately $395.1 million in aggregate principal amount of the 2% Notes through a cash tender offer that we announced on May 3, 2004 and which expired on June 1, 2004. The untendered principal amount of 2% Notes remain as obligations of the Company, due June 1, 2008, in accordance with their terms.</w:t>
      </w:r>
    </w:p>
    <w:p>
      <w:pPr>
        <w:spacing w:after="0" w:line="251"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239"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we repurchased approximately 4.9 million ordinary shares, at an average price of $20.40 per share.</w:t>
      </w:r>
    </w:p>
    <w:p>
      <w:pPr>
        <w:spacing w:after="0" w:line="233" w:lineRule="exact"/>
        <w:rPr>
          <w:sz w:val="20"/>
          <w:szCs w:val="20"/>
          <w:color w:val="auto"/>
        </w:rPr>
      </w:pPr>
    </w:p>
    <w:p>
      <w:pPr>
        <w:ind w:right="3719" w:firstLine="781"/>
        <w:spacing w:after="0" w:line="317" w:lineRule="auto"/>
        <w:rPr>
          <w:sz w:val="20"/>
          <w:szCs w:val="20"/>
          <w:color w:val="auto"/>
        </w:rPr>
      </w:pPr>
      <w:r>
        <w:rPr>
          <w:rFonts w:ascii="Courier New" w:cs="Courier New" w:eastAsia="Courier New" w:hAnsi="Courier New"/>
          <w:sz w:val="14"/>
          <w:szCs w:val="14"/>
          <w:color w:val="auto"/>
        </w:rPr>
        <w:t>Pursuant to a previous share repurchase program, in fiscal 2002 we purchased 7.7 million of our ordinary share at a weighted average price of $14.13 per share.</w:t>
      </w:r>
    </w:p>
    <w:p>
      <w:pPr>
        <w:spacing w:after="0" w:line="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4" w:right="1440" w:bottom="1440" w:gutter="0" w:footer="0" w:header="0"/>
        </w:sectPr>
      </w:pPr>
    </w:p>
    <w:bookmarkStart w:id="26" w:name="page27"/>
    <w:bookmarkEnd w:id="26"/>
    <w:p>
      <w:pPr>
        <w:ind w:left="2620"/>
        <w:spacing w:after="0"/>
        <w:rPr>
          <w:sz w:val="20"/>
          <w:szCs w:val="20"/>
          <w:color w:val="auto"/>
        </w:rPr>
      </w:pPr>
      <w:r>
        <w:rPr>
          <w:rFonts w:ascii="Courier New" w:cs="Courier New" w:eastAsia="Courier New" w:hAnsi="Courier New"/>
          <w:sz w:val="14"/>
          <w:szCs w:val="14"/>
          <w:color w:val="auto"/>
        </w:rPr>
        <w:t>THE OFFER AND LISTING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5" w:lineRule="exact"/>
        <w:rPr>
          <w:sz w:val="20"/>
          <w:szCs w:val="20"/>
          <w:color w:val="auto"/>
        </w:rPr>
      </w:pPr>
    </w:p>
    <w:p>
      <w:pPr>
        <w:ind w:right="3279" w:firstLine="781"/>
        <w:spacing w:after="0" w:line="317" w:lineRule="auto"/>
        <w:rPr>
          <w:sz w:val="20"/>
          <w:szCs w:val="20"/>
          <w:color w:val="auto"/>
        </w:rPr>
      </w:pPr>
      <w:r>
        <w:rPr>
          <w:rFonts w:ascii="Courier New" w:cs="Courier New" w:eastAsia="Courier New" w:hAnsi="Courier New"/>
          <w:sz w:val="14"/>
          <w:szCs w:val="14"/>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HIGH</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c>
          <w:tcPr>
            <w:tcW w:w="0" w:type="dxa"/>
            <w:vAlign w:val="bottom"/>
          </w:tcPr>
          <w:p>
            <w:pPr>
              <w:spacing w:after="0"/>
              <w:rPr>
                <w:sz w:val="1"/>
                <w:szCs w:val="1"/>
                <w:color w:val="auto"/>
              </w:rPr>
            </w:pPr>
          </w:p>
        </w:tc>
      </w:tr>
      <w:tr>
        <w:trPr>
          <w:trHeight w:val="244"/>
        </w:trPr>
        <w:tc>
          <w:tcPr>
            <w:tcW w:w="4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21"/>
                <w:szCs w:val="21"/>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96.00</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19.81</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2000 ..............................................</w:t>
            </w:r>
          </w:p>
        </w:tc>
        <w:tc>
          <w:tcPr>
            <w:tcW w:w="5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c>
          <w:tcPr>
            <w:tcW w:w="0" w:type="dxa"/>
            <w:vAlign w:val="bottom"/>
          </w:tcPr>
          <w:p>
            <w:pPr>
              <w:spacing w:after="0"/>
              <w:rPr>
                <w:sz w:val="1"/>
                <w:szCs w:val="1"/>
                <w:color w:val="auto"/>
              </w:rPr>
            </w:pPr>
          </w:p>
        </w:tc>
      </w:tr>
      <w:tr>
        <w:trPr>
          <w:trHeight w:val="24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35.90</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24.00</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c>
          <w:tcPr>
            <w:tcW w:w="0" w:type="dxa"/>
            <w:vAlign w:val="bottom"/>
          </w:tcPr>
          <w:p>
            <w:pPr>
              <w:spacing w:after="0"/>
              <w:rPr>
                <w:sz w:val="1"/>
                <w:szCs w:val="1"/>
                <w:color w:val="auto"/>
              </w:rPr>
            </w:pPr>
          </w:p>
        </w:tc>
      </w:tr>
      <w:tr>
        <w:trPr>
          <w:trHeight w:val="24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5.85</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c>
          <w:tcPr>
            <w:tcW w:w="0" w:type="dxa"/>
            <w:vAlign w:val="bottom"/>
          </w:tcPr>
          <w:p>
            <w:pPr>
              <w:spacing w:after="0"/>
              <w:rPr>
                <w:sz w:val="1"/>
                <w:szCs w:val="1"/>
                <w:color w:val="auto"/>
              </w:rPr>
            </w:pPr>
          </w:p>
        </w:tc>
      </w:tr>
      <w:tr>
        <w:trPr>
          <w:trHeight w:val="24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18.90</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c>
          <w:tcPr>
            <w:tcW w:w="0" w:type="dxa"/>
            <w:vAlign w:val="bottom"/>
          </w:tcPr>
          <w:p>
            <w:pPr>
              <w:spacing w:after="0"/>
              <w:rPr>
                <w:sz w:val="1"/>
                <w:szCs w:val="1"/>
                <w:color w:val="auto"/>
              </w:rPr>
            </w:pPr>
          </w:p>
        </w:tc>
      </w:tr>
      <w:tr>
        <w:trPr>
          <w:trHeight w:val="24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2005:</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20.70</w:t>
            </w:r>
          </w:p>
        </w:tc>
        <w:tc>
          <w:tcPr>
            <w:tcW w:w="0" w:type="dxa"/>
            <w:vAlign w:val="bottom"/>
          </w:tcPr>
          <w:p>
            <w:pPr>
              <w:spacing w:after="0"/>
              <w:rPr>
                <w:sz w:val="1"/>
                <w:szCs w:val="1"/>
                <w:color w:val="auto"/>
              </w:rPr>
            </w:pPr>
          </w:p>
        </w:tc>
      </w:tr>
      <w:tr>
        <w:trPr>
          <w:trHeight w:val="24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(through November 15, 2004).......</w:t>
            </w:r>
          </w:p>
        </w:tc>
        <w:tc>
          <w:tcPr>
            <w:tcW w:w="5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Most Recent Six Months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23.62</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June,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July,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c>
          <w:tcPr>
            <w:tcW w:w="0" w:type="dxa"/>
            <w:vAlign w:val="bottom"/>
          </w:tcPr>
          <w:p>
            <w:pPr>
              <w:spacing w:after="0"/>
              <w:rPr>
                <w:sz w:val="1"/>
                <w:szCs w:val="1"/>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September,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0" w:type="dxa"/>
            <w:vAlign w:val="bottom"/>
          </w:tcPr>
          <w:p>
            <w:pPr>
              <w:spacing w:after="0"/>
              <w:rPr>
                <w:sz w:val="1"/>
                <w:szCs w:val="1"/>
                <w:color w:val="auto"/>
              </w:rPr>
            </w:pPr>
          </w:p>
        </w:tc>
      </w:tr>
      <w:tr>
        <w:trPr>
          <w:trHeight w:val="24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October,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As of September 30, 2004, we had 201,334,057 ordinary shares outstanding and there were approximately 240 holders of record of our ordinary shares. This figure does not reflect persons or entities who hold their ordinary shares in nominee or "street" name through various brokerage firms.</w:t>
      </w:r>
    </w:p>
    <w:p>
      <w:pPr>
        <w:spacing w:after="0" w:line="222" w:lineRule="exact"/>
        <w:rPr>
          <w:sz w:val="20"/>
          <w:szCs w:val="20"/>
          <w:color w:val="auto"/>
        </w:rPr>
      </w:pPr>
    </w:p>
    <w:p>
      <w:pPr>
        <w:ind w:right="3719" w:firstLine="781"/>
        <w:spacing w:after="0" w:line="382" w:lineRule="auto"/>
        <w:rPr>
          <w:sz w:val="20"/>
          <w:szCs w:val="20"/>
          <w:color w:val="auto"/>
        </w:rPr>
      </w:pPr>
      <w:r>
        <w:rPr>
          <w:rFonts w:ascii="Courier New" w:cs="Courier New" w:eastAsia="Courier New" w:hAnsi="Courier New"/>
          <w:sz w:val="14"/>
          <w:szCs w:val="14"/>
          <w:color w:val="auto"/>
        </w:rPr>
        <w:t>On November 15, 2004, the last reported sale price of our ordinary shares on the NYSE was $26.78.</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EXPENSES OF THE ISSUE</w:t>
      </w:r>
    </w:p>
    <w:p>
      <w:pPr>
        <w:spacing w:after="0" w:line="17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Filing Fee - Securities and Exchange Commission ....................</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57,015</w:t>
            </w:r>
          </w:p>
        </w:tc>
        <w:tc>
          <w:tcPr>
            <w:tcW w:w="0" w:type="dxa"/>
            <w:vAlign w:val="bottom"/>
          </w:tcPr>
          <w:p>
            <w:pPr>
              <w:spacing w:after="0"/>
              <w:rPr>
                <w:sz w:val="1"/>
                <w:szCs w:val="1"/>
                <w:color w:val="auto"/>
              </w:rPr>
            </w:pP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Legal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0" w:type="dxa"/>
            <w:vAlign w:val="bottom"/>
          </w:tcPr>
          <w:p>
            <w:pPr>
              <w:spacing w:after="0"/>
              <w:rPr>
                <w:sz w:val="1"/>
                <w:szCs w:val="1"/>
                <w:color w:val="auto"/>
              </w:rPr>
            </w:pP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Registrar and Transfer agent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c>
          <w:tcPr>
            <w:tcW w:w="0" w:type="dxa"/>
            <w:vAlign w:val="bottom"/>
          </w:tcPr>
          <w:p>
            <w:pPr>
              <w:spacing w:after="0"/>
              <w:rPr>
                <w:sz w:val="1"/>
                <w:szCs w:val="1"/>
                <w:color w:val="auto"/>
              </w:rPr>
            </w:pP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Accounting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c>
          <w:tcPr>
            <w:tcW w:w="0" w:type="dxa"/>
            <w:vAlign w:val="bottom"/>
          </w:tcPr>
          <w:p>
            <w:pPr>
              <w:spacing w:after="0"/>
              <w:rPr>
                <w:sz w:val="1"/>
                <w:szCs w:val="1"/>
                <w:color w:val="auto"/>
              </w:rPr>
            </w:pP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Printing, EDGAR formatting and mailing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0" w:type="dxa"/>
            <w:vAlign w:val="bottom"/>
          </w:tcPr>
          <w:p>
            <w:pPr>
              <w:spacing w:after="0"/>
              <w:rPr>
                <w:sz w:val="1"/>
                <w:szCs w:val="1"/>
                <w:color w:val="auto"/>
              </w:rPr>
            </w:pP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Miscellaneous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67"/>
        </w:trPr>
        <w:tc>
          <w:tcPr>
            <w:tcW w:w="61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20" w:type="dxa"/>
            <w:vAlign w:val="bottom"/>
            <w:vMerge w:val="continue"/>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$ 192,015</w:t>
            </w:r>
          </w:p>
        </w:tc>
        <w:tc>
          <w:tcPr>
            <w:tcW w:w="0" w:type="dxa"/>
            <w:vAlign w:val="bottom"/>
          </w:tcPr>
          <w:p>
            <w:pPr>
              <w:spacing w:after="0"/>
              <w:rPr>
                <w:sz w:val="1"/>
                <w:szCs w:val="1"/>
                <w:color w:val="auto"/>
              </w:rPr>
            </w:pPr>
          </w:p>
        </w:tc>
      </w:tr>
      <w:tr>
        <w:trPr>
          <w:trHeight w:val="244"/>
        </w:trPr>
        <w:tc>
          <w:tcPr>
            <w:tcW w:w="6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4" w:right="1440" w:bottom="1440" w:gutter="0" w:footer="0" w:header="0"/>
        </w:sectPr>
      </w:pPr>
    </w:p>
    <w:bookmarkStart w:id="28" w:name="page29"/>
    <w:bookmarkEnd w:id="28"/>
    <w:p>
      <w:pPr>
        <w:jc w:val="center"/>
        <w:ind w:right="3279"/>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right="3899" w:firstLine="781"/>
        <w:spacing w:after="0" w:line="378" w:lineRule="auto"/>
        <w:rPr>
          <w:sz w:val="20"/>
          <w:szCs w:val="20"/>
          <w:color w:val="auto"/>
        </w:rPr>
      </w:pPr>
      <w:r>
        <w:rPr>
          <w:rFonts w:ascii="Courier New" w:cs="Courier New" w:eastAsia="Courier New" w:hAnsi="Courier New"/>
          <w:sz w:val="14"/>
          <w:szCs w:val="14"/>
          <w:color w:val="auto"/>
        </w:rPr>
        <w:t>The following table sets forth our unaudited actual consolidated capitalization as of June 30, 2004.</w:t>
      </w:r>
    </w:p>
    <w:p>
      <w:pPr>
        <w:spacing w:after="0" w:line="1"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 OF JUNE 30, 2004</w:t>
            </w:r>
          </w:p>
        </w:tc>
        <w:tc>
          <w:tcPr>
            <w:tcW w:w="0" w:type="dxa"/>
            <w:vAlign w:val="bottom"/>
          </w:tcPr>
          <w:p>
            <w:pPr>
              <w:spacing w:after="0"/>
              <w:rPr>
                <w:sz w:val="1"/>
                <w:szCs w:val="1"/>
                <w:color w:val="auto"/>
              </w:rPr>
            </w:pP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(UNAUDITED)</w:t>
            </w:r>
          </w:p>
        </w:tc>
        <w:tc>
          <w:tcPr>
            <w:tcW w:w="0" w:type="dxa"/>
            <w:vAlign w:val="bottom"/>
          </w:tcPr>
          <w:p>
            <w:pPr>
              <w:spacing w:after="0"/>
              <w:rPr>
                <w:sz w:val="1"/>
                <w:szCs w:val="1"/>
                <w:color w:val="auto"/>
              </w:rPr>
            </w:pP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44"/>
        </w:trPr>
        <w:tc>
          <w:tcPr>
            <w:tcW w:w="7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ACTUAL</w:t>
            </w:r>
          </w:p>
        </w:tc>
        <w:tc>
          <w:tcPr>
            <w:tcW w:w="0" w:type="dxa"/>
            <w:vAlign w:val="bottom"/>
          </w:tcPr>
          <w:p>
            <w:pPr>
              <w:spacing w:after="0"/>
              <w:rPr>
                <w:sz w:val="1"/>
                <w:szCs w:val="1"/>
                <w:color w:val="auto"/>
              </w:rPr>
            </w:pPr>
          </w:p>
        </w:tc>
      </w:tr>
      <w:tr>
        <w:trPr>
          <w:trHeight w:val="75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obligations - secured and unguaranteed.........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9,991</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 - secured and 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9,872</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 obligations, less current portion - 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9,168</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financing arrangements -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2,076</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 Convertible Notes due 2008......................................................</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 Convertible Senior Notes due 2024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450,000</w:t>
            </w:r>
          </w:p>
        </w:tc>
        <w:tc>
          <w:tcPr>
            <w:tcW w:w="0" w:type="dxa"/>
            <w:vAlign w:val="bottom"/>
          </w:tcPr>
          <w:p>
            <w:pPr>
              <w:spacing w:after="0"/>
              <w:rPr>
                <w:sz w:val="1"/>
                <w:szCs w:val="1"/>
                <w:color w:val="auto"/>
              </w:rPr>
            </w:pPr>
          </w:p>
        </w:tc>
      </w:tr>
      <w:tr>
        <w:trPr>
          <w:trHeight w:val="167"/>
        </w:trPr>
        <w:tc>
          <w:tcPr>
            <w:tcW w:w="7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indebtedness.......................................................</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7"/>
        </w:trPr>
        <w:tc>
          <w:tcPr>
            <w:tcW w:w="73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481,451</w:t>
            </w:r>
          </w:p>
        </w:tc>
        <w:tc>
          <w:tcPr>
            <w:tcW w:w="0" w:type="dxa"/>
            <w:vAlign w:val="bottom"/>
          </w:tcPr>
          <w:p>
            <w:pPr>
              <w:spacing w:after="0"/>
              <w:rPr>
                <w:sz w:val="1"/>
                <w:szCs w:val="1"/>
                <w:color w:val="auto"/>
              </w:rPr>
            </w:pPr>
          </w:p>
        </w:tc>
      </w:tr>
      <w:tr>
        <w:trPr>
          <w:trHeight w:val="167"/>
        </w:trPr>
        <w:tc>
          <w:tcPr>
            <w:tcW w:w="7340" w:type="dxa"/>
            <w:vAlign w:val="bottom"/>
          </w:tcPr>
          <w:p>
            <w:pPr>
              <w:jc w:val="right"/>
              <w:ind w:right="5428"/>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Preferred Shares - Authorized 25,000 shares;(pound)0.01 par value;</w:t>
            </w:r>
          </w:p>
        </w:tc>
        <w:tc>
          <w:tcPr>
            <w:tcW w:w="1000" w:type="dxa"/>
            <w:vAlign w:val="bottom"/>
          </w:tcPr>
          <w:p>
            <w:pPr>
              <w:spacing w:after="0"/>
              <w:rPr>
                <w:sz w:val="14"/>
                <w:szCs w:val="14"/>
                <w:color w:val="auto"/>
              </w:rPr>
            </w:pPr>
          </w:p>
        </w:tc>
        <w:tc>
          <w:tcPr>
            <w:tcW w:w="156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shares issued and outstanding..............................................</w:t>
            </w:r>
          </w:p>
        </w:tc>
        <w:tc>
          <w:tcPr>
            <w:tcW w:w="10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Ordinary Shares - Authorized 550,000 shares;(pound)0.01 par value;</w:t>
            </w:r>
          </w:p>
        </w:tc>
        <w:tc>
          <w:tcPr>
            <w:tcW w:w="1000" w:type="dxa"/>
            <w:vAlign w:val="bottom"/>
          </w:tcPr>
          <w:p>
            <w:pPr>
              <w:spacing w:after="0"/>
              <w:rPr>
                <w:sz w:val="14"/>
                <w:szCs w:val="14"/>
                <w:color w:val="auto"/>
              </w:rPr>
            </w:pPr>
          </w:p>
        </w:tc>
        <w:tc>
          <w:tcPr>
            <w:tcW w:w="156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3,599</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224,854 issued and 206,135 outstanding(1)....................................</w:t>
            </w:r>
          </w:p>
        </w:tc>
        <w:tc>
          <w:tcPr>
            <w:tcW w:w="10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1,836,743</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Treasury Stock, at cost - 18,719 ordinary shares. .............................</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(402,360)</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loss...........................................</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(358)</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Unearned compensation..........................................................</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w:t>
            </w:r>
          </w:p>
        </w:tc>
        <w:tc>
          <w:tcPr>
            <w:tcW w:w="0" w:type="dxa"/>
            <w:vAlign w:val="bottom"/>
          </w:tcPr>
          <w:p>
            <w:pPr>
              <w:spacing w:after="0"/>
              <w:rPr>
                <w:sz w:val="1"/>
                <w:szCs w:val="1"/>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45,908</w:t>
            </w:r>
          </w:p>
        </w:tc>
        <w:tc>
          <w:tcPr>
            <w:tcW w:w="0" w:type="dxa"/>
            <w:vAlign w:val="bottom"/>
          </w:tcPr>
          <w:p>
            <w:pPr>
              <w:spacing w:after="0"/>
              <w:rPr>
                <w:sz w:val="1"/>
                <w:szCs w:val="1"/>
                <w:color w:val="auto"/>
              </w:rPr>
            </w:pPr>
          </w:p>
        </w:tc>
      </w:tr>
      <w:tr>
        <w:trPr>
          <w:trHeight w:val="167"/>
        </w:trPr>
        <w:tc>
          <w:tcPr>
            <w:tcW w:w="7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shareholders' equity...............................................</w:t>
            </w: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3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1,482,961</w:t>
            </w:r>
          </w:p>
        </w:tc>
        <w:tc>
          <w:tcPr>
            <w:tcW w:w="0" w:type="dxa"/>
            <w:vAlign w:val="bottom"/>
          </w:tcPr>
          <w:p>
            <w:pPr>
              <w:spacing w:after="0"/>
              <w:rPr>
                <w:sz w:val="1"/>
                <w:szCs w:val="1"/>
                <w:color w:val="auto"/>
              </w:rPr>
            </w:pPr>
          </w:p>
        </w:tc>
      </w:tr>
      <w:tr>
        <w:trPr>
          <w:trHeight w:val="167"/>
        </w:trPr>
        <w:tc>
          <w:tcPr>
            <w:tcW w:w="7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capitalization.....................................................</w:t>
            </w: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7340" w:type="dxa"/>
            <w:vAlign w:val="bottom"/>
            <w:vMerge w:val="continue"/>
          </w:tcPr>
          <w:p>
            <w:pPr>
              <w:spacing w:after="0"/>
              <w:rPr>
                <w:sz w:val="16"/>
                <w:szCs w:val="16"/>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$1,964,412</w:t>
            </w:r>
          </w:p>
        </w:tc>
        <w:tc>
          <w:tcPr>
            <w:tcW w:w="0" w:type="dxa"/>
            <w:vAlign w:val="bottom"/>
          </w:tcPr>
          <w:p>
            <w:pPr>
              <w:spacing w:after="0"/>
              <w:rPr>
                <w:sz w:val="1"/>
                <w:szCs w:val="1"/>
                <w:color w:val="auto"/>
              </w:rPr>
            </w:pPr>
          </w:p>
        </w:tc>
      </w:tr>
    </w:tbl>
    <w:p>
      <w:pPr>
        <w:ind w:left="8260"/>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right="3379" w:hanging="439"/>
        <w:spacing w:after="0" w:line="285" w:lineRule="auto"/>
        <w:tabs>
          <w:tab w:leader="none" w:pos="420" w:val="left"/>
        </w:tabs>
        <w:rPr>
          <w:sz w:val="20"/>
          <w:szCs w:val="20"/>
          <w:color w:val="auto"/>
        </w:rPr>
      </w:pPr>
      <w:r>
        <w:rPr>
          <w:rFonts w:ascii="Courier New" w:cs="Courier New" w:eastAsia="Courier New" w:hAnsi="Courier New"/>
          <w:sz w:val="14"/>
          <w:szCs w:val="14"/>
          <w:color w:val="auto"/>
        </w:rPr>
        <w:t>(1)</w:t>
        <w:tab/>
        <w:t>Reflects ordinary shares issued and outstanding as of June 30, 2004. Does not include 25,969 ordinary shares reserved for issuance upon the exercise of stock options that have been granted under our stock option plan and by companies we have acquired. As of September 30, 2004, there were 201,334,057 ordinary shares outstanding.</w:t>
      </w: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61" w:right="1440" w:bottom="1440" w:gutter="0" w:footer="0" w:header="0"/>
        </w:sectPr>
      </w:pPr>
    </w:p>
    <w:bookmarkStart w:id="29" w:name="page30"/>
    <w:bookmarkEnd w:id="29"/>
    <w:p>
      <w:pPr>
        <w:ind w:left="2620"/>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68"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7" w:lineRule="exact"/>
        <w:rPr>
          <w:sz w:val="20"/>
          <w:szCs w:val="20"/>
          <w:color w:val="auto"/>
        </w:rPr>
      </w:pPr>
    </w:p>
    <w:p>
      <w:pPr>
        <w:ind w:right="3279" w:firstLine="781"/>
        <w:spacing w:after="0" w:line="297" w:lineRule="auto"/>
        <w:rPr>
          <w:sz w:val="20"/>
          <w:szCs w:val="20"/>
          <w:color w:val="auto"/>
        </w:rPr>
      </w:pPr>
      <w:r>
        <w:rPr>
          <w:rFonts w:ascii="Courier New" w:cs="Courier New" w:eastAsia="Courier New" w:hAnsi="Courier New"/>
          <w:sz w:val="14"/>
          <w:szCs w:val="14"/>
          <w:color w:val="auto"/>
        </w:rPr>
        <w:t>As used in this "Description of Notes" section, references to "Amdocs," "we," "our" or "us" refer solely to Amdocs Limited and not to our subsidiaries, unless the context otherwise requires.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85" w:lineRule="auto"/>
        <w:rPr>
          <w:sz w:val="20"/>
          <w:szCs w:val="20"/>
          <w:color w:val="auto"/>
        </w:rPr>
      </w:pPr>
      <w:r>
        <w:rPr>
          <w:rFonts w:ascii="Courier New" w:cs="Courier New" w:eastAsia="Courier New" w:hAnsi="Courier New"/>
          <w:sz w:val="14"/>
          <w:szCs w:val="14"/>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"--Conversion of Notes."</w:t>
      </w:r>
    </w:p>
    <w:p>
      <w:pPr>
        <w:spacing w:after="0" w:line="60" w:lineRule="exact"/>
        <w:rPr>
          <w:sz w:val="20"/>
          <w:szCs w:val="20"/>
          <w:color w:val="auto"/>
        </w:rPr>
      </w:pPr>
    </w:p>
    <w:p>
      <w:pPr>
        <w:ind w:right="3279" w:firstLine="781"/>
        <w:spacing w:after="0" w:line="285" w:lineRule="auto"/>
        <w:rPr>
          <w:sz w:val="20"/>
          <w:szCs w:val="20"/>
          <w:color w:val="auto"/>
        </w:rPr>
      </w:pPr>
      <w:r>
        <w:rPr>
          <w:rFonts w:ascii="Courier New" w:cs="Courier New" w:eastAsia="Courier New" w:hAnsi="Courier New"/>
          <w:sz w:val="14"/>
          <w:szCs w:val="14"/>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60"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49"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75" w:lineRule="exact"/>
        <w:rPr>
          <w:sz w:val="20"/>
          <w:szCs w:val="20"/>
          <w:color w:val="auto"/>
        </w:rPr>
      </w:pPr>
    </w:p>
    <w:p>
      <w:pPr>
        <w:ind w:right="3279" w:firstLine="781"/>
        <w:spacing w:after="0" w:line="288" w:lineRule="auto"/>
        <w:rPr>
          <w:sz w:val="20"/>
          <w:szCs w:val="20"/>
          <w:color w:val="auto"/>
        </w:rPr>
      </w:pPr>
      <w:r>
        <w:rPr>
          <w:rFonts w:ascii="Courier New" w:cs="Courier New" w:eastAsia="Courier New" w:hAnsi="Courier New"/>
          <w:sz w:val="14"/>
          <w:szCs w:val="14"/>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40"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You are not afforded protection under the indenture in the event of a highly leveraged transaction or a change in control of us, except to the extent described below under "--Repurchase at Option of the Holder Upon a Designated Event."</w:t>
      </w:r>
    </w:p>
    <w:p>
      <w:pPr>
        <w:spacing w:after="0" w:line="5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594" w:right="1440" w:bottom="1440" w:gutter="0" w:footer="0" w:header="0"/>
        </w:sectPr>
      </w:pPr>
    </w:p>
    <w:bookmarkStart w:id="30" w:name="page31"/>
    <w:bookmarkEnd w:id="30"/>
    <w:p>
      <w:pPr>
        <w:ind w:right="3279" w:firstLine="781"/>
        <w:spacing w:after="0" w:line="278" w:lineRule="auto"/>
        <w:rPr>
          <w:sz w:val="20"/>
          <w:szCs w:val="20"/>
          <w:color w:val="auto"/>
        </w:rPr>
      </w:pPr>
      <w:r>
        <w:rPr>
          <w:rFonts w:ascii="Courier New" w:cs="Courier New" w:eastAsia="Courier New" w:hAnsi="Courier New"/>
          <w:sz w:val="14"/>
          <w:szCs w:val="14"/>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 beginning September 15, 2004, to record holders at the close of business on the preceding March 1 and September 1, as the case may be.</w:t>
      </w:r>
    </w:p>
    <w:p>
      <w:pPr>
        <w:spacing w:after="0" w:line="66"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77" w:lineRule="exact"/>
        <w:rPr>
          <w:sz w:val="20"/>
          <w:szCs w:val="20"/>
          <w:color w:val="auto"/>
        </w:rPr>
      </w:pPr>
    </w:p>
    <w:p>
      <w:pPr>
        <w:ind w:right="3799" w:firstLine="781"/>
        <w:spacing w:after="0" w:line="378" w:lineRule="auto"/>
        <w:rPr>
          <w:sz w:val="20"/>
          <w:szCs w:val="20"/>
          <w:color w:val="auto"/>
        </w:rPr>
      </w:pPr>
      <w:r>
        <w:rPr>
          <w:rFonts w:ascii="Courier New" w:cs="Courier New" w:eastAsia="Courier New" w:hAnsi="Courier New"/>
          <w:sz w:val="14"/>
          <w:szCs w:val="14"/>
          <w:color w:val="auto"/>
        </w:rPr>
        <w:t>The notes are not subject to a sinking fund provision and are not subject to defeasance or covenant defeasance under the indenture.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55" w:lineRule="exact"/>
        <w:rPr>
          <w:sz w:val="20"/>
          <w:szCs w:val="20"/>
          <w:color w:val="auto"/>
        </w:rPr>
      </w:pPr>
    </w:p>
    <w:p>
      <w:pPr>
        <w:ind w:left="1320" w:right="3719" w:hanging="530"/>
        <w:spacing w:after="0" w:line="37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upon satisfaction of a market price condition;</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 trading price condition;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certain credit ratings events;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of redemption;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transactions.</w:t>
      </w:r>
    </w:p>
    <w:p>
      <w:pPr>
        <w:spacing w:after="0" w:line="175" w:lineRule="exact"/>
        <w:rPr>
          <w:sz w:val="20"/>
          <w:szCs w:val="20"/>
          <w:color w:val="auto"/>
        </w:rPr>
      </w:pPr>
    </w:p>
    <w:p>
      <w:pPr>
        <w:ind w:right="3279" w:firstLine="781"/>
        <w:spacing w:after="0" w:line="285" w:lineRule="auto"/>
        <w:rPr>
          <w:sz w:val="20"/>
          <w:szCs w:val="20"/>
          <w:color w:val="auto"/>
        </w:rPr>
      </w:pPr>
      <w:r>
        <w:rPr>
          <w:rFonts w:ascii="Courier New" w:cs="Courier New" w:eastAsia="Courier New" w:hAnsi="Courier New"/>
          <w:sz w:val="14"/>
          <w:szCs w:val="14"/>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60"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77"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594" w:right="1440" w:bottom="1440" w:gutter="0" w:footer="0" w:header="0"/>
        </w:sectPr>
      </w:pPr>
    </w:p>
    <w:bookmarkStart w:id="31" w:name="page32"/>
    <w:bookmarkEnd w:id="31"/>
    <w:p>
      <w:pPr>
        <w:ind w:left="440"/>
        <w:spacing w:after="0"/>
        <w:rPr>
          <w:sz w:val="20"/>
          <w:szCs w:val="20"/>
          <w:color w:val="auto"/>
        </w:rPr>
      </w:pPr>
      <w:r>
        <w:rPr>
          <w:rFonts w:ascii="Courier New" w:cs="Courier New" w:eastAsia="Courier New" w:hAnsi="Courier New"/>
          <w:sz w:val="14"/>
          <w:szCs w:val="14"/>
          <w:color w:val="auto"/>
        </w:rPr>
        <w:t>CONVERSION UPON SATISFACTION OF MARKET PRICE CONDITION</w:t>
      </w:r>
    </w:p>
    <w:p>
      <w:pPr>
        <w:spacing w:after="0" w:line="175"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You may surrender your note for conversion into our ordinary shares prior to the close of business on the maturity date during any fiscal quarter commencing after March 31, 2004, and only during such fiscal quarter if the closing sale price of our ordinary shares exceeds 130% of the then effective conversion price for at least 20 trading days in the 30 consecutive trading days ending on the last trading day of the preceding fiscal quarter.</w:t>
      </w:r>
    </w:p>
    <w:p>
      <w:pPr>
        <w:spacing w:after="0" w:line="66" w:lineRule="exact"/>
        <w:rPr>
          <w:sz w:val="20"/>
          <w:szCs w:val="20"/>
          <w:color w:val="auto"/>
        </w:rPr>
      </w:pPr>
    </w:p>
    <w:p>
      <w:pPr>
        <w:ind w:right="3279" w:firstLine="781"/>
        <w:spacing w:after="0" w:line="264" w:lineRule="auto"/>
        <w:rPr>
          <w:sz w:val="20"/>
          <w:szCs w:val="20"/>
          <w:color w:val="auto"/>
        </w:rPr>
      </w:pPr>
      <w:r>
        <w:rPr>
          <w:rFonts w:ascii="Courier New" w:cs="Courier New" w:eastAsia="Courier New" w:hAnsi="Courier New"/>
          <w:sz w:val="14"/>
          <w:szCs w:val="14"/>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5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SATISFACTION OF TRADING PRICE CONDITION</w:t>
      </w:r>
    </w:p>
    <w:p>
      <w:pPr>
        <w:spacing w:after="0" w:line="17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77"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"trading price" of the notes on any date of determination means the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secondary market bid quotations obtained by the trustee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principal amount of the notes at approximately 3:30 p.m.,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time, on such determination date from three independent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securities dealers we select; provided that if three such bids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 obtained by the trustee, but two such bids are obtained, then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two bids shall be used, and if only one such bid can 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obtained by the trustee, that one bid shall be used. If the trustee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obtain at least one bid for $10,000,000 principal amount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 nationally recognized securities dealer, then the trading price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notes will be deemed to be less than 98%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the "closing sale price" of our ordinary shares and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49"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CREDIT RATINGS EVENT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After the earlier of (a) the date the notes are rated by both Standard</w:t>
      </w:r>
    </w:p>
    <w:p>
      <w:pPr>
        <w:spacing w:after="0" w:line="34" w:lineRule="exact"/>
        <w:rPr>
          <w:sz w:val="20"/>
          <w:szCs w:val="20"/>
          <w:color w:val="auto"/>
        </w:rPr>
      </w:pPr>
    </w:p>
    <w:p>
      <w:pPr>
        <w:ind w:right="3459" w:firstLine="9"/>
        <w:spacing w:after="0" w:line="275" w:lineRule="auto"/>
        <w:tabs>
          <w:tab w:leader="none" w:pos="17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w:t>
      </w:r>
    </w:p>
    <w:p>
      <w:pPr>
        <w:spacing w:after="0" w:line="6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594" w:right="1440" w:bottom="1440" w:gutter="0" w:footer="0" w:header="0"/>
        </w:sectPr>
      </w:pPr>
    </w:p>
    <w:bookmarkStart w:id="32" w:name="page33"/>
    <w:bookmarkEnd w:id="32"/>
    <w:p>
      <w:pPr>
        <w:ind w:right="3279"/>
        <w:spacing w:after="0" w:line="317" w:lineRule="auto"/>
        <w:rPr>
          <w:sz w:val="20"/>
          <w:szCs w:val="20"/>
          <w:color w:val="auto"/>
        </w:rPr>
      </w:pPr>
      <w:r>
        <w:rPr>
          <w:rFonts w:ascii="Courier New" w:cs="Courier New" w:eastAsia="Courier New" w:hAnsi="Courier New"/>
          <w:sz w:val="14"/>
          <w:szCs w:val="14"/>
          <w:color w:val="auto"/>
        </w:rPr>
        <w:t>either of these rating agencies no longer rates the notes, or if either of these rating agencies suspends or withdraws the rating assigned to the notes, or if the notes are not assigned a rating by both rating agencies.</w:t>
      </w:r>
    </w:p>
    <w:p>
      <w:pPr>
        <w:spacing w:after="0" w:line="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NOTICE OF REDEMPTION</w:t>
      </w:r>
    </w:p>
    <w:p>
      <w:pPr>
        <w:spacing w:after="0" w:line="175"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5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SPECIFIED CORPORATE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we elect to:</w:t>
      </w:r>
    </w:p>
    <w:p>
      <w:pPr>
        <w:spacing w:after="0" w:line="175" w:lineRule="exact"/>
        <w:rPr>
          <w:sz w:val="20"/>
          <w:szCs w:val="20"/>
          <w:color w:val="auto"/>
        </w:rPr>
      </w:pPr>
    </w:p>
    <w:p>
      <w:pPr>
        <w:ind w:left="1320" w:right="3279" w:hanging="530"/>
        <w:spacing w:after="0" w:line="278"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66" w:lineRule="exact"/>
        <w:rPr>
          <w:rFonts w:ascii="Courier New" w:cs="Courier New" w:eastAsia="Courier New" w:hAnsi="Courier New"/>
          <w:sz w:val="14"/>
          <w:szCs w:val="14"/>
          <w:color w:val="auto"/>
        </w:rPr>
      </w:pPr>
    </w:p>
    <w:p>
      <w:pPr>
        <w:ind w:left="1320" w:right="3279" w:hanging="530"/>
        <w:spacing w:after="0" w:line="285"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60" w:lineRule="exact"/>
        <w:rPr>
          <w:sz w:val="20"/>
          <w:szCs w:val="20"/>
          <w:color w:val="auto"/>
        </w:rPr>
      </w:pPr>
    </w:p>
    <w:p>
      <w:pPr>
        <w:ind w:right="3279"/>
        <w:spacing w:after="0" w:line="275" w:lineRule="auto"/>
        <w:rPr>
          <w:sz w:val="20"/>
          <w:szCs w:val="20"/>
          <w:color w:val="auto"/>
        </w:rPr>
      </w:pPr>
      <w:r>
        <w:rPr>
          <w:rFonts w:ascii="Courier New" w:cs="Courier New" w:eastAsia="Courier New" w:hAnsi="Courier New"/>
          <w:sz w:val="14"/>
          <w:szCs w:val="14"/>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45" w:lineRule="exact"/>
        <w:rPr>
          <w:sz w:val="20"/>
          <w:szCs w:val="20"/>
          <w:color w:val="auto"/>
        </w:rPr>
      </w:pPr>
    </w:p>
    <w:p>
      <w:pPr>
        <w:ind w:right="3279" w:firstLine="781"/>
        <w:spacing w:after="0" w:line="259" w:lineRule="auto"/>
        <w:rPr>
          <w:sz w:val="20"/>
          <w:szCs w:val="20"/>
          <w:color w:val="auto"/>
        </w:rPr>
      </w:pPr>
      <w:r>
        <w:rPr>
          <w:rFonts w:ascii="Courier New" w:cs="Courier New" w:eastAsia="Courier New" w:hAnsi="Courier New"/>
          <w:sz w:val="14"/>
          <w:szCs w:val="14"/>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"--Repurchase at Option of the Holder Upon a Designated Event."</w:t>
      </w:r>
    </w:p>
    <w:p>
      <w:pPr>
        <w:spacing w:after="0" w:line="25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PROCEDURES</w:t>
      </w:r>
    </w:p>
    <w:p>
      <w:pPr>
        <w:spacing w:after="0" w:line="175"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49" w:lineRule="exact"/>
        <w:rPr>
          <w:sz w:val="20"/>
          <w:szCs w:val="20"/>
          <w:color w:val="auto"/>
        </w:rPr>
      </w:pPr>
    </w:p>
    <w:p>
      <w:pPr>
        <w:ind w:right="3279" w:firstLine="781"/>
        <w:spacing w:after="0" w:line="317" w:lineRule="auto"/>
        <w:rPr>
          <w:sz w:val="20"/>
          <w:szCs w:val="20"/>
          <w:color w:val="auto"/>
        </w:rPr>
      </w:pPr>
      <w:r>
        <w:rPr>
          <w:rFonts w:ascii="Courier New" w:cs="Courier New" w:eastAsia="Courier New" w:hAnsi="Courier New"/>
          <w:sz w:val="14"/>
          <w:szCs w:val="14"/>
          <w:color w:val="auto"/>
        </w:rPr>
        <w:t>To convert your note into ordinary shares you must do the following (or comply with DTC procedures for doing so in respect of your beneficial interest in notes evidenced by a global note):</w:t>
      </w:r>
    </w:p>
    <w:p>
      <w:pPr>
        <w:spacing w:after="0" w:line="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594" w:right="1440" w:bottom="1440" w:gutter="0" w:footer="0" w:header="0"/>
        </w:sectPr>
      </w:pPr>
    </w:p>
    <w:bookmarkStart w:id="33" w:name="page34"/>
    <w:bookmarkEnd w:id="33"/>
    <w:p>
      <w:pPr>
        <w:jc w:val="both"/>
        <w:ind w:left="1320" w:right="3459" w:hanging="530"/>
        <w:spacing w:after="0" w:line="317"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and manually sign the conversion notice on the back of the note or facsimile of the conversion notice and deliver this notice to the conversion agent;</w:t>
      </w:r>
    </w:p>
    <w:p>
      <w:pPr>
        <w:spacing w:after="0" w:line="3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the note to the conversion agent;</w:t>
      </w:r>
    </w:p>
    <w:p>
      <w:pPr>
        <w:spacing w:after="0" w:line="175" w:lineRule="exact"/>
        <w:rPr>
          <w:rFonts w:ascii="Courier New" w:cs="Courier New" w:eastAsia="Courier New" w:hAnsi="Courier New"/>
          <w:sz w:val="14"/>
          <w:szCs w:val="14"/>
          <w:color w:val="auto"/>
        </w:rPr>
      </w:pPr>
    </w:p>
    <w:p>
      <w:pPr>
        <w:ind w:left="1320" w:right="3899" w:hanging="530"/>
        <w:spacing w:after="0" w:line="37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all transfer or similar taxes; and</w:t>
      </w:r>
    </w:p>
    <w:p>
      <w:pPr>
        <w:spacing w:after="0" w:line="175" w:lineRule="exact"/>
        <w:rPr>
          <w:rFonts w:ascii="Courier New" w:cs="Courier New" w:eastAsia="Courier New" w:hAnsi="Courier New"/>
          <w:sz w:val="14"/>
          <w:szCs w:val="14"/>
          <w:color w:val="auto"/>
        </w:rPr>
      </w:pPr>
    </w:p>
    <w:p>
      <w:pPr>
        <w:ind w:left="1320" w:right="3719" w:hanging="530"/>
        <w:spacing w:after="0" w:line="37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funds equal to interest payable on the next interest payment date.</w:t>
      </w:r>
    </w:p>
    <w:p>
      <w:pPr>
        <w:spacing w:after="0" w:line="1" w:lineRule="exact"/>
        <w:rPr>
          <w:sz w:val="20"/>
          <w:szCs w:val="20"/>
          <w:color w:val="auto"/>
        </w:rPr>
      </w:pPr>
    </w:p>
    <w:p>
      <w:pPr>
        <w:ind w:right="3639"/>
        <w:spacing w:after="0" w:line="378" w:lineRule="auto"/>
        <w:rPr>
          <w:sz w:val="20"/>
          <w:szCs w:val="20"/>
          <w:color w:val="auto"/>
        </w:rPr>
      </w:pPr>
      <w:r>
        <w:rPr>
          <w:rFonts w:ascii="Courier New" w:cs="Courier New" w:eastAsia="Courier New" w:hAnsi="Courier New"/>
          <w:sz w:val="14"/>
          <w:szCs w:val="14"/>
          <w:color w:val="auto"/>
        </w:rPr>
        <w:t>The date you comply with these requirements is the conversion date under the indenture.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RATE ADJUSTMENTS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will adjust the conversion rate if any of the following events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occurs:</w:t>
      </w:r>
    </w:p>
    <w:p>
      <w:pPr>
        <w:spacing w:after="0" w:line="149" w:lineRule="exact"/>
        <w:rPr>
          <w:sz w:val="20"/>
          <w:szCs w:val="20"/>
          <w:color w:val="auto"/>
        </w:rPr>
      </w:pPr>
    </w:p>
    <w:p>
      <w:pPr>
        <w:ind w:left="1320" w:right="3639" w:hanging="530"/>
        <w:spacing w:after="0" w:line="37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ordinary shares as a dividend or distribution on our ordinary shares.</w:t>
      </w:r>
    </w:p>
    <w:p>
      <w:pPr>
        <w:spacing w:after="0" w:line="1" w:lineRule="exact"/>
        <w:rPr>
          <w:rFonts w:ascii="Courier New" w:cs="Courier New" w:eastAsia="Courier New" w:hAnsi="Courier New"/>
          <w:sz w:val="14"/>
          <w:szCs w:val="14"/>
          <w:color w:val="auto"/>
        </w:rPr>
      </w:pPr>
    </w:p>
    <w:p>
      <w:pPr>
        <w:ind w:left="1320" w:right="3459" w:hanging="530"/>
        <w:spacing w:after="0" w:line="27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66"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subdivide or combine our ordinary shares.</w:t>
      </w:r>
    </w:p>
    <w:p>
      <w:pPr>
        <w:spacing w:after="0" w:line="175" w:lineRule="exact"/>
        <w:rPr>
          <w:rFonts w:ascii="Courier New" w:cs="Courier New" w:eastAsia="Courier New" w:hAnsi="Courier New"/>
          <w:sz w:val="14"/>
          <w:szCs w:val="14"/>
          <w:color w:val="auto"/>
        </w:rPr>
      </w:pPr>
    </w:p>
    <w:p>
      <w:pPr>
        <w:ind w:left="1320" w:right="3279" w:hanging="530"/>
        <w:spacing w:after="0" w:line="295"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54" w:lineRule="exact"/>
        <w:rPr>
          <w:rFonts w:ascii="Courier New" w:cs="Courier New" w:eastAsia="Courier New" w:hAnsi="Courier New"/>
          <w:sz w:val="14"/>
          <w:szCs w:val="14"/>
          <w:color w:val="auto"/>
        </w:rPr>
      </w:pPr>
    </w:p>
    <w:p>
      <w:pPr>
        <w:ind w:left="1320" w:right="32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76" w:lineRule="exact"/>
        <w:rPr>
          <w:rFonts w:ascii="Courier New" w:cs="Courier New" w:eastAsia="Courier New" w:hAnsi="Courier New"/>
          <w:sz w:val="14"/>
          <w:szCs w:val="14"/>
          <w:color w:val="auto"/>
        </w:rPr>
      </w:pPr>
    </w:p>
    <w:p>
      <w:pPr>
        <w:ind w:left="1320" w:right="32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rFonts w:ascii="Courier New" w:cs="Courier New" w:eastAsia="Courier New" w:hAnsi="Courier New"/>
          <w:sz w:val="14"/>
          <w:szCs w:val="14"/>
          <w:color w:val="auto"/>
        </w:rPr>
      </w:pPr>
    </w:p>
    <w:p>
      <w:pPr>
        <w:ind w:left="1320" w:right="3379" w:hanging="9"/>
        <w:spacing w:after="0" w:line="275" w:lineRule="auto"/>
        <w:tabs>
          <w:tab w:leader="none" w:pos="16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66" w:lineRule="exact"/>
        <w:rPr>
          <w:rFonts w:ascii="Courier New" w:cs="Courier New" w:eastAsia="Courier New" w:hAnsi="Courier New"/>
          <w:sz w:val="14"/>
          <w:szCs w:val="14"/>
          <w:color w:val="auto"/>
        </w:rPr>
      </w:pPr>
    </w:p>
    <w:p>
      <w:pPr>
        <w:ind w:left="1320" w:right="3379" w:hanging="530"/>
        <w:spacing w:after="0" w:line="27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67" w:lineRule="exact"/>
        <w:rPr>
          <w:rFonts w:ascii="Courier New" w:cs="Courier New" w:eastAsia="Courier New" w:hAnsi="Courier New"/>
          <w:sz w:val="14"/>
          <w:szCs w:val="14"/>
          <w:color w:val="auto"/>
        </w:rPr>
      </w:pPr>
    </w:p>
    <w:p>
      <w:pPr>
        <w:ind w:left="1320" w:right="3379" w:hanging="530"/>
        <w:spacing w:after="0" w:line="295"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55" w:lineRule="exact"/>
        <w:rPr>
          <w:sz w:val="20"/>
          <w:szCs w:val="20"/>
          <w:color w:val="auto"/>
        </w:rPr>
      </w:pPr>
    </w:p>
    <w:p>
      <w:pPr>
        <w:ind w:left="1320" w:right="3459"/>
        <w:spacing w:after="0" w:line="378" w:lineRule="auto"/>
        <w:rPr>
          <w:sz w:val="20"/>
          <w:szCs w:val="20"/>
          <w:color w:val="auto"/>
        </w:rPr>
      </w:pPr>
      <w:r>
        <w:rPr>
          <w:rFonts w:ascii="Courier New" w:cs="Courier New" w:eastAsia="Courier New" w:hAnsi="Courier New"/>
          <w:sz w:val="14"/>
          <w:szCs w:val="14"/>
          <w:color w:val="auto"/>
        </w:rPr>
        <w:t>The adjustment referred to in this clause (6) will only be made if:</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4" w:right="1440" w:bottom="1440" w:gutter="0" w:footer="0" w:header="0"/>
        </w:sectPr>
      </w:pPr>
    </w:p>
    <w:bookmarkStart w:id="34" w:name="page35"/>
    <w:bookmarkEnd w:id="34"/>
    <w:p>
      <w:pPr>
        <w:ind w:left="1740" w:right="3279" w:hanging="429"/>
        <w:spacing w:after="0" w:line="317"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or exchange offer is for an amount that increases the offeror's ownership of ordinary shares to more than 25% of the total ordinary shares outstanding; and</w:t>
      </w:r>
    </w:p>
    <w:p>
      <w:pPr>
        <w:spacing w:after="0" w:line="39" w:lineRule="exact"/>
        <w:rPr>
          <w:rFonts w:ascii="Courier New" w:cs="Courier New" w:eastAsia="Courier New" w:hAnsi="Courier New"/>
          <w:sz w:val="14"/>
          <w:szCs w:val="14"/>
          <w:color w:val="auto"/>
        </w:rPr>
      </w:pPr>
    </w:p>
    <w:p>
      <w:pPr>
        <w:ind w:left="1740" w:right="3279" w:hanging="429"/>
        <w:spacing w:after="0" w:line="285"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60" w:lineRule="exact"/>
        <w:rPr>
          <w:sz w:val="20"/>
          <w:szCs w:val="20"/>
          <w:color w:val="auto"/>
        </w:rPr>
      </w:pPr>
    </w:p>
    <w:p>
      <w:pPr>
        <w:ind w:left="1320" w:right="3279"/>
        <w:spacing w:after="0" w:line="285" w:lineRule="auto"/>
        <w:rPr>
          <w:sz w:val="20"/>
          <w:szCs w:val="20"/>
          <w:color w:val="auto"/>
        </w:rPr>
      </w:pPr>
      <w:r>
        <w:rPr>
          <w:rFonts w:ascii="Courier New" w:cs="Courier New" w:eastAsia="Courier New" w:hAnsi="Courier New"/>
          <w:sz w:val="14"/>
          <w:szCs w:val="14"/>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60"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49"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7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the event of:</w:t>
      </w:r>
    </w:p>
    <w:p>
      <w:pPr>
        <w:spacing w:after="0" w:line="175" w:lineRule="exact"/>
        <w:rPr>
          <w:sz w:val="20"/>
          <w:szCs w:val="20"/>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our ordinary shares;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merger or combination involving us; or</w:t>
      </w:r>
    </w:p>
    <w:p>
      <w:pPr>
        <w:spacing w:after="0" w:line="175" w:lineRule="exact"/>
        <w:rPr>
          <w:rFonts w:ascii="Courier New" w:cs="Courier New" w:eastAsia="Courier New" w:hAnsi="Courier New"/>
          <w:sz w:val="14"/>
          <w:szCs w:val="14"/>
          <w:color w:val="auto"/>
        </w:rPr>
      </w:pPr>
    </w:p>
    <w:p>
      <w:pPr>
        <w:ind w:left="1320" w:right="3899" w:hanging="530"/>
        <w:spacing w:after="0" w:line="378"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conveyance to another person or entity of all or substantially all of our property and assets;</w:t>
      </w:r>
    </w:p>
    <w:p>
      <w:pPr>
        <w:spacing w:after="0" w:line="1"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60"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Considerations--Tax Consequences to U.S. Holders--Adjustment to Conversion Rate."</w:t>
      </w:r>
    </w:p>
    <w:p>
      <w:pPr>
        <w:spacing w:after="0" w:line="249" w:lineRule="exact"/>
        <w:rPr>
          <w:sz w:val="20"/>
          <w:szCs w:val="20"/>
          <w:color w:val="auto"/>
        </w:rPr>
      </w:pPr>
    </w:p>
    <w:p>
      <w:pPr>
        <w:ind w:right="3279" w:firstLine="781"/>
        <w:spacing w:after="0" w:line="285" w:lineRule="auto"/>
        <w:rPr>
          <w:sz w:val="20"/>
          <w:szCs w:val="20"/>
          <w:color w:val="auto"/>
        </w:rPr>
      </w:pPr>
      <w:r>
        <w:rPr>
          <w:rFonts w:ascii="Courier New" w:cs="Courier New" w:eastAsia="Courier New" w:hAnsi="Courier New"/>
          <w:sz w:val="14"/>
          <w:szCs w:val="14"/>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Considerations--Tax Consequences to U.S. Holders--Adjustment to Conversion Rate."</w:t>
      </w:r>
    </w:p>
    <w:p>
      <w:pPr>
        <w:spacing w:after="0" w:line="60"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594"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OPTIONAL REDEMPTION BY AMDOCS</w:t>
      </w:r>
    </w:p>
    <w:p>
      <w:pPr>
        <w:spacing w:after="0" w:line="175"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48" w:lineRule="exact"/>
        <w:rPr>
          <w:sz w:val="20"/>
          <w:szCs w:val="20"/>
          <w:color w:val="auto"/>
        </w:rPr>
      </w:pPr>
    </w:p>
    <w:p>
      <w:pPr>
        <w:ind w:right="3379" w:firstLine="781"/>
        <w:spacing w:after="0" w:line="275" w:lineRule="auto"/>
        <w:rPr>
          <w:sz w:val="20"/>
          <w:szCs w:val="20"/>
          <w:color w:val="auto"/>
        </w:rPr>
      </w:pPr>
      <w:r>
        <w:rPr>
          <w:rFonts w:ascii="Courier New" w:cs="Courier New" w:eastAsia="Courier New" w:hAnsi="Courier New"/>
          <w:sz w:val="14"/>
          <w:szCs w:val="14"/>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 convert a portion of your notes, the converted portion will be deemed to the extent practicable to be of the portion selected for redemption.</w:t>
      </w:r>
    </w:p>
    <w:p>
      <w:pPr>
        <w:spacing w:after="0" w:line="245" w:lineRule="exact"/>
        <w:rPr>
          <w:sz w:val="20"/>
          <w:szCs w:val="20"/>
          <w:color w:val="auto"/>
        </w:rPr>
      </w:pPr>
    </w:p>
    <w:p>
      <w:pPr>
        <w:ind w:right="3459" w:firstLine="781"/>
        <w:spacing w:after="0" w:line="317" w:lineRule="auto"/>
        <w:rPr>
          <w:sz w:val="20"/>
          <w:szCs w:val="20"/>
          <w:color w:val="auto"/>
        </w:rPr>
      </w:pPr>
      <w:r>
        <w:rPr>
          <w:rFonts w:ascii="Courier New" w:cs="Courier New" w:eastAsia="Courier New" w:hAnsi="Courier New"/>
          <w:sz w:val="14"/>
          <w:szCs w:val="14"/>
          <w:color w:val="auto"/>
        </w:rPr>
        <w:t>We may not redeem the notes if we have failed to pay any interest on the notes and such failure to pay is continuing, or if the principal amount of the notes has been accelerated.</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w:t>
      </w:r>
    </w:p>
    <w:p>
      <w:pPr>
        <w:spacing w:after="0" w:line="175" w:lineRule="exact"/>
        <w:rPr>
          <w:sz w:val="20"/>
          <w:szCs w:val="20"/>
          <w:color w:val="auto"/>
        </w:rPr>
      </w:pPr>
    </w:p>
    <w:p>
      <w:pPr>
        <w:ind w:right="3379" w:firstLine="781"/>
        <w:spacing w:after="0" w:line="268" w:lineRule="auto"/>
        <w:rPr>
          <w:sz w:val="20"/>
          <w:szCs w:val="20"/>
          <w:color w:val="auto"/>
        </w:rPr>
      </w:pPr>
      <w:r>
        <w:rPr>
          <w:rFonts w:ascii="Courier New" w:cs="Courier New" w:eastAsia="Courier New" w:hAnsi="Courier New"/>
          <w:sz w:val="14"/>
          <w:szCs w:val="14"/>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75" w:lineRule="exact"/>
        <w:rPr>
          <w:sz w:val="20"/>
          <w:szCs w:val="20"/>
          <w:color w:val="auto"/>
        </w:rPr>
      </w:pPr>
    </w:p>
    <w:p>
      <w:pPr>
        <w:ind w:right="3379" w:firstLine="781"/>
        <w:spacing w:after="0" w:line="317" w:lineRule="auto"/>
        <w:rPr>
          <w:sz w:val="20"/>
          <w:szCs w:val="20"/>
          <w:color w:val="auto"/>
        </w:rPr>
      </w:pPr>
      <w:r>
        <w:rPr>
          <w:rFonts w:ascii="Courier New" w:cs="Courier New" w:eastAsia="Courier New" w:hAnsi="Courier New"/>
          <w:sz w:val="14"/>
          <w:szCs w:val="14"/>
          <w:color w:val="auto"/>
        </w:rPr>
        <w:t>The repurchase price payable for a note will be equal to the principal amount to be repurchased, plus accrued and unpaid interest and liquidated damages, if any, to, but excluding, the repurchase date.</w:t>
      </w:r>
    </w:p>
    <w:p>
      <w:pPr>
        <w:spacing w:after="0" w:line="39"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70" w:lineRule="exact"/>
        <w:rPr>
          <w:sz w:val="20"/>
          <w:szCs w:val="20"/>
          <w:color w:val="auto"/>
        </w:rPr>
      </w:pPr>
    </w:p>
    <w:p>
      <w:pPr>
        <w:ind w:left="1320" w:right="3279" w:hanging="530"/>
        <w:spacing w:after="0" w:line="317"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ordinary shares to be issued upon repurchase under the Securities Act and the Securities Exchange Act of 1934, referred to herein as the Exchange Act, if required;</w:t>
      </w:r>
    </w:p>
    <w:p>
      <w:pPr>
        <w:spacing w:after="0" w:line="39" w:lineRule="exact"/>
        <w:rPr>
          <w:rFonts w:ascii="Courier New" w:cs="Courier New" w:eastAsia="Courier New" w:hAnsi="Courier New"/>
          <w:sz w:val="14"/>
          <w:szCs w:val="14"/>
          <w:color w:val="auto"/>
        </w:rPr>
      </w:pPr>
    </w:p>
    <w:p>
      <w:pPr>
        <w:ind w:left="1320" w:right="3279" w:hanging="530"/>
        <w:spacing w:after="0" w:line="317"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ordinary shares to be issued upon repurchase under applicable state securities laws, if necessary, or the availability of an exemption therefrom; and</w:t>
      </w:r>
    </w:p>
    <w:p>
      <w:pPr>
        <w:spacing w:after="0" w:line="39" w:lineRule="exact"/>
        <w:rPr>
          <w:rFonts w:ascii="Courier New" w:cs="Courier New" w:eastAsia="Courier New" w:hAnsi="Courier New"/>
          <w:sz w:val="14"/>
          <w:szCs w:val="14"/>
          <w:color w:val="auto"/>
        </w:rPr>
      </w:pPr>
    </w:p>
    <w:p>
      <w:pPr>
        <w:ind w:left="1320" w:right="3799" w:hanging="530"/>
        <w:spacing w:after="0" w:line="29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ordinary shares on a United States national securities exchange or quotation thereof in an inter-dealer quotation system of any registered United States national securities association.</w:t>
      </w:r>
    </w:p>
    <w:p>
      <w:pPr>
        <w:spacing w:after="0" w:line="55" w:lineRule="exact"/>
        <w:rPr>
          <w:sz w:val="20"/>
          <w:szCs w:val="20"/>
          <w:color w:val="auto"/>
        </w:rPr>
      </w:pPr>
    </w:p>
    <w:p>
      <w:pPr>
        <w:ind w:right="3379" w:firstLine="781"/>
        <w:spacing w:after="0" w:line="274"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68" w:lineRule="exact"/>
        <w:rPr>
          <w:sz w:val="20"/>
          <w:szCs w:val="20"/>
          <w:color w:val="auto"/>
        </w:rPr>
      </w:pPr>
    </w:p>
    <w:p>
      <w:pPr>
        <w:ind w:right="3379" w:firstLine="781"/>
        <w:spacing w:after="0" w:line="317"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594" w:right="1440" w:bottom="1440" w:gutter="0" w:footer="0" w:header="0"/>
        </w:sectPr>
      </w:pPr>
    </w:p>
    <w:bookmarkStart w:id="36" w:name="page37"/>
    <w:bookmarkEnd w:id="36"/>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95"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54" w:lineRule="exact"/>
        <w:rPr>
          <w:rFonts w:ascii="Courier New" w:cs="Courier New" w:eastAsia="Courier New" w:hAnsi="Courier New"/>
          <w:sz w:val="14"/>
          <w:szCs w:val="14"/>
          <w:color w:val="auto"/>
        </w:rPr>
      </w:pPr>
    </w:p>
    <w:p>
      <w:pPr>
        <w:ind w:left="1320" w:right="3979" w:hanging="530"/>
        <w:spacing w:after="0" w:line="37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 w:lineRule="exact"/>
        <w:rPr>
          <w:sz w:val="20"/>
          <w:szCs w:val="20"/>
          <w:color w:val="auto"/>
        </w:rPr>
      </w:pPr>
    </w:p>
    <w:p>
      <w:pPr>
        <w:ind w:right="3379" w:firstLine="781"/>
        <w:spacing w:after="0" w:line="267" w:lineRule="auto"/>
        <w:rPr>
          <w:sz w:val="20"/>
          <w:szCs w:val="20"/>
          <w:color w:val="auto"/>
        </w:rPr>
      </w:pPr>
      <w:r>
        <w:rPr>
          <w:rFonts w:ascii="Courier New" w:cs="Courier New" w:eastAsia="Courier New" w:hAnsi="Courier New"/>
          <w:sz w:val="14"/>
          <w:szCs w:val="14"/>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72"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48" w:lineRule="exact"/>
        <w:rPr>
          <w:sz w:val="20"/>
          <w:szCs w:val="20"/>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378"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 w:lineRule="exact"/>
        <w:rPr>
          <w:sz w:val="20"/>
          <w:szCs w:val="20"/>
          <w:color w:val="auto"/>
        </w:rPr>
      </w:pPr>
    </w:p>
    <w:p>
      <w:pPr>
        <w:ind w:right="3539" w:firstLine="781"/>
        <w:spacing w:after="0" w:line="37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83"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 UPON A DESIGNATED EVENT</w:t>
      </w:r>
    </w:p>
    <w:p>
      <w:pPr>
        <w:spacing w:after="0" w:line="175"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594" w:right="1440" w:bottom="1440" w:gutter="0" w:footer="0" w:header="0"/>
        </w:sectPr>
      </w:pPr>
    </w:p>
    <w:bookmarkStart w:id="37" w:name="page38"/>
    <w:bookmarkEnd w:id="37"/>
    <w:p>
      <w:pPr>
        <w:ind w:right="3279" w:firstLine="781"/>
        <w:spacing w:after="0" w:line="274" w:lineRule="auto"/>
        <w:rPr>
          <w:sz w:val="20"/>
          <w:szCs w:val="20"/>
          <w:color w:val="auto"/>
        </w:rPr>
      </w:pPr>
      <w:r>
        <w:rPr>
          <w:rFonts w:ascii="Courier New" w:cs="Courier New" w:eastAsia="Courier New" w:hAnsi="Courier New"/>
          <w:sz w:val="14"/>
          <w:szCs w:val="14"/>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68"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70" w:lineRule="exact"/>
        <w:rPr>
          <w:sz w:val="20"/>
          <w:szCs w:val="20"/>
          <w:color w:val="auto"/>
        </w:rPr>
      </w:pPr>
    </w:p>
    <w:p>
      <w:pPr>
        <w:ind w:left="1320" w:right="3279" w:hanging="530"/>
        <w:spacing w:after="0" w:line="378"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shares to be issued upon redemption under the Securities Act and the Exchange Act, if required;</w:t>
      </w:r>
    </w:p>
    <w:p>
      <w:pPr>
        <w:spacing w:after="0" w:line="1" w:lineRule="exact"/>
        <w:rPr>
          <w:rFonts w:ascii="Courier New" w:cs="Courier New" w:eastAsia="Courier New" w:hAnsi="Courier New"/>
          <w:sz w:val="14"/>
          <w:szCs w:val="14"/>
          <w:color w:val="auto"/>
        </w:rPr>
      </w:pPr>
    </w:p>
    <w:p>
      <w:pPr>
        <w:ind w:left="1320" w:right="3539" w:hanging="530"/>
        <w:spacing w:after="0" w:line="317"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shares to be issued upon redemption under applicable state securities laws, if necessary, or the availability of an exemption therefrom; and</w:t>
      </w:r>
    </w:p>
    <w:p>
      <w:pPr>
        <w:spacing w:after="0" w:line="39" w:lineRule="exact"/>
        <w:rPr>
          <w:rFonts w:ascii="Courier New" w:cs="Courier New" w:eastAsia="Courier New" w:hAnsi="Courier New"/>
          <w:sz w:val="14"/>
          <w:szCs w:val="14"/>
          <w:color w:val="auto"/>
        </w:rPr>
      </w:pPr>
    </w:p>
    <w:p>
      <w:pPr>
        <w:ind w:left="1320" w:right="3279" w:hanging="530"/>
        <w:spacing w:after="0" w:line="317"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shares on a United States national securities exchange or quotation thereof in an inter-dealer quotation system of any registered United States national securities association.</w:t>
      </w:r>
    </w:p>
    <w:p>
      <w:pPr>
        <w:spacing w:after="0" w:line="39" w:lineRule="exact"/>
        <w:rPr>
          <w:sz w:val="20"/>
          <w:szCs w:val="20"/>
          <w:color w:val="auto"/>
        </w:rPr>
      </w:pPr>
    </w:p>
    <w:p>
      <w:pPr>
        <w:ind w:right="3379" w:firstLine="781"/>
        <w:spacing w:after="0" w:line="285"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60"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80" w:lineRule="exact"/>
        <w:rPr>
          <w:sz w:val="20"/>
          <w:szCs w:val="20"/>
          <w:color w:val="auto"/>
        </w:rPr>
      </w:pPr>
    </w:p>
    <w:p>
      <w:pPr>
        <w:ind w:right="3379" w:firstLine="781"/>
        <w:spacing w:after="0" w:line="317"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39" w:lineRule="exact"/>
        <w:rPr>
          <w:sz w:val="20"/>
          <w:szCs w:val="20"/>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95"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54" w:lineRule="exact"/>
        <w:rPr>
          <w:rFonts w:ascii="Courier New" w:cs="Courier New" w:eastAsia="Courier New" w:hAnsi="Courier New"/>
          <w:sz w:val="14"/>
          <w:szCs w:val="14"/>
          <w:color w:val="auto"/>
        </w:rPr>
      </w:pPr>
    </w:p>
    <w:p>
      <w:pPr>
        <w:ind w:left="1320" w:right="3979" w:hanging="530"/>
        <w:spacing w:after="0" w:line="378"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72" w:lineRule="exact"/>
        <w:rPr>
          <w:sz w:val="20"/>
          <w:szCs w:val="20"/>
          <w:color w:val="auto"/>
        </w:rPr>
      </w:pPr>
    </w:p>
    <w:p>
      <w:pPr>
        <w:ind w:left="3400" w:right="5639" w:hanging="2610"/>
        <w:spacing w:after="0" w:line="635" w:lineRule="auto"/>
        <w:tabs>
          <w:tab w:leader="none" w:pos="131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 33</w:t>
      </w:r>
    </w:p>
    <w:p>
      <w:pPr>
        <w:sectPr>
          <w:pgSz w:w="11900" w:h="16838" w:orient="portrait"/>
          <w:cols w:equalWidth="0" w:num="1">
            <w:col w:w="10239"/>
          </w:cols>
          <w:pgMar w:left="220" w:top="594" w:right="1440" w:bottom="1440" w:gutter="0" w:footer="0" w:header="0"/>
        </w:sectPr>
      </w:pPr>
    </w:p>
    <w:bookmarkStart w:id="38" w:name="page39"/>
    <w:bookmarkEnd w:id="38"/>
    <w:p>
      <w:pPr>
        <w:ind w:left="1320" w:hanging="530"/>
        <w:spacing w:after="0"/>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378"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 w:lineRule="exact"/>
        <w:rPr>
          <w:sz w:val="20"/>
          <w:szCs w:val="20"/>
          <w:color w:val="auto"/>
        </w:rPr>
      </w:pPr>
    </w:p>
    <w:p>
      <w:pPr>
        <w:ind w:right="3539" w:firstLine="781"/>
        <w:spacing w:after="0" w:line="37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 w:lineRule="exact"/>
        <w:rPr>
          <w:sz w:val="20"/>
          <w:szCs w:val="20"/>
          <w:color w:val="auto"/>
        </w:rPr>
      </w:pPr>
    </w:p>
    <w:p>
      <w:pPr>
        <w:ind w:right="3279" w:firstLine="781"/>
        <w:spacing w:after="0" w:line="378" w:lineRule="auto"/>
        <w:rPr>
          <w:sz w:val="20"/>
          <w:szCs w:val="20"/>
          <w:color w:val="auto"/>
        </w:rPr>
      </w:pPr>
      <w:r>
        <w:rPr>
          <w:rFonts w:ascii="Courier New" w:cs="Courier New" w:eastAsia="Courier New" w:hAnsi="Courier New"/>
          <w:sz w:val="14"/>
          <w:szCs w:val="14"/>
          <w:color w:val="auto"/>
        </w:rPr>
        <w:t>A "designated event" will be deemed to have occurred upon a fundamental change or a termination of trading.</w:t>
      </w:r>
    </w:p>
    <w:p>
      <w:pPr>
        <w:spacing w:after="0" w:line="1"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68" w:lineRule="exact"/>
        <w:rPr>
          <w:sz w:val="20"/>
          <w:szCs w:val="20"/>
          <w:color w:val="auto"/>
        </w:rPr>
      </w:pPr>
    </w:p>
    <w:p>
      <w:pPr>
        <w:ind w:left="1320" w:right="3379" w:hanging="530"/>
        <w:spacing w:after="0" w:line="378"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on, or immediately after the transaction or event will be listed on, a United States national securities exchange, or</w:t>
      </w:r>
    </w:p>
    <w:p>
      <w:pPr>
        <w:spacing w:after="0" w:line="1" w:lineRule="exact"/>
        <w:rPr>
          <w:rFonts w:ascii="Courier New" w:cs="Courier New" w:eastAsia="Courier New" w:hAnsi="Courier New"/>
          <w:sz w:val="14"/>
          <w:szCs w:val="14"/>
          <w:color w:val="auto"/>
        </w:rPr>
      </w:pPr>
    </w:p>
    <w:p>
      <w:pPr>
        <w:ind w:left="1320" w:right="3459" w:hanging="530"/>
        <w:spacing w:after="0" w:line="295"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or immediately after the transaction or event will be approved, for quotation on the NASDAQ National Market or any similar United States system of automated dissemination of quotations of securities prices.</w:t>
      </w:r>
    </w:p>
    <w:p>
      <w:pPr>
        <w:spacing w:after="0" w:line="55"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55"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60"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51"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7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594"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ADDITIONAL TAX AMOUNTS</w:t>
      </w:r>
    </w:p>
    <w:p>
      <w:pPr>
        <w:spacing w:after="0" w:line="175"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253" w:lineRule="exact"/>
        <w:rPr>
          <w:sz w:val="20"/>
          <w:szCs w:val="20"/>
          <w:color w:val="auto"/>
        </w:rPr>
      </w:pPr>
    </w:p>
    <w:p>
      <w:pPr>
        <w:ind w:left="1320" w:right="3279" w:hanging="530"/>
        <w:spacing w:after="0" w:line="271"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69" w:lineRule="exact"/>
        <w:rPr>
          <w:rFonts w:ascii="Courier New" w:cs="Courier New" w:eastAsia="Courier New" w:hAnsi="Courier New"/>
          <w:sz w:val="14"/>
          <w:szCs w:val="14"/>
          <w:color w:val="auto"/>
        </w:rPr>
      </w:pPr>
    </w:p>
    <w:p>
      <w:pPr>
        <w:ind w:left="1320" w:right="3279" w:hanging="530"/>
        <w:spacing w:after="0" w:line="28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59" w:lineRule="exact"/>
        <w:rPr>
          <w:rFonts w:ascii="Courier New" w:cs="Courier New" w:eastAsia="Courier New" w:hAnsi="Courier New"/>
          <w:sz w:val="14"/>
          <w:szCs w:val="14"/>
          <w:color w:val="auto"/>
        </w:rPr>
      </w:pPr>
    </w:p>
    <w:p>
      <w:pPr>
        <w:ind w:left="1320" w:right="3459" w:hanging="530"/>
        <w:spacing w:after="0" w:line="317"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inheritance, gift, estate, personal property, sales, or similar taxes duties, levies, assessments or similar governmental charges; or</w:t>
      </w:r>
    </w:p>
    <w:p>
      <w:pPr>
        <w:spacing w:after="0" w:line="39" w:lineRule="exact"/>
        <w:rPr>
          <w:rFonts w:ascii="Courier New" w:cs="Courier New" w:eastAsia="Courier New" w:hAnsi="Courier New"/>
          <w:sz w:val="14"/>
          <w:szCs w:val="14"/>
          <w:color w:val="auto"/>
        </w:rPr>
      </w:pPr>
    </w:p>
    <w:p>
      <w:pPr>
        <w:jc w:val="both"/>
        <w:ind w:left="1320" w:right="4159" w:hanging="530"/>
        <w:spacing w:after="0" w:line="317"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taxes, duties, levies, assessments or governmental charges that are payable otherwise than by withholding from payments in respect of such note.</w:t>
      </w:r>
    </w:p>
    <w:p>
      <w:pPr>
        <w:spacing w:after="0" w:line="39"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66"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55" w:lineRule="exact"/>
        <w:rPr>
          <w:sz w:val="20"/>
          <w:szCs w:val="20"/>
          <w:color w:val="auto"/>
        </w:rPr>
      </w:pPr>
    </w:p>
    <w:p>
      <w:pPr>
        <w:ind w:right="3379" w:firstLine="781"/>
        <w:spacing w:after="0" w:line="268" w:lineRule="auto"/>
        <w:rPr>
          <w:sz w:val="20"/>
          <w:szCs w:val="20"/>
          <w:color w:val="auto"/>
        </w:rPr>
      </w:pPr>
      <w:r>
        <w:rPr>
          <w:rFonts w:ascii="Courier New" w:cs="Courier New" w:eastAsia="Courier New" w:hAnsi="Courier New"/>
          <w:sz w:val="14"/>
          <w:szCs w:val="14"/>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Considerations--European Union Savings Tax Directive."</w:t>
      </w:r>
    </w:p>
    <w:p>
      <w:pPr>
        <w:spacing w:after="0" w:line="7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7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594"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TAX REDEMPTION</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59"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77"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SALE OF ASSETS BY AMDOCS</w:t>
      </w:r>
    </w:p>
    <w:p>
      <w:pPr>
        <w:spacing w:after="0" w:line="175"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66" w:lineRule="exact"/>
        <w:rPr>
          <w:sz w:val="20"/>
          <w:szCs w:val="20"/>
          <w:color w:val="auto"/>
        </w:rPr>
      </w:pPr>
    </w:p>
    <w:p>
      <w:pPr>
        <w:ind w:left="1320" w:right="3279" w:hanging="530"/>
        <w:spacing w:after="0" w:line="262"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w:t>
      </w:r>
    </w:p>
    <w:p>
      <w:pPr>
        <w:spacing w:after="0" w:line="25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594" w:right="1440" w:bottom="1440" w:gutter="0" w:footer="0" w:header="0"/>
        </w:sectPr>
      </w:pPr>
    </w:p>
    <w:bookmarkStart w:id="41" w:name="page42"/>
    <w:bookmarkEnd w:id="41"/>
    <w:p>
      <w:pPr>
        <w:ind w:left="1320" w:right="3379"/>
        <w:spacing w:after="0" w:line="295" w:lineRule="auto"/>
        <w:rPr>
          <w:sz w:val="20"/>
          <w:szCs w:val="20"/>
          <w:color w:val="auto"/>
        </w:rPr>
      </w:pPr>
      <w:r>
        <w:rPr>
          <w:rFonts w:ascii="Courier New" w:cs="Courier New" w:eastAsia="Courier New" w:hAnsi="Courier New"/>
          <w:sz w:val="14"/>
          <w:szCs w:val="14"/>
          <w:color w:val="auto"/>
        </w:rPr>
        <w:t>are not the surviving person, the surviving person files a supplement to the indenture and expressly assumes the payment of the principal and interest on the notes and the performance of our other covenants under the indenture;</w:t>
      </w:r>
    </w:p>
    <w:p>
      <w:pPr>
        <w:spacing w:after="0" w:line="55" w:lineRule="exact"/>
        <w:rPr>
          <w:sz w:val="20"/>
          <w:szCs w:val="20"/>
          <w:color w:val="auto"/>
        </w:rPr>
      </w:pPr>
    </w:p>
    <w:p>
      <w:pPr>
        <w:ind w:left="1320" w:right="3379" w:hanging="530"/>
        <w:spacing w:after="0" w:line="317"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such transaction, there is no event of default under the indenture, and no event which, after notice or passage of time or both, would become an event of default; and</w:t>
      </w:r>
    </w:p>
    <w:p>
      <w:pPr>
        <w:spacing w:after="0" w:line="3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requirements as described in the indenture are met.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NOTICE AND WAIVER</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events of default under the indenture:</w:t>
      </w:r>
    </w:p>
    <w:p>
      <w:pPr>
        <w:spacing w:after="0" w:line="175" w:lineRule="exact"/>
        <w:rPr>
          <w:rFonts w:ascii="Courier New" w:cs="Courier New" w:eastAsia="Courier New" w:hAnsi="Courier New"/>
          <w:sz w:val="14"/>
          <w:szCs w:val="14"/>
          <w:color w:val="auto"/>
        </w:rPr>
      </w:pPr>
    </w:p>
    <w:p>
      <w:pPr>
        <w:ind w:left="1320" w:right="3459" w:hanging="530"/>
        <w:spacing w:after="0" w:line="37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principal when due at maturity, upon redemption, repurchase or otherwise on the notes;</w:t>
      </w:r>
    </w:p>
    <w:p>
      <w:pPr>
        <w:spacing w:after="0" w:line="1" w:lineRule="exact"/>
        <w:rPr>
          <w:rFonts w:ascii="Courier New" w:cs="Courier New" w:eastAsia="Courier New" w:hAnsi="Courier New"/>
          <w:sz w:val="14"/>
          <w:szCs w:val="14"/>
          <w:color w:val="auto"/>
        </w:rPr>
      </w:pPr>
    </w:p>
    <w:p>
      <w:pPr>
        <w:ind w:left="1320" w:right="3279" w:hanging="530"/>
        <w:spacing w:after="0" w:line="343"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any interest and liquidated damages, if any, on the notes, when due and such failure continues for a period of 30 days;</w:t>
      </w:r>
    </w:p>
    <w:p>
      <w:pPr>
        <w:spacing w:after="0" w:line="214"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timely notice of a designated event;</w:t>
      </w:r>
    </w:p>
    <w:p>
      <w:pPr>
        <w:spacing w:after="0" w:line="175" w:lineRule="exact"/>
        <w:rPr>
          <w:rFonts w:ascii="Courier New" w:cs="Courier New" w:eastAsia="Courier New" w:hAnsi="Courier New"/>
          <w:sz w:val="14"/>
          <w:szCs w:val="14"/>
          <w:color w:val="auto"/>
        </w:rPr>
      </w:pPr>
    </w:p>
    <w:p>
      <w:pPr>
        <w:ind w:left="1320" w:right="3279" w:hanging="530"/>
        <w:spacing w:after="0" w:line="29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54" w:lineRule="exact"/>
        <w:rPr>
          <w:rFonts w:ascii="Courier New" w:cs="Courier New" w:eastAsia="Courier New" w:hAnsi="Courier New"/>
          <w:sz w:val="14"/>
          <w:szCs w:val="14"/>
          <w:color w:val="auto"/>
        </w:rPr>
      </w:pPr>
    </w:p>
    <w:p>
      <w:pPr>
        <w:ind w:left="1320" w:right="3279" w:hanging="530"/>
        <w:spacing w:after="0" w:line="29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defaults or other defaults causing acceleration of indebtedness prior to maturity, where the principal amount of the indebtedness subject to such defaults aggregates $50.0 million or more;</w:t>
      </w:r>
    </w:p>
    <w:p>
      <w:pPr>
        <w:spacing w:after="0" w:line="54" w:lineRule="exact"/>
        <w:rPr>
          <w:rFonts w:ascii="Courier New" w:cs="Courier New" w:eastAsia="Courier New" w:hAnsi="Courier New"/>
          <w:sz w:val="14"/>
          <w:szCs w:val="14"/>
          <w:color w:val="auto"/>
        </w:rPr>
      </w:pPr>
    </w:p>
    <w:p>
      <w:pPr>
        <w:ind w:left="1320" w:right="3379" w:hanging="530"/>
        <w:spacing w:after="0" w:line="317"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deliver our ordinary shares upon conversion of the notes within the time period required by the indenture, and such failure continues for a period of five days; or</w:t>
      </w:r>
    </w:p>
    <w:p>
      <w:pPr>
        <w:spacing w:after="0" w:line="39" w:lineRule="exact"/>
        <w:rPr>
          <w:rFonts w:ascii="Courier New" w:cs="Courier New" w:eastAsia="Courier New" w:hAnsi="Courier New"/>
          <w:sz w:val="14"/>
          <w:szCs w:val="14"/>
          <w:color w:val="auto"/>
        </w:rPr>
      </w:pPr>
    </w:p>
    <w:p>
      <w:pPr>
        <w:ind w:left="1320" w:right="4239" w:hanging="530"/>
        <w:spacing w:after="0" w:line="37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5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77"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55" w:lineRule="exact"/>
        <w:rPr>
          <w:sz w:val="20"/>
          <w:szCs w:val="20"/>
          <w:color w:val="auto"/>
        </w:rPr>
      </w:pPr>
    </w:p>
    <w:p>
      <w:pPr>
        <w:ind w:right="3279" w:firstLine="781"/>
        <w:spacing w:after="0" w:line="317" w:lineRule="auto"/>
        <w:rPr>
          <w:sz w:val="20"/>
          <w:szCs w:val="20"/>
          <w:color w:val="auto"/>
        </w:rPr>
      </w:pPr>
      <w:r>
        <w:rPr>
          <w:rFonts w:ascii="Courier New" w:cs="Courier New" w:eastAsia="Courier New" w:hAnsi="Courier New"/>
          <w:sz w:val="14"/>
          <w:szCs w:val="14"/>
          <w:color w:val="auto"/>
        </w:rPr>
        <w:t>The holders of a majority of outstanding notes will have the right to direct the time, method and place of any proceedings for any remedy available to the trustee, subject to limitations specified in the indenture.</w:t>
      </w:r>
    </w:p>
    <w:p>
      <w:pPr>
        <w:spacing w:after="0" w:line="39" w:lineRule="exact"/>
        <w:rPr>
          <w:sz w:val="20"/>
          <w:szCs w:val="20"/>
          <w:color w:val="auto"/>
        </w:rPr>
      </w:pPr>
    </w:p>
    <w:p>
      <w:pPr>
        <w:ind w:right="3459" w:firstLine="781"/>
        <w:spacing w:after="0" w:line="317" w:lineRule="auto"/>
        <w:rPr>
          <w:sz w:val="20"/>
          <w:szCs w:val="20"/>
          <w:color w:val="auto"/>
        </w:rPr>
      </w:pPr>
      <w:r>
        <w:rPr>
          <w:rFonts w:ascii="Courier New" w:cs="Courier New" w:eastAsia="Courier New" w:hAnsi="Courier New"/>
          <w:sz w:val="14"/>
          <w:szCs w:val="14"/>
          <w:color w:val="auto"/>
        </w:rPr>
        <w:t>No holder of the notes may pursue any remedy under the indenture, except in the case of a default in the payment of principal or interest on the notes, unless:</w:t>
      </w:r>
    </w:p>
    <w:p>
      <w:pPr>
        <w:spacing w:after="0" w:line="39" w:lineRule="exact"/>
        <w:rPr>
          <w:sz w:val="20"/>
          <w:szCs w:val="20"/>
          <w:color w:val="auto"/>
        </w:rPr>
      </w:pPr>
    </w:p>
    <w:p>
      <w:pPr>
        <w:ind w:left="1320" w:right="3539" w:hanging="530"/>
        <w:spacing w:after="0" w:line="378" w:lineRule="auto"/>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given the trustee written notice of an event of default;</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594" w:right="1440" w:bottom="1440" w:gutter="0" w:footer="0" w:header="0"/>
        </w:sectPr>
      </w:pPr>
    </w:p>
    <w:bookmarkStart w:id="42" w:name="page43"/>
    <w:bookmarkEnd w:id="42"/>
    <w:p>
      <w:pPr>
        <w:ind w:left="1320" w:right="3539" w:hanging="530"/>
        <w:spacing w:after="0" w:line="317"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outstanding notes make a written request and offer indemnity reasonably satisfactory to the trustee to pursue the remedy;</w:t>
      </w:r>
    </w:p>
    <w:p>
      <w:pPr>
        <w:spacing w:after="0" w:line="39" w:lineRule="exact"/>
        <w:rPr>
          <w:rFonts w:ascii="Courier New" w:cs="Courier New" w:eastAsia="Courier New" w:hAnsi="Courier New"/>
          <w:sz w:val="14"/>
          <w:szCs w:val="14"/>
          <w:color w:val="auto"/>
        </w:rPr>
      </w:pPr>
    </w:p>
    <w:p>
      <w:pPr>
        <w:ind w:left="1320" w:right="3459" w:hanging="530"/>
        <w:spacing w:after="0" w:line="37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receive an inconsistent direction from the holders of a majority in principal amount of the notes;</w:t>
      </w:r>
    </w:p>
    <w:p>
      <w:pPr>
        <w:spacing w:after="0" w:line="1" w:lineRule="exact"/>
        <w:rPr>
          <w:rFonts w:ascii="Courier New" w:cs="Courier New" w:eastAsia="Courier New" w:hAnsi="Courier New"/>
          <w:sz w:val="14"/>
          <w:szCs w:val="14"/>
          <w:color w:val="auto"/>
        </w:rPr>
      </w:pPr>
    </w:p>
    <w:p>
      <w:pPr>
        <w:ind w:left="1320" w:right="3979" w:hanging="530"/>
        <w:spacing w:after="0" w:line="317"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security or indemnity reasonably satisfactory to the trustee against any costs, liability or expense of the trustee; and</w:t>
      </w:r>
    </w:p>
    <w:p>
      <w:pPr>
        <w:spacing w:after="0" w:line="39" w:lineRule="exact"/>
        <w:rPr>
          <w:rFonts w:ascii="Courier New" w:cs="Courier New" w:eastAsia="Courier New" w:hAnsi="Courier New"/>
          <w:sz w:val="14"/>
          <w:szCs w:val="14"/>
          <w:color w:val="auto"/>
        </w:rPr>
      </w:pPr>
    </w:p>
    <w:p>
      <w:pPr>
        <w:ind w:left="1320" w:right="3279" w:hanging="530"/>
        <w:spacing w:after="0" w:line="37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the request within 60 days after receipt of the request and offer of indemnity.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55" w:lineRule="exact"/>
        <w:rPr>
          <w:sz w:val="20"/>
          <w:szCs w:val="20"/>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fixed maturity of any note;</w:t>
      </w:r>
    </w:p>
    <w:p>
      <w:pPr>
        <w:spacing w:after="0" w:line="175" w:lineRule="exact"/>
        <w:rPr>
          <w:rFonts w:ascii="Courier New" w:cs="Courier New" w:eastAsia="Courier New" w:hAnsi="Courier New"/>
          <w:sz w:val="14"/>
          <w:szCs w:val="14"/>
          <w:color w:val="auto"/>
        </w:rPr>
      </w:pPr>
    </w:p>
    <w:p>
      <w:pPr>
        <w:ind w:left="1320" w:right="3539" w:hanging="530"/>
        <w:spacing w:after="0" w:line="37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for payment of interest, or liquidated damages, if any, on any note;</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any note;</w:t>
      </w:r>
    </w:p>
    <w:p>
      <w:pPr>
        <w:spacing w:after="0" w:line="175" w:lineRule="exact"/>
        <w:rPr>
          <w:rFonts w:ascii="Courier New" w:cs="Courier New" w:eastAsia="Courier New" w:hAnsi="Courier New"/>
          <w:sz w:val="14"/>
          <w:szCs w:val="14"/>
          <w:color w:val="auto"/>
        </w:rPr>
      </w:pPr>
    </w:p>
    <w:p>
      <w:pPr>
        <w:ind w:left="1320" w:right="3539" w:hanging="530"/>
        <w:spacing w:after="0" w:line="37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amount payable upon redemption or repurchase of any note;</w:t>
      </w:r>
    </w:p>
    <w:p>
      <w:pPr>
        <w:spacing w:after="0" w:line="1" w:lineRule="exact"/>
        <w:rPr>
          <w:rFonts w:ascii="Courier New" w:cs="Courier New" w:eastAsia="Courier New" w:hAnsi="Courier New"/>
          <w:sz w:val="14"/>
          <w:szCs w:val="14"/>
          <w:color w:val="auto"/>
        </w:rPr>
      </w:pPr>
    </w:p>
    <w:p>
      <w:pPr>
        <w:ind w:left="1320" w:right="3639" w:hanging="530"/>
        <w:spacing w:after="0" w:line="37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change our obligation to repurchase any note at the option of a holder or upon a designated event;</w:t>
      </w:r>
    </w:p>
    <w:p>
      <w:pPr>
        <w:spacing w:after="0" w:line="1" w:lineRule="exact"/>
        <w:rPr>
          <w:rFonts w:ascii="Courier New" w:cs="Courier New" w:eastAsia="Courier New" w:hAnsi="Courier New"/>
          <w:sz w:val="14"/>
          <w:szCs w:val="14"/>
          <w:color w:val="auto"/>
        </w:rPr>
      </w:pPr>
    </w:p>
    <w:p>
      <w:pPr>
        <w:ind w:left="1320" w:right="3279" w:hanging="530"/>
        <w:spacing w:after="0" w:line="37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institute suit for payment on any note;</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currency in which any note is payable;</w:t>
      </w:r>
    </w:p>
    <w:p>
      <w:pPr>
        <w:spacing w:after="0" w:line="175" w:lineRule="exact"/>
        <w:rPr>
          <w:rFonts w:ascii="Courier New" w:cs="Courier New" w:eastAsia="Courier New" w:hAnsi="Courier New"/>
          <w:sz w:val="14"/>
          <w:szCs w:val="14"/>
          <w:color w:val="auto"/>
        </w:rPr>
      </w:pPr>
    </w:p>
    <w:p>
      <w:pPr>
        <w:ind w:left="1320" w:right="3539" w:hanging="530"/>
        <w:spacing w:after="0" w:line="317"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convert any note or reduce the number of ordinary shares or the amount of any other property receivable upon conversion;</w:t>
      </w:r>
    </w:p>
    <w:p>
      <w:pPr>
        <w:spacing w:after="0" w:line="3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quorum or voting requirements under the indenture;</w:t>
      </w:r>
    </w:p>
    <w:p>
      <w:pPr>
        <w:spacing w:after="0" w:line="175" w:lineRule="exact"/>
        <w:rPr>
          <w:rFonts w:ascii="Courier New" w:cs="Courier New" w:eastAsia="Courier New" w:hAnsi="Courier New"/>
          <w:sz w:val="14"/>
          <w:szCs w:val="14"/>
          <w:color w:val="auto"/>
        </w:rPr>
      </w:pPr>
    </w:p>
    <w:p>
      <w:pPr>
        <w:jc w:val="both"/>
        <w:ind w:left="1320" w:right="3279" w:hanging="530"/>
        <w:spacing w:after="0" w:line="317"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specified exceptions, modify certain of the provisions of the indenture relating to modification or waiver of provisions of the indenture; or</w:t>
      </w:r>
    </w:p>
    <w:p>
      <w:pPr>
        <w:spacing w:after="0" w:line="39" w:lineRule="exact"/>
        <w:rPr>
          <w:rFonts w:ascii="Courier New" w:cs="Courier New" w:eastAsia="Courier New" w:hAnsi="Courier New"/>
          <w:sz w:val="14"/>
          <w:szCs w:val="14"/>
          <w:color w:val="auto"/>
        </w:rPr>
      </w:pPr>
    </w:p>
    <w:p>
      <w:pPr>
        <w:ind w:left="1320" w:right="3899" w:hanging="530"/>
        <w:spacing w:after="0" w:line="37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notes required for consent to any modification of the indenture.</w:t>
      </w:r>
    </w:p>
    <w:p>
      <w:pPr>
        <w:spacing w:after="0" w:line="1" w:lineRule="exact"/>
        <w:rPr>
          <w:sz w:val="20"/>
          <w:szCs w:val="20"/>
          <w:color w:val="auto"/>
        </w:rPr>
      </w:pPr>
    </w:p>
    <w:p>
      <w:pPr>
        <w:ind w:right="3379" w:firstLine="781"/>
        <w:spacing w:after="0" w:line="378" w:lineRule="auto"/>
        <w:rPr>
          <w:sz w:val="20"/>
          <w:szCs w:val="20"/>
          <w:color w:val="auto"/>
        </w:rPr>
      </w:pPr>
      <w:r>
        <w:rPr>
          <w:rFonts w:ascii="Courier New" w:cs="Courier New" w:eastAsia="Courier New" w:hAnsi="Courier New"/>
          <w:sz w:val="14"/>
          <w:szCs w:val="14"/>
          <w:color w:val="auto"/>
        </w:rPr>
        <w:t>We are permitted to modify certain provisions of the indenture without the consent of the holders of the notes.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DENOMINATION 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notes were issued:</w:t>
      </w:r>
    </w:p>
    <w:p>
      <w:pPr>
        <w:spacing w:after="0" w:line="175" w:lineRule="exact"/>
        <w:rPr>
          <w:sz w:val="20"/>
          <w:szCs w:val="20"/>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fully registered form;</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interest coupons; and</w:t>
      </w:r>
    </w:p>
    <w:p>
      <w:pPr>
        <w:spacing w:after="0" w:line="175" w:lineRule="exact"/>
        <w:rPr>
          <w:rFonts w:ascii="Courier New" w:cs="Courier New" w:eastAsia="Courier New" w:hAnsi="Courier New"/>
          <w:sz w:val="14"/>
          <w:szCs w:val="14"/>
          <w:color w:val="auto"/>
        </w:rPr>
      </w:pPr>
    </w:p>
    <w:p>
      <w:pPr>
        <w:ind w:left="1320" w:right="4059" w:hanging="530"/>
        <w:spacing w:after="0" w:line="378" w:lineRule="auto"/>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denominations of $1,000 principal amount and integral multiples of $1,000.</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GLOBAL NOTE, BOOK-ENTRY FORM</w:t>
      </w:r>
    </w:p>
    <w:p>
      <w:pPr>
        <w:spacing w:after="0" w:line="175" w:lineRule="exact"/>
        <w:rPr>
          <w:sz w:val="20"/>
          <w:szCs w:val="20"/>
          <w:color w:val="auto"/>
        </w:rPr>
      </w:pPr>
    </w:p>
    <w:p>
      <w:pPr>
        <w:ind w:right="3379" w:firstLine="781"/>
        <w:spacing w:after="0" w:line="272" w:lineRule="auto"/>
        <w:rPr>
          <w:sz w:val="20"/>
          <w:szCs w:val="20"/>
          <w:color w:val="auto"/>
        </w:rPr>
      </w:pPr>
      <w:r>
        <w:rPr>
          <w:rFonts w:ascii="Courier New" w:cs="Courier New" w:eastAsia="Courier New" w:hAnsi="Courier New"/>
          <w:sz w:val="14"/>
          <w:szCs w:val="14"/>
          <w:color w:val="auto"/>
        </w:rPr>
        <w:t>Notes are evidenced by one or more global notes. We deposited the global note or notes with DTC and register the global notes in the name of Cede</w:t>
      </w:r>
    </w:p>
    <w:p>
      <w:pPr>
        <w:ind w:left="3400" w:right="6499" w:hanging="3391"/>
        <w:spacing w:after="0" w:line="595" w:lineRule="auto"/>
        <w:tabs>
          <w:tab w:leader="none" w:pos="18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DTC's nominee. Except as set forth 38</w:t>
      </w:r>
    </w:p>
    <w:p>
      <w:pPr>
        <w:sectPr>
          <w:pgSz w:w="11900" w:h="16838" w:orient="portrait"/>
          <w:cols w:equalWidth="0" w:num="1">
            <w:col w:w="10239"/>
          </w:cols>
          <w:pgMar w:left="220" w:top="594" w:right="1440" w:bottom="1440" w:gutter="0" w:footer="0" w:header="0"/>
        </w:sectPr>
      </w:pPr>
    </w:p>
    <w:bookmarkStart w:id="43" w:name="page44"/>
    <w:bookmarkEnd w:id="43"/>
    <w:p>
      <w:pPr>
        <w:ind w:right="3539"/>
        <w:spacing w:after="0" w:line="378" w:lineRule="auto"/>
        <w:rPr>
          <w:sz w:val="20"/>
          <w:szCs w:val="20"/>
          <w:color w:val="auto"/>
        </w:rPr>
      </w:pPr>
      <w:r>
        <w:rPr>
          <w:rFonts w:ascii="Courier New" w:cs="Courier New" w:eastAsia="Courier New" w:hAnsi="Courier New"/>
          <w:sz w:val="14"/>
          <w:szCs w:val="14"/>
          <w:color w:val="auto"/>
        </w:rPr>
        <w:t>below, a global note may be transferred, in whole or in part, only to another nominee of DTC or to a successor of DTC or its nominee.</w:t>
      </w:r>
    </w:p>
    <w:p>
      <w:pPr>
        <w:spacing w:after="0" w:line="1"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49"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70" w:lineRule="exact"/>
        <w:rPr>
          <w:sz w:val="20"/>
          <w:szCs w:val="20"/>
          <w:color w:val="auto"/>
        </w:rPr>
      </w:pPr>
    </w:p>
    <w:p>
      <w:pPr>
        <w:ind w:left="1320" w:right="3799" w:hanging="530"/>
        <w:spacing w:after="0" w:line="378"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receive physical delivery of certificates in definitive registered form; and</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considered holders of the global note.</w:t>
      </w:r>
    </w:p>
    <w:p>
      <w:pPr>
        <w:spacing w:after="0" w:line="175"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60" w:lineRule="exact"/>
        <w:rPr>
          <w:sz w:val="20"/>
          <w:szCs w:val="20"/>
          <w:color w:val="auto"/>
        </w:rPr>
      </w:pPr>
    </w:p>
    <w:p>
      <w:pPr>
        <w:ind w:left="1320" w:right="3719" w:hanging="530"/>
        <w:spacing w:after="0" w:line="37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records relating to, or payments made on account of, beneficial ownership interests in a global note; or</w:t>
      </w:r>
    </w:p>
    <w:p>
      <w:pPr>
        <w:spacing w:after="0" w:line="1" w:lineRule="exact"/>
        <w:rPr>
          <w:rFonts w:ascii="Courier New" w:cs="Courier New" w:eastAsia="Courier New" w:hAnsi="Courier New"/>
          <w:sz w:val="14"/>
          <w:szCs w:val="14"/>
          <w:color w:val="auto"/>
        </w:rPr>
      </w:pPr>
    </w:p>
    <w:p>
      <w:pPr>
        <w:ind w:left="1320" w:right="3279" w:hanging="530"/>
        <w:spacing w:after="0" w:line="37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maintaining, supervising or reviewing any records relating to the beneficial ownership interests.</w:t>
      </w:r>
    </w:p>
    <w:p>
      <w:pPr>
        <w:spacing w:after="0" w:line="1"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DTC has advised us that it is:</w:t>
      </w:r>
    </w:p>
    <w:p>
      <w:pPr>
        <w:spacing w:after="0" w:line="175" w:lineRule="exact"/>
        <w:rPr>
          <w:sz w:val="20"/>
          <w:szCs w:val="20"/>
          <w:color w:val="auto"/>
        </w:rPr>
      </w:pPr>
    </w:p>
    <w:p>
      <w:pPr>
        <w:ind w:left="1320" w:right="3459" w:hanging="530"/>
        <w:spacing w:after="0" w:line="37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purpose trust company organized under the laws of the State of New York, and a member of the Federal Reserve System;</w:t>
      </w:r>
    </w:p>
    <w:p>
      <w:pPr>
        <w:spacing w:after="0" w:line="1" w:lineRule="exact"/>
        <w:rPr>
          <w:rFonts w:ascii="Courier New" w:cs="Courier New" w:eastAsia="Courier New" w:hAnsi="Courier New"/>
          <w:sz w:val="14"/>
          <w:szCs w:val="14"/>
          <w:color w:val="auto"/>
        </w:rPr>
      </w:pPr>
    </w:p>
    <w:p>
      <w:pPr>
        <w:ind w:left="1320" w:right="3899" w:hanging="530"/>
        <w:spacing w:after="0" w:line="37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corporation" within the meaning of the Uniform Commercial Code; and</w:t>
      </w:r>
    </w:p>
    <w:p>
      <w:pPr>
        <w:spacing w:after="0" w:line="1" w:lineRule="exact"/>
        <w:rPr>
          <w:rFonts w:ascii="Courier New" w:cs="Courier New" w:eastAsia="Courier New" w:hAnsi="Courier New"/>
          <w:sz w:val="14"/>
          <w:szCs w:val="14"/>
          <w:color w:val="auto"/>
        </w:rPr>
      </w:pPr>
    </w:p>
    <w:p>
      <w:pPr>
        <w:ind w:left="1320" w:right="3719" w:hanging="530"/>
        <w:spacing w:after="0" w:line="37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registered pursuant to the provisions of Section 17A of the Exchange Act.</w:t>
      </w:r>
    </w:p>
    <w:p>
      <w:pPr>
        <w:spacing w:after="0" w:line="1"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594" w:right="1440" w:bottom="1440" w:gutter="0" w:footer="0" w:header="0"/>
        </w:sectPr>
      </w:pPr>
    </w:p>
    <w:bookmarkStart w:id="44" w:name="page45"/>
    <w:bookmarkEnd w:id="44"/>
    <w:p>
      <w:pPr>
        <w:ind w:right="3459" w:firstLine="781"/>
        <w:spacing w:after="0" w:line="295" w:lineRule="auto"/>
        <w:rPr>
          <w:sz w:val="20"/>
          <w:szCs w:val="20"/>
          <w:color w:val="auto"/>
        </w:rPr>
      </w:pPr>
      <w:r>
        <w:rPr>
          <w:rFonts w:ascii="Courier New" w:cs="Courier New" w:eastAsia="Courier New" w:hAnsi="Courier New"/>
          <w:sz w:val="14"/>
          <w:szCs w:val="14"/>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5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379" w:firstLine="781"/>
        <w:spacing w:after="0" w:line="278" w:lineRule="auto"/>
        <w:rPr>
          <w:sz w:val="20"/>
          <w:szCs w:val="20"/>
          <w:color w:val="auto"/>
        </w:rPr>
      </w:pPr>
      <w:r>
        <w:rPr>
          <w:rFonts w:ascii="Courier New" w:cs="Courier New" w:eastAsia="Courier New" w:hAnsi="Courier New"/>
          <w:sz w:val="14"/>
          <w:szCs w:val="14"/>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66" w:lineRule="exact"/>
        <w:rPr>
          <w:sz w:val="20"/>
          <w:szCs w:val="20"/>
          <w:color w:val="auto"/>
        </w:rPr>
      </w:pPr>
    </w:p>
    <w:p>
      <w:pPr>
        <w:ind w:left="1320" w:right="3639" w:hanging="530"/>
        <w:spacing w:after="0" w:line="295"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54" w:lineRule="exact"/>
        <w:rPr>
          <w:rFonts w:ascii="Courier New" w:cs="Courier New" w:eastAsia="Courier New" w:hAnsi="Courier New"/>
          <w:sz w:val="14"/>
          <w:szCs w:val="14"/>
          <w:color w:val="auto"/>
        </w:rPr>
      </w:pPr>
    </w:p>
    <w:p>
      <w:pPr>
        <w:ind w:left="1320" w:right="3719" w:hanging="530"/>
        <w:spacing w:after="0" w:line="295"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applicable to such securities held by persons that are not affiliates of Amdocs under Rule 144(k) under the Securities Act, or any successor provision.</w:t>
      </w:r>
    </w:p>
    <w:p>
      <w:pPr>
        <w:spacing w:after="0" w:line="55" w:lineRule="exact"/>
        <w:rPr>
          <w:sz w:val="20"/>
          <w:szCs w:val="20"/>
          <w:color w:val="auto"/>
        </w:rPr>
      </w:pPr>
    </w:p>
    <w:p>
      <w:pPr>
        <w:jc w:val="both"/>
        <w:ind w:right="3459" w:firstLine="781"/>
        <w:spacing w:after="0" w:line="317" w:lineRule="auto"/>
        <w:rPr>
          <w:sz w:val="20"/>
          <w:szCs w:val="20"/>
          <w:color w:val="auto"/>
        </w:rPr>
      </w:pPr>
      <w:r>
        <w:rPr>
          <w:rFonts w:ascii="Courier New" w:cs="Courier New" w:eastAsia="Courier New" w:hAnsi="Courier New"/>
          <w:sz w:val="14"/>
          <w:szCs w:val="14"/>
          <w:color w:val="auto"/>
        </w:rPr>
        <w:t>When we use the term "registrable securities" in this section, we are referring to the notes and the ordinary shares issuable upon conversion of the notes until the earliest of:</w:t>
      </w:r>
    </w:p>
    <w:p>
      <w:pPr>
        <w:spacing w:after="0" w:line="39" w:lineRule="exact"/>
        <w:rPr>
          <w:sz w:val="20"/>
          <w:szCs w:val="20"/>
          <w:color w:val="auto"/>
        </w:rPr>
      </w:pPr>
    </w:p>
    <w:p>
      <w:pPr>
        <w:ind w:left="1320" w:right="3719" w:hanging="530"/>
        <w:spacing w:after="0" w:line="317"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registration under the Securities Act and the resale of the securities in accordance with the registration statement;</w:t>
      </w:r>
    </w:p>
    <w:p>
      <w:pPr>
        <w:spacing w:after="0" w:line="39" w:lineRule="exact"/>
        <w:rPr>
          <w:rFonts w:ascii="Courier New" w:cs="Courier New" w:eastAsia="Courier New" w:hAnsi="Courier New"/>
          <w:sz w:val="14"/>
          <w:szCs w:val="14"/>
          <w:color w:val="auto"/>
        </w:rPr>
      </w:pPr>
    </w:p>
    <w:p>
      <w:pPr>
        <w:ind w:left="1320" w:right="3639" w:hanging="530"/>
        <w:spacing w:after="0" w:line="317"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with respect to the registrable securities under Rule 144(k) under the Securities Act; and</w:t>
      </w:r>
    </w:p>
    <w:p>
      <w:pPr>
        <w:spacing w:after="0" w:line="39" w:lineRule="exact"/>
        <w:rPr>
          <w:rFonts w:ascii="Courier New" w:cs="Courier New" w:eastAsia="Courier New" w:hAnsi="Courier New"/>
          <w:sz w:val="14"/>
          <w:szCs w:val="14"/>
          <w:color w:val="auto"/>
        </w:rPr>
      </w:pPr>
    </w:p>
    <w:p>
      <w:pPr>
        <w:ind w:left="1320" w:right="3379" w:hanging="530"/>
        <w:spacing w:after="0" w:line="378"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registrable securities to the public pursuant to Rule 144 under the Securities Act.</w:t>
      </w:r>
    </w:p>
    <w:p>
      <w:pPr>
        <w:spacing w:after="0" w:line="1" w:lineRule="exact"/>
        <w:rPr>
          <w:sz w:val="20"/>
          <w:szCs w:val="20"/>
          <w:color w:val="auto"/>
        </w:rPr>
      </w:pPr>
    </w:p>
    <w:p>
      <w:pPr>
        <w:ind w:right="3279" w:firstLine="781"/>
        <w:spacing w:after="0" w:line="280" w:lineRule="auto"/>
        <w:rPr>
          <w:sz w:val="20"/>
          <w:szCs w:val="20"/>
          <w:color w:val="auto"/>
        </w:rPr>
      </w:pPr>
      <w:r>
        <w:rPr>
          <w:rFonts w:ascii="Courier New" w:cs="Courier New" w:eastAsia="Courier New" w:hAnsi="Courier New"/>
          <w:sz w:val="14"/>
          <w:szCs w:val="14"/>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243" w:lineRule="exact"/>
        <w:rPr>
          <w:sz w:val="20"/>
          <w:szCs w:val="20"/>
          <w:color w:val="auto"/>
        </w:rPr>
      </w:pPr>
    </w:p>
    <w:p>
      <w:pPr>
        <w:ind w:right="3539" w:firstLine="781"/>
        <w:spacing w:after="0" w:line="317" w:lineRule="auto"/>
        <w:rPr>
          <w:sz w:val="20"/>
          <w:szCs w:val="20"/>
          <w:color w:val="auto"/>
        </w:rPr>
      </w:pPr>
      <w:r>
        <w:rPr>
          <w:rFonts w:ascii="Courier New" w:cs="Courier New" w:eastAsia="Courier New" w:hAnsi="Courier New"/>
          <w:sz w:val="14"/>
          <w:szCs w:val="14"/>
          <w:color w:val="auto"/>
        </w:rPr>
        <w:t>We may suspend the use of the prospectus under certain circumstances relating to pending corporate developments, public filings with the SEC and similar events. Any suspension period shall not exceed:</w:t>
      </w:r>
    </w:p>
    <w:p>
      <w:pPr>
        <w:spacing w:after="0" w:line="39" w:lineRule="exact"/>
        <w:rPr>
          <w:sz w:val="20"/>
          <w:szCs w:val="20"/>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in any three-month period;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90 days for all periods in any 12-month period.</w:t>
      </w:r>
    </w:p>
    <w:p>
      <w:pPr>
        <w:spacing w:after="0" w:line="175"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55"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5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594" w:right="1440" w:bottom="1440" w:gutter="0" w:footer="0" w:header="0"/>
        </w:sectPr>
      </w:pPr>
    </w:p>
    <w:bookmarkStart w:id="45" w:name="page46"/>
    <w:bookmarkEnd w:id="45"/>
    <w:p>
      <w:pPr>
        <w:ind w:left="1320" w:right="3459" w:hanging="530"/>
        <w:spacing w:after="0" w:line="271"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69" w:lineRule="exact"/>
        <w:rPr>
          <w:rFonts w:ascii="Courier New" w:cs="Courier New" w:eastAsia="Courier New" w:hAnsi="Courier New"/>
          <w:sz w:val="14"/>
          <w:szCs w:val="14"/>
          <w:color w:val="auto"/>
        </w:rPr>
      </w:pPr>
    </w:p>
    <w:p>
      <w:pPr>
        <w:ind w:left="1320" w:right="3279" w:hanging="530"/>
        <w:spacing w:after="0" w:line="268"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no event will liquidated damages accrue at an annual rate exceeding</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149"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70" w:lineRule="exact"/>
        <w:rPr>
          <w:sz w:val="20"/>
          <w:szCs w:val="20"/>
          <w:color w:val="auto"/>
        </w:rPr>
      </w:pPr>
    </w:p>
    <w:p>
      <w:pPr>
        <w:ind w:right="3719" w:firstLine="781"/>
        <w:spacing w:after="0" w:line="378" w:lineRule="auto"/>
        <w:rPr>
          <w:sz w:val="20"/>
          <w:szCs w:val="20"/>
          <w:color w:val="auto"/>
        </w:rPr>
      </w:pPr>
      <w:r>
        <w:rPr>
          <w:rFonts w:ascii="Courier New" w:cs="Courier New" w:eastAsia="Courier New" w:hAnsi="Courier New"/>
          <w:sz w:val="14"/>
          <w:szCs w:val="14"/>
          <w:color w:val="auto"/>
        </w:rPr>
        <w:t>A holder who elects to sell registrable securities pursuant to the shelf registration statement will be required to:</w:t>
      </w:r>
    </w:p>
    <w:p>
      <w:pPr>
        <w:spacing w:after="0" w:line="1" w:lineRule="exact"/>
        <w:rPr>
          <w:sz w:val="20"/>
          <w:szCs w:val="20"/>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named as a selling securityholder in the related prospectus;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prospectus to purchasers; and</w:t>
      </w:r>
    </w:p>
    <w:p>
      <w:pPr>
        <w:spacing w:after="0" w:line="175" w:lineRule="exact"/>
        <w:rPr>
          <w:rFonts w:ascii="Courier New" w:cs="Courier New" w:eastAsia="Courier New" w:hAnsi="Courier New"/>
          <w:sz w:val="14"/>
          <w:szCs w:val="14"/>
          <w:color w:val="auto"/>
        </w:rPr>
      </w:pPr>
    </w:p>
    <w:p>
      <w:pPr>
        <w:ind w:left="1320" w:right="4159" w:hanging="530"/>
        <w:spacing w:after="0" w:line="37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subject to the provisions of the registration rights agreement, including indemnification provisions.</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registration rights agreement we will:</w:t>
      </w:r>
    </w:p>
    <w:p>
      <w:pPr>
        <w:spacing w:after="0" w:line="175" w:lineRule="exact"/>
        <w:rPr>
          <w:sz w:val="20"/>
          <w:szCs w:val="20"/>
          <w:color w:val="auto"/>
        </w:rPr>
      </w:pPr>
    </w:p>
    <w:p>
      <w:pPr>
        <w:ind w:left="1320" w:right="3279" w:hanging="530"/>
        <w:spacing w:after="0" w:line="37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customary expenses with respect to the shelf registration statement;</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registered holder copies of the prospectus;</w:t>
      </w:r>
    </w:p>
    <w:p>
      <w:pPr>
        <w:spacing w:after="0" w:line="175" w:lineRule="exact"/>
        <w:rPr>
          <w:rFonts w:ascii="Courier New" w:cs="Courier New" w:eastAsia="Courier New" w:hAnsi="Courier New"/>
          <w:sz w:val="14"/>
          <w:szCs w:val="14"/>
          <w:color w:val="auto"/>
        </w:rPr>
      </w:pPr>
    </w:p>
    <w:p>
      <w:pPr>
        <w:ind w:left="1320" w:right="3459" w:hanging="530"/>
        <w:spacing w:after="0" w:line="37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holders when the shelf registration statement has become effective; and</w:t>
      </w:r>
    </w:p>
    <w:p>
      <w:pPr>
        <w:spacing w:after="0" w:line="1" w:lineRule="exact"/>
        <w:rPr>
          <w:rFonts w:ascii="Courier New" w:cs="Courier New" w:eastAsia="Courier New" w:hAnsi="Courier New"/>
          <w:sz w:val="14"/>
          <w:szCs w:val="14"/>
          <w:color w:val="auto"/>
        </w:rPr>
      </w:pPr>
    </w:p>
    <w:p>
      <w:pPr>
        <w:ind w:left="1320" w:right="3379" w:hanging="530"/>
        <w:spacing w:after="0" w:line="295"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other reasonable actions as are required to permit unrestricted resales of the registrable securities in accordance with the terms and conditions of the registration rights agreement.</w:t>
      </w:r>
    </w:p>
    <w:p>
      <w:pPr>
        <w:spacing w:after="0" w:line="55" w:lineRule="exact"/>
        <w:rPr>
          <w:sz w:val="20"/>
          <w:szCs w:val="20"/>
          <w:color w:val="auto"/>
        </w:rPr>
      </w:pPr>
    </w:p>
    <w:p>
      <w:pPr>
        <w:jc w:val="both"/>
        <w:ind w:right="3379" w:firstLine="781"/>
        <w:spacing w:after="0" w:line="265" w:lineRule="auto"/>
        <w:rPr>
          <w:sz w:val="20"/>
          <w:szCs w:val="20"/>
          <w:color w:val="auto"/>
        </w:rPr>
      </w:pPr>
      <w:r>
        <w:rPr>
          <w:rFonts w:ascii="Courier New" w:cs="Courier New" w:eastAsia="Courier New" w:hAnsi="Courier New"/>
          <w:sz w:val="14"/>
          <w:szCs w:val="14"/>
          <w:color w:val="auto"/>
        </w:rPr>
        <w:t>The plan of distribution of the shelf registration statement, of which this prospectus is a part, permits resales of registrable securities by selling securityholders through brokers and dealers.</w:t>
      </w:r>
    </w:p>
    <w:p>
      <w:pPr>
        <w:spacing w:after="0" w:line="1"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We agreed in the registration rights agreement to give notice to all holders of the filing and effectiveness of the shelf registration statement, of which this prospectus is a part.</w:t>
      </w:r>
    </w:p>
    <w:p>
      <w:pPr>
        <w:spacing w:after="0" w:line="1" w:lineRule="exact"/>
        <w:rPr>
          <w:sz w:val="20"/>
          <w:szCs w:val="20"/>
          <w:color w:val="auto"/>
        </w:rPr>
      </w:pPr>
    </w:p>
    <w:p>
      <w:pPr>
        <w:ind w:right="3459" w:firstLine="781"/>
        <w:spacing w:after="0" w:line="282" w:lineRule="auto"/>
        <w:rPr>
          <w:sz w:val="20"/>
          <w:szCs w:val="20"/>
          <w:color w:val="auto"/>
        </w:rPr>
      </w:pPr>
      <w:r>
        <w:rPr>
          <w:rFonts w:ascii="Courier New" w:cs="Courier New" w:eastAsia="Courier New" w:hAnsi="Courier New"/>
          <w:sz w:val="14"/>
          <w:szCs w:val="14"/>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144A INFORMATION REQUEST</w:t>
      </w:r>
    </w:p>
    <w:p>
      <w:pPr>
        <w:spacing w:after="0" w:line="175"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TRUSTEE</w:t>
      </w:r>
    </w:p>
    <w:p>
      <w:pPr>
        <w:spacing w:after="0" w:line="175"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5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594" w:right="1440" w:bottom="1440" w:gutter="0" w:footer="0" w:header="0"/>
        </w:sectPr>
      </w:pPr>
    </w:p>
    <w:bookmarkStart w:id="46" w:name="page47"/>
    <w:bookmarkEnd w:id="46"/>
    <w:p>
      <w:pPr>
        <w:ind w:right="3379" w:firstLine="781"/>
        <w:spacing w:after="0" w:line="274" w:lineRule="auto"/>
        <w:rPr>
          <w:sz w:val="20"/>
          <w:szCs w:val="20"/>
          <w:color w:val="auto"/>
        </w:rPr>
      </w:pPr>
      <w:r>
        <w:rPr>
          <w:rFonts w:ascii="Courier New" w:cs="Courier New" w:eastAsia="Courier New" w:hAnsi="Courier New"/>
          <w:sz w:val="14"/>
          <w:szCs w:val="14"/>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4159" w:firstLine="781"/>
        <w:spacing w:after="0" w:line="378" w:lineRule="auto"/>
        <w:rPr>
          <w:sz w:val="20"/>
          <w:szCs w:val="20"/>
          <w:color w:val="auto"/>
        </w:rPr>
      </w:pPr>
      <w:r>
        <w:rPr>
          <w:rFonts w:ascii="Courier New" w:cs="Courier New" w:eastAsia="Courier New" w:hAnsi="Courier New"/>
          <w:sz w:val="14"/>
          <w:szCs w:val="14"/>
          <w:color w:val="auto"/>
        </w:rPr>
        <w:t>The notes and the indenture are governed by, and construed in accordance with, the laws of the State of New York.</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594" w:right="1440" w:bottom="1440" w:gutter="0" w:footer="0" w:header="0"/>
        </w:sectPr>
      </w:pPr>
    </w:p>
    <w:bookmarkStart w:id="47" w:name="page48"/>
    <w:bookmarkEnd w:id="47"/>
    <w:p>
      <w:pPr>
        <w:ind w:left="2260"/>
        <w:spacing w:after="0"/>
        <w:rPr>
          <w:sz w:val="20"/>
          <w:szCs w:val="20"/>
          <w:color w:val="auto"/>
        </w:rPr>
      </w:pPr>
      <w:r>
        <w:rPr>
          <w:rFonts w:ascii="Courier New" w:cs="Courier New" w:eastAsia="Courier New" w:hAnsi="Courier New"/>
          <w:sz w:val="14"/>
          <w:szCs w:val="14"/>
          <w:color w:val="auto"/>
        </w:rPr>
        <w:t>DESCRIPTION OF SHARE CAPITAL</w:t>
      </w:r>
    </w:p>
    <w:p>
      <w:pPr>
        <w:spacing w:after="0" w:line="175" w:lineRule="exact"/>
        <w:rPr>
          <w:sz w:val="20"/>
          <w:szCs w:val="20"/>
          <w:color w:val="auto"/>
        </w:rPr>
      </w:pPr>
    </w:p>
    <w:p>
      <w:pPr>
        <w:ind w:right="3279" w:firstLine="781"/>
        <w:spacing w:after="0" w:line="295" w:lineRule="auto"/>
        <w:rPr>
          <w:sz w:val="20"/>
          <w:szCs w:val="20"/>
          <w:color w:val="auto"/>
        </w:rPr>
      </w:pPr>
      <w:r>
        <w:rPr>
          <w:rFonts w:ascii="Courier New" w:cs="Courier New" w:eastAsia="Courier New" w:hAnsi="Courier New"/>
          <w:sz w:val="14"/>
          <w:szCs w:val="14"/>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55" w:lineRule="exact"/>
        <w:rPr>
          <w:sz w:val="20"/>
          <w:szCs w:val="20"/>
          <w:color w:val="auto"/>
        </w:rPr>
      </w:pPr>
    </w:p>
    <w:p>
      <w:pPr>
        <w:ind w:right="3459" w:firstLine="781"/>
        <w:spacing w:after="0" w:line="271" w:lineRule="auto"/>
        <w:rPr>
          <w:sz w:val="20"/>
          <w:szCs w:val="20"/>
          <w:color w:val="auto"/>
        </w:rPr>
      </w:pPr>
      <w:r>
        <w:rPr>
          <w:rFonts w:ascii="Courier New" w:cs="Courier New" w:eastAsia="Courier New" w:hAnsi="Courier New"/>
          <w:sz w:val="14"/>
          <w:szCs w:val="14"/>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September 30, 2004, 201,334,057 ordinary shares were outstanding (net of treasury shares) and no non-voting ordinary shares or preferred shares were outstanding. The rights, preferences and restrictions attaching to each class of the shares are as follows:</w:t>
      </w:r>
    </w:p>
    <w:p>
      <w:pPr>
        <w:spacing w:after="0" w:line="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left="1320" w:right="3459" w:hanging="530"/>
        <w:spacing w:after="0" w:line="317"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the preferred shares may be issued from time to time in one or more series of any number of shares up to the amount authorized.</w:t>
      </w:r>
    </w:p>
    <w:p>
      <w:pPr>
        <w:spacing w:after="0" w:line="39" w:lineRule="exact"/>
        <w:rPr>
          <w:rFonts w:ascii="Courier New" w:cs="Courier New" w:eastAsia="Courier New" w:hAnsi="Courier New"/>
          <w:sz w:val="14"/>
          <w:szCs w:val="14"/>
          <w:color w:val="auto"/>
        </w:rPr>
      </w:pPr>
    </w:p>
    <w:p>
      <w:pPr>
        <w:ind w:left="1320" w:right="3279" w:hanging="530"/>
        <w:spacing w:after="0" w:line="278"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66" w:lineRule="exact"/>
        <w:rPr>
          <w:rFonts w:ascii="Courier New" w:cs="Courier New" w:eastAsia="Courier New" w:hAnsi="Courier New"/>
          <w:sz w:val="14"/>
          <w:szCs w:val="14"/>
          <w:color w:val="auto"/>
        </w:rPr>
      </w:pPr>
    </w:p>
    <w:p>
      <w:pPr>
        <w:ind w:left="1320" w:right="3379" w:hanging="530"/>
        <w:spacing w:after="0" w:line="29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54" w:lineRule="exact"/>
        <w:rPr>
          <w:rFonts w:ascii="Courier New" w:cs="Courier New" w:eastAsia="Courier New" w:hAnsi="Courier New"/>
          <w:sz w:val="14"/>
          <w:szCs w:val="14"/>
          <w:color w:val="auto"/>
        </w:rPr>
      </w:pPr>
    </w:p>
    <w:p>
      <w:pPr>
        <w:ind w:left="1320" w:right="3279" w:hanging="530"/>
        <w:spacing w:after="0" w:line="26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76" w:lineRule="exact"/>
        <w:rPr>
          <w:rFonts w:ascii="Courier New" w:cs="Courier New" w:eastAsia="Courier New" w:hAnsi="Courier New"/>
          <w:sz w:val="14"/>
          <w:szCs w:val="14"/>
          <w:color w:val="auto"/>
        </w:rPr>
      </w:pPr>
    </w:p>
    <w:p>
      <w:pPr>
        <w:ind w:left="1320" w:right="3279" w:hanging="530"/>
        <w:spacing w:after="0" w:line="28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SHARES AND NON-VOTING ORDINARY SHARES</w:t>
      </w:r>
    </w:p>
    <w:p>
      <w:pPr>
        <w:spacing w:after="0" w:line="175" w:lineRule="exact"/>
        <w:rPr>
          <w:sz w:val="20"/>
          <w:szCs w:val="20"/>
          <w:color w:val="auto"/>
        </w:rPr>
      </w:pPr>
    </w:p>
    <w:p>
      <w:pPr>
        <w:ind w:right="3379" w:firstLine="781"/>
        <w:spacing w:after="0" w:line="317" w:lineRule="auto"/>
        <w:rPr>
          <w:sz w:val="20"/>
          <w:szCs w:val="20"/>
          <w:color w:val="auto"/>
        </w:rPr>
      </w:pPr>
      <w:r>
        <w:rPr>
          <w:rFonts w:ascii="Courier New" w:cs="Courier New" w:eastAsia="Courier New" w:hAnsi="Courier New"/>
          <w:sz w:val="14"/>
          <w:szCs w:val="14"/>
          <w:color w:val="auto"/>
        </w:rPr>
        <w:t>Except as otherwise provided by the Memorandum of Association and Articles of Association, the ordinary shares and non-voting ordinary shares are identical and entitle holders thereof to the same rights and privileges.</w:t>
      </w:r>
    </w:p>
    <w:p>
      <w:pPr>
        <w:spacing w:after="0" w:line="39" w:lineRule="exact"/>
        <w:rPr>
          <w:sz w:val="20"/>
          <w:szCs w:val="20"/>
          <w:color w:val="auto"/>
        </w:rPr>
      </w:pPr>
    </w:p>
    <w:p>
      <w:pPr>
        <w:ind w:left="1320" w:right="3279" w:hanging="530"/>
        <w:spacing w:after="0" w:line="274"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67" w:lineRule="exact"/>
        <w:rPr>
          <w:rFonts w:ascii="Courier New" w:cs="Courier New" w:eastAsia="Courier New" w:hAnsi="Courier New"/>
          <w:sz w:val="14"/>
          <w:szCs w:val="14"/>
          <w:color w:val="auto"/>
        </w:rPr>
      </w:pPr>
    </w:p>
    <w:p>
      <w:pPr>
        <w:ind w:left="1320" w:right="3539" w:hanging="530"/>
        <w:spacing w:after="0" w:line="274"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594" w:right="1440" w:bottom="1440" w:gutter="0" w:footer="0" w:header="0"/>
        </w:sectPr>
      </w:pPr>
    </w:p>
    <w:bookmarkStart w:id="48" w:name="page49"/>
    <w:bookmarkEnd w:id="48"/>
    <w:p>
      <w:pPr>
        <w:ind w:left="530" w:right="3379" w:hanging="530"/>
        <w:spacing w:after="0" w:line="285"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59" w:lineRule="exact"/>
        <w:rPr>
          <w:rFonts w:ascii="Courier New" w:cs="Courier New" w:eastAsia="Courier New" w:hAnsi="Courier New"/>
          <w:sz w:val="14"/>
          <w:szCs w:val="14"/>
          <w:color w:val="auto"/>
        </w:rPr>
      </w:pPr>
    </w:p>
    <w:p>
      <w:pPr>
        <w:ind w:left="530" w:right="3279" w:hanging="530"/>
        <w:spacing w:after="0" w:line="295"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the holders of voting ordinary shares are entitled to vote on all matters to be voted on by the members, and the holders of non-voting ordinary shares are not entitled to any voting rights.</w:t>
      </w:r>
    </w:p>
    <w:p>
      <w:pPr>
        <w:spacing w:after="0" w:line="54" w:lineRule="exact"/>
        <w:rPr>
          <w:rFonts w:ascii="Courier New" w:cs="Courier New" w:eastAsia="Courier New" w:hAnsi="Courier New"/>
          <w:sz w:val="14"/>
          <w:szCs w:val="14"/>
          <w:color w:val="auto"/>
        </w:rPr>
      </w:pPr>
    </w:p>
    <w:p>
      <w:pPr>
        <w:ind w:left="530" w:right="3279" w:hanging="530"/>
        <w:spacing w:after="0" w:line="295"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Preferences -- the voting ordinary shares and non-voting ordinary shares are subject to all the powers, rights, privileges, preferences and priorities of the preferred shares as are set out in the Articles of Association.</w:t>
      </w:r>
    </w:p>
    <w:p>
      <w:pPr>
        <w:spacing w:after="0" w:line="55"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449"/>
          </w:cols>
          <w:pgMar w:left="1010" w:top="594" w:right="1440" w:bottom="1440" w:gutter="0" w:footer="0" w:header="0"/>
        </w:sectPr>
      </w:pPr>
    </w:p>
    <w:bookmarkStart w:id="49" w:name="page50"/>
    <w:bookmarkEnd w:id="49"/>
    <w:p>
      <w:pPr>
        <w:ind w:left="1140"/>
        <w:spacing w:after="0"/>
        <w:rPr>
          <w:sz w:val="20"/>
          <w:szCs w:val="20"/>
          <w:color w:val="auto"/>
        </w:rPr>
      </w:pPr>
      <w:r>
        <w:rPr>
          <w:rFonts w:ascii="Courier New" w:cs="Courier New" w:eastAsia="Courier New" w:hAnsi="Courier New"/>
          <w:sz w:val="14"/>
          <w:szCs w:val="14"/>
          <w:color w:val="auto"/>
        </w:rPr>
        <w:t>COMPARISON OF UNITED STATES AND GUERNSEY CORPORATE LAW</w:t>
      </w:r>
    </w:p>
    <w:p>
      <w:pPr>
        <w:spacing w:after="0" w:line="175"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60"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68"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59"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72"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w:t>
      </w:r>
    </w:p>
    <w:p>
      <w:pPr>
        <w:spacing w:after="0" w:line="7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594" w:right="1440" w:bottom="1440" w:gutter="0" w:footer="0" w:header="0"/>
        </w:sectPr>
      </w:pPr>
    </w:p>
    <w:bookmarkStart w:id="50" w:name="page51"/>
    <w:bookmarkEnd w:id="50"/>
    <w:p>
      <w:pPr>
        <w:ind w:right="3279"/>
        <w:spacing w:after="0" w:line="378" w:lineRule="auto"/>
        <w:rPr>
          <w:sz w:val="20"/>
          <w:szCs w:val="20"/>
          <w:color w:val="auto"/>
        </w:rPr>
      </w:pPr>
      <w:r>
        <w:rPr>
          <w:rFonts w:ascii="Courier New" w:cs="Courier New" w:eastAsia="Courier New" w:hAnsi="Courier New"/>
          <w:sz w:val="14"/>
          <w:szCs w:val="14"/>
          <w:color w:val="auto"/>
        </w:rPr>
        <w:t>we have no obligation to indemnify any such persons for any claims they incur or sustain by or through their own willful act or default.</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594" w:right="1440" w:bottom="1440" w:gutter="0" w:footer="0" w:header="0"/>
        </w:sectPr>
      </w:pPr>
    </w:p>
    <w:bookmarkStart w:id="51" w:name="page52"/>
    <w:bookmarkEnd w:id="51"/>
    <w:p>
      <w:pPr>
        <w:ind w:left="1140"/>
        <w:spacing w:after="0"/>
        <w:rPr>
          <w:sz w:val="20"/>
          <w:szCs w:val="20"/>
          <w:color w:val="auto"/>
        </w:rPr>
      </w:pPr>
      <w:r>
        <w:rPr>
          <w:rFonts w:ascii="Courier New" w:cs="Courier New" w:eastAsia="Courier New" w:hAnsi="Courier New"/>
          <w:sz w:val="14"/>
          <w:szCs w:val="14"/>
          <w:color w:val="auto"/>
        </w:rPr>
        <w:t>CERTAIN UNITED STATES FEDERAL INCOME TAX CONSIDERATIONS</w:t>
      </w:r>
    </w:p>
    <w:p>
      <w:pPr>
        <w:spacing w:after="0" w:line="175"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80" w:lineRule="exact"/>
        <w:rPr>
          <w:sz w:val="20"/>
          <w:szCs w:val="20"/>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or other financial institutions;</w:t>
      </w:r>
    </w:p>
    <w:p>
      <w:pPr>
        <w:spacing w:after="0" w:line="175" w:lineRule="exact"/>
        <w:rPr>
          <w:rFonts w:ascii="Courier New" w:cs="Courier New" w:eastAsia="Courier New" w:hAnsi="Courier New"/>
          <w:sz w:val="14"/>
          <w:szCs w:val="14"/>
          <w:color w:val="auto"/>
        </w:rPr>
      </w:pPr>
    </w:p>
    <w:p>
      <w:pPr>
        <w:ind w:left="1320" w:right="3459" w:hanging="530"/>
        <w:spacing w:after="0" w:line="37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treated as partnerships or other flow-through entities for United States federal income tax purposes;</w:t>
      </w:r>
    </w:p>
    <w:p>
      <w:pPr>
        <w:spacing w:after="0" w:line="1" w:lineRule="exact"/>
        <w:rPr>
          <w:rFonts w:ascii="Courier New" w:cs="Courier New" w:eastAsia="Courier New" w:hAnsi="Courier New"/>
          <w:sz w:val="14"/>
          <w:szCs w:val="14"/>
          <w:color w:val="auto"/>
        </w:rPr>
      </w:pPr>
    </w:p>
    <w:p>
      <w:pPr>
        <w:ind w:left="1320" w:right="3719" w:hanging="530"/>
        <w:spacing w:after="0" w:line="37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Holders (as defined below) whose functional currency is other than the United States dollar;</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entities;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investment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in securities or currencies; or</w:t>
      </w:r>
    </w:p>
    <w:p>
      <w:pPr>
        <w:spacing w:after="0" w:line="175" w:lineRule="exact"/>
        <w:rPr>
          <w:rFonts w:ascii="Courier New" w:cs="Courier New" w:eastAsia="Courier New" w:hAnsi="Courier New"/>
          <w:sz w:val="14"/>
          <w:szCs w:val="14"/>
          <w:color w:val="auto"/>
        </w:rPr>
      </w:pPr>
    </w:p>
    <w:p>
      <w:pPr>
        <w:ind w:left="1320" w:right="3279" w:hanging="530"/>
        <w:spacing w:after="0" w:line="27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66"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70"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5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594"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TAX CONSEQUENCES TO U.S.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75" w:lineRule="exact"/>
        <w:rPr>
          <w:sz w:val="20"/>
          <w:szCs w:val="20"/>
          <w:color w:val="auto"/>
        </w:rPr>
      </w:pPr>
    </w:p>
    <w:p>
      <w:pPr>
        <w:ind w:right="3379" w:firstLine="781"/>
        <w:spacing w:after="0" w:line="378" w:lineRule="auto"/>
        <w:rPr>
          <w:sz w:val="20"/>
          <w:szCs w:val="20"/>
          <w:color w:val="auto"/>
        </w:rPr>
      </w:pPr>
      <w:r>
        <w:rPr>
          <w:rFonts w:ascii="Courier New" w:cs="Courier New" w:eastAsia="Courier New" w:hAnsi="Courier New"/>
          <w:sz w:val="14"/>
          <w:szCs w:val="14"/>
          <w:color w:val="auto"/>
        </w:rPr>
        <w:t>We may make payments of liquidated damages or certain other contingent payments to holders of the notes:</w:t>
      </w:r>
    </w:p>
    <w:p>
      <w:pPr>
        <w:spacing w:after="0" w:line="1" w:lineRule="exact"/>
        <w:rPr>
          <w:sz w:val="20"/>
          <w:szCs w:val="20"/>
          <w:color w:val="auto"/>
        </w:rPr>
      </w:pPr>
    </w:p>
    <w:p>
      <w:pPr>
        <w:ind w:left="1320" w:right="3539" w:hanging="530"/>
        <w:spacing w:after="0" w:line="28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59" w:lineRule="exact"/>
        <w:rPr>
          <w:rFonts w:ascii="Courier New" w:cs="Courier New" w:eastAsia="Courier New" w:hAnsi="Courier New"/>
          <w:sz w:val="14"/>
          <w:szCs w:val="14"/>
          <w:color w:val="auto"/>
        </w:rPr>
      </w:pPr>
    </w:p>
    <w:p>
      <w:pPr>
        <w:jc w:val="both"/>
        <w:ind w:left="1320" w:right="3459" w:hanging="530"/>
        <w:spacing w:after="0" w:line="317"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Guernsey imposes an obligation to withhold or deduct certain amounts from the payments in respect of the notes, as described under "Description of Notes -- Additional Tax Amounts"; and</w:t>
      </w:r>
    </w:p>
    <w:p>
      <w:pPr>
        <w:spacing w:after="0" w:line="39" w:lineRule="exact"/>
        <w:rPr>
          <w:rFonts w:ascii="Courier New" w:cs="Courier New" w:eastAsia="Courier New" w:hAnsi="Courier New"/>
          <w:sz w:val="14"/>
          <w:szCs w:val="14"/>
          <w:color w:val="auto"/>
        </w:rPr>
      </w:pPr>
    </w:p>
    <w:p>
      <w:pPr>
        <w:jc w:val="both"/>
        <w:ind w:left="1320" w:right="3279" w:hanging="530"/>
        <w:spacing w:after="0" w:line="317"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choose to pay the repurchase price of the notes in ordinary shares or a combination of cash and ordinary shares, as described under "Description of Notes--Repurchase at Option of the Holder".</w:t>
      </w:r>
    </w:p>
    <w:p>
      <w:pPr>
        <w:spacing w:after="0" w:line="39"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OF NOTES INTO ORDINARY SHARES</w:t>
      </w:r>
    </w:p>
    <w:p>
      <w:pPr>
        <w:spacing w:after="0" w:line="175"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70" w:lineRule="exact"/>
        <w:rPr>
          <w:sz w:val="20"/>
          <w:szCs w:val="20"/>
          <w:color w:val="auto"/>
        </w:rPr>
      </w:pPr>
    </w:p>
    <w:p>
      <w:pPr>
        <w:ind w:right="3539" w:firstLine="781"/>
        <w:spacing w:after="0" w:line="278" w:lineRule="auto"/>
        <w:rPr>
          <w:sz w:val="20"/>
          <w:szCs w:val="20"/>
          <w:color w:val="auto"/>
        </w:rPr>
      </w:pPr>
      <w:r>
        <w:rPr>
          <w:rFonts w:ascii="Courier New" w:cs="Courier New" w:eastAsia="Courier New" w:hAnsi="Courier New"/>
          <w:sz w:val="14"/>
          <w:szCs w:val="14"/>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TO CONVERSION RATE</w:t>
      </w:r>
    </w:p>
    <w:p>
      <w:pPr>
        <w:spacing w:after="0" w:line="175"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w:t>
      </w:r>
    </w:p>
    <w:p>
      <w:pPr>
        <w:spacing w:after="0" w:line="2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594" w:right="1440" w:bottom="1440" w:gutter="0" w:footer="0" w:header="0"/>
        </w:sectPr>
      </w:pPr>
    </w:p>
    <w:bookmarkStart w:id="53" w:name="page54"/>
    <w:bookmarkEnd w:id="53"/>
    <w:p>
      <w:pPr>
        <w:ind w:right="3279"/>
        <w:spacing w:after="0" w:line="271" w:lineRule="auto"/>
        <w:rPr>
          <w:sz w:val="20"/>
          <w:szCs w:val="20"/>
          <w:color w:val="auto"/>
        </w:rPr>
      </w:pPr>
      <w:r>
        <w:rPr>
          <w:rFonts w:ascii="Courier New" w:cs="Courier New" w:eastAsia="Courier New" w:hAnsi="Courier New"/>
          <w:sz w:val="14"/>
          <w:szCs w:val="14"/>
          <w:color w:val="auto"/>
        </w:rPr>
        <w:t>our current or accumulated earnings and profits. In such a case, U.S. Holders will recognize dividend income as a result of an event pursuant to which they receive no cash or other property that could be used to pay the related tax. See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24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REDEMPTION OR OTHER TAXABLE DISPOSITION OF NOTES</w:t>
      </w:r>
    </w:p>
    <w:p>
      <w:pPr>
        <w:spacing w:after="0" w:line="175" w:lineRule="exact"/>
        <w:rPr>
          <w:sz w:val="20"/>
          <w:szCs w:val="20"/>
          <w:color w:val="auto"/>
        </w:rPr>
      </w:pPr>
    </w:p>
    <w:p>
      <w:pPr>
        <w:ind w:right="3279" w:firstLine="781"/>
        <w:spacing w:after="0" w:line="261" w:lineRule="auto"/>
        <w:rPr>
          <w:sz w:val="20"/>
          <w:szCs w:val="20"/>
          <w:color w:val="auto"/>
        </w:rPr>
      </w:pPr>
      <w:r>
        <w:rPr>
          <w:rFonts w:ascii="Courier New" w:cs="Courier New" w:eastAsia="Courier New" w:hAnsi="Courier New"/>
          <w:sz w:val="14"/>
          <w:szCs w:val="14"/>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"--Conversion of Notes into Ordinary Shares."</w:t>
      </w:r>
    </w:p>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OR OTHER TAXABLE DISPOSITION OF ORDINARY SHARES</w:t>
      </w:r>
    </w:p>
    <w:p>
      <w:pPr>
        <w:spacing w:after="0" w:line="17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PASSIVE FOREIGN INVESTMENT COMPANY CONSIDERATIONS</w:t>
      </w:r>
    </w:p>
    <w:p>
      <w:pPr>
        <w:spacing w:after="0" w:line="17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7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7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594" w:right="1440" w:bottom="1440" w:gutter="0" w:footer="0" w:header="0"/>
        </w:sectPr>
      </w:pPr>
    </w:p>
    <w:bookmarkStart w:id="54" w:name="page55"/>
    <w:bookmarkEnd w:id="54"/>
    <w:p>
      <w:pPr>
        <w:ind w:right="3279"/>
        <w:spacing w:after="0" w:line="285" w:lineRule="auto"/>
        <w:rPr>
          <w:sz w:val="20"/>
          <w:szCs w:val="20"/>
          <w:color w:val="auto"/>
        </w:rPr>
      </w:pPr>
      <w:r>
        <w:rPr>
          <w:rFonts w:ascii="Courier New" w:cs="Courier New" w:eastAsia="Courier New" w:hAnsi="Courier New"/>
          <w:sz w:val="14"/>
          <w:szCs w:val="14"/>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60" w:lineRule="exact"/>
        <w:rPr>
          <w:sz w:val="20"/>
          <w:szCs w:val="20"/>
          <w:color w:val="auto"/>
        </w:rPr>
      </w:pPr>
    </w:p>
    <w:p>
      <w:pPr>
        <w:ind w:right="3459" w:firstLine="781"/>
        <w:spacing w:after="0" w:line="285"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TAX RULES APPLICABLE TO NON-U.S. HOLDERS</w:t>
      </w:r>
    </w:p>
    <w:p>
      <w:pPr>
        <w:spacing w:after="0" w:line="175"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72" w:lineRule="exact"/>
        <w:rPr>
          <w:sz w:val="20"/>
          <w:szCs w:val="20"/>
          <w:color w:val="auto"/>
        </w:rPr>
      </w:pPr>
    </w:p>
    <w:p>
      <w:pPr>
        <w:ind w:right="3379" w:firstLine="781"/>
        <w:spacing w:after="0" w:line="285" w:lineRule="auto"/>
        <w:rPr>
          <w:sz w:val="20"/>
          <w:szCs w:val="20"/>
          <w:color w:val="auto"/>
        </w:rPr>
      </w:pPr>
      <w:r>
        <w:rPr>
          <w:rFonts w:ascii="Courier New" w:cs="Courier New" w:eastAsia="Courier New" w:hAnsi="Courier New"/>
          <w:sz w:val="14"/>
          <w:szCs w:val="14"/>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459" w:firstLine="781"/>
        <w:spacing w:after="0" w:line="317" w:lineRule="auto"/>
        <w:rPr>
          <w:sz w:val="20"/>
          <w:szCs w:val="20"/>
          <w:color w:val="auto"/>
        </w:rPr>
      </w:pPr>
      <w:r>
        <w:rPr>
          <w:rFonts w:ascii="Courier New" w:cs="Courier New" w:eastAsia="Courier New" w:hAnsi="Courier New"/>
          <w:sz w:val="14"/>
          <w:szCs w:val="14"/>
          <w:color w:val="auto"/>
        </w:rPr>
        <w:t>A Non-U.S. Holder may be required to comply with certification procedures to establish that the holder is not a U.S. person in order to avoid backup withholding tax and information reporting requirements.</w:t>
      </w:r>
    </w:p>
    <w:p>
      <w:pPr>
        <w:spacing w:after="0" w:line="39" w:lineRule="exact"/>
        <w:rPr>
          <w:sz w:val="20"/>
          <w:szCs w:val="20"/>
          <w:color w:val="auto"/>
        </w:rPr>
      </w:pPr>
    </w:p>
    <w:p>
      <w:pPr>
        <w:ind w:right="3379" w:firstLine="781"/>
        <w:spacing w:after="0" w:line="269" w:lineRule="auto"/>
        <w:rPr>
          <w:sz w:val="20"/>
          <w:szCs w:val="20"/>
          <w:color w:val="auto"/>
        </w:rPr>
      </w:pPr>
      <w:r>
        <w:rPr>
          <w:rFonts w:ascii="Courier New" w:cs="Courier New" w:eastAsia="Courier New" w:hAnsi="Courier New"/>
          <w:sz w:val="14"/>
          <w:szCs w:val="14"/>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24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594" w:right="1440" w:bottom="1440" w:gutter="0" w:footer="0" w:header="0"/>
        </w:sectPr>
      </w:pPr>
    </w:p>
    <w:bookmarkStart w:id="55" w:name="page56"/>
    <w:bookmarkEnd w:id="55"/>
    <w:p>
      <w:pPr>
        <w:ind w:left="2000"/>
        <w:spacing w:after="0"/>
        <w:rPr>
          <w:sz w:val="20"/>
          <w:szCs w:val="20"/>
          <w:color w:val="auto"/>
        </w:rPr>
      </w:pPr>
      <w:r>
        <w:rPr>
          <w:rFonts w:ascii="Courier New" w:cs="Courier New" w:eastAsia="Courier New" w:hAnsi="Courier New"/>
          <w:sz w:val="14"/>
          <w:szCs w:val="14"/>
          <w:color w:val="auto"/>
        </w:rPr>
        <w:t>CERTAIN GUERNSEY TAX CONSIDERATIONS</w:t>
      </w:r>
    </w:p>
    <w:p>
      <w:pPr>
        <w:spacing w:after="0" w:line="17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75" w:lineRule="exact"/>
        <w:rPr>
          <w:sz w:val="20"/>
          <w:szCs w:val="20"/>
          <w:color w:val="auto"/>
        </w:rPr>
      </w:pPr>
    </w:p>
    <w:p>
      <w:pPr>
        <w:ind w:right="3539" w:firstLine="781"/>
        <w:spacing w:after="0" w:line="317" w:lineRule="auto"/>
        <w:rPr>
          <w:sz w:val="20"/>
          <w:szCs w:val="20"/>
          <w:color w:val="auto"/>
        </w:rPr>
      </w:pPr>
      <w:r>
        <w:rPr>
          <w:rFonts w:ascii="Courier New" w:cs="Courier New" w:eastAsia="Courier New" w:hAnsi="Courier New"/>
          <w:sz w:val="14"/>
          <w:szCs w:val="14"/>
          <w:color w:val="auto"/>
        </w:rPr>
        <w:t>There are no capital gains, gift or inheritance taxes levied by Guernsey, and the notes and ordinary shares generally would not be subject to any transfer taxes, stamp duties or similar charges on issuance or transfer.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 SAVINGS TAX DIRECTIVE</w:t>
      </w:r>
    </w:p>
    <w:p>
      <w:pPr>
        <w:spacing w:after="0" w:line="17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70"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77" w:lineRule="exact"/>
        <w:rPr>
          <w:sz w:val="20"/>
          <w:szCs w:val="20"/>
          <w:color w:val="auto"/>
        </w:rPr>
      </w:pPr>
    </w:p>
    <w:p>
      <w:pPr>
        <w:ind w:right="3279" w:firstLine="781"/>
        <w:spacing w:after="0" w:line="317" w:lineRule="auto"/>
        <w:rPr>
          <w:sz w:val="20"/>
          <w:szCs w:val="20"/>
          <w:color w:val="auto"/>
        </w:rPr>
      </w:pPr>
      <w:r>
        <w:rPr>
          <w:rFonts w:ascii="Courier New" w:cs="Courier New" w:eastAsia="Courier New" w:hAnsi="Courier New"/>
          <w:sz w:val="14"/>
          <w:szCs w:val="14"/>
          <w:color w:val="auto"/>
        </w:rPr>
        <w:t>As indicated above under "Description of Notes--Additional Tax Amounts," we will not make any additional payments to holders to compensate them for any tax that is required to be withheld as a result of these proposals.</w:t>
      </w:r>
    </w:p>
    <w:p>
      <w:pPr>
        <w:spacing w:after="0" w:line="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594" w:right="1440" w:bottom="1440" w:gutter="0" w:footer="0" w:header="0"/>
        </w:sectPr>
      </w:pPr>
    </w:p>
    <w:bookmarkStart w:id="56" w:name="page57"/>
    <w:bookmarkEnd w:id="56"/>
    <w:p>
      <w:pPr>
        <w:ind w:left="2520"/>
        <w:spacing w:after="0"/>
        <w:rPr>
          <w:sz w:val="20"/>
          <w:szCs w:val="20"/>
          <w:color w:val="auto"/>
        </w:rPr>
      </w:pPr>
      <w:r>
        <w:rPr>
          <w:rFonts w:ascii="Courier New" w:cs="Courier New" w:eastAsia="Courier New" w:hAnsi="Courier New"/>
          <w:sz w:val="14"/>
          <w:szCs w:val="14"/>
          <w:color w:val="auto"/>
        </w:rPr>
        <w:t>SELLING SECURITYHOLDERS</w:t>
      </w:r>
    </w:p>
    <w:p>
      <w:pPr>
        <w:spacing w:after="0" w:line="175"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52" w:lineRule="exact"/>
        <w:rPr>
          <w:sz w:val="20"/>
          <w:szCs w:val="20"/>
          <w:color w:val="auto"/>
        </w:rPr>
      </w:pPr>
    </w:p>
    <w:p>
      <w:pPr>
        <w:ind w:right="3379" w:firstLine="781"/>
        <w:spacing w:after="0" w:line="265" w:lineRule="auto"/>
        <w:rPr>
          <w:sz w:val="20"/>
          <w:szCs w:val="20"/>
          <w:color w:val="auto"/>
        </w:rPr>
      </w:pPr>
      <w:r>
        <w:rPr>
          <w:rFonts w:ascii="Courier New" w:cs="Courier New" w:eastAsia="Courier New" w:hAnsi="Courier New"/>
          <w:sz w:val="14"/>
          <w:szCs w:val="14"/>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77" w:lineRule="exact"/>
        <w:rPr>
          <w:sz w:val="20"/>
          <w:szCs w:val="20"/>
          <w:color w:val="auto"/>
        </w:rPr>
      </w:pPr>
    </w:p>
    <w:p>
      <w:pPr>
        <w:ind w:right="3459" w:firstLine="781"/>
        <w:spacing w:after="0" w:line="278" w:lineRule="auto"/>
        <w:rPr>
          <w:sz w:val="20"/>
          <w:szCs w:val="20"/>
          <w:color w:val="auto"/>
        </w:rPr>
      </w:pPr>
      <w:r>
        <w:rPr>
          <w:rFonts w:ascii="Courier New" w:cs="Courier New" w:eastAsia="Courier New" w:hAnsi="Courier New"/>
          <w:sz w:val="14"/>
          <w:szCs w:val="14"/>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201,334,057 of our ordinary shares outstanding as of September 30, 2004.</w:t>
      </w:r>
    </w:p>
    <w:p>
      <w:pPr>
        <w:spacing w:after="0" w:line="66" w:lineRule="exact"/>
        <w:rPr>
          <w:sz w:val="20"/>
          <w:szCs w:val="20"/>
          <w:color w:val="auto"/>
        </w:rPr>
      </w:pPr>
    </w:p>
    <w:p>
      <w:pPr>
        <w:ind w:right="3279" w:firstLine="781"/>
        <w:spacing w:after="0" w:line="267" w:lineRule="auto"/>
        <w:rPr>
          <w:sz w:val="20"/>
          <w:szCs w:val="20"/>
          <w:color w:val="auto"/>
        </w:rPr>
      </w:pPr>
      <w:r>
        <w:rPr>
          <w:rFonts w:ascii="Courier New" w:cs="Courier New" w:eastAsia="Courier New" w:hAnsi="Courier New"/>
          <w:sz w:val="14"/>
          <w:szCs w:val="14"/>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72" w:lineRule="exact"/>
        <w:rPr>
          <w:sz w:val="20"/>
          <w:szCs w:val="20"/>
          <w:color w:val="auto"/>
        </w:rPr>
      </w:pPr>
    </w:p>
    <w:p>
      <w:pPr>
        <w:ind w:right="3379" w:firstLine="781"/>
        <w:spacing w:after="0" w:line="269" w:lineRule="auto"/>
        <w:rPr>
          <w:sz w:val="20"/>
          <w:szCs w:val="20"/>
          <w:color w:val="auto"/>
        </w:rPr>
      </w:pPr>
      <w:r>
        <w:rPr>
          <w:rFonts w:ascii="Courier New" w:cs="Courier New" w:eastAsia="Courier New" w:hAnsi="Courier New"/>
          <w:sz w:val="14"/>
          <w:szCs w:val="14"/>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47" w:lineRule="exact"/>
        <w:rPr>
          <w:sz w:val="20"/>
          <w:szCs w:val="20"/>
          <w:color w:val="auto"/>
        </w:rPr>
      </w:pPr>
    </w:p>
    <w:p>
      <w:pPr>
        <w:ind w:right="3279" w:firstLine="781"/>
        <w:spacing w:after="0" w:line="285" w:lineRule="auto"/>
        <w:rPr>
          <w:sz w:val="20"/>
          <w:szCs w:val="20"/>
          <w:color w:val="auto"/>
        </w:rPr>
      </w:pPr>
      <w:r>
        <w:rPr>
          <w:rFonts w:ascii="Courier New" w:cs="Courier New" w:eastAsia="Courier New" w:hAnsi="Courier New"/>
          <w:sz w:val="14"/>
          <w:szCs w:val="14"/>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594" w:right="1440" w:bottom="1440" w:gutter="0" w:footer="0" w:header="0"/>
        </w:sectPr>
      </w:pPr>
    </w:p>
    <w:bookmarkStart w:id="57" w:name="page58"/>
    <w:bookmarkEnd w:id="57"/>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16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PRINCIPAL</w:t>
            </w: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ORDINARY SHARES</w:t>
            </w:r>
          </w:p>
        </w:tc>
        <w:tc>
          <w:tcPr>
            <w:tcW w:w="148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ORDINARY SHARES</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BENEFICIALLY OWNED</w:t>
            </w:r>
          </w:p>
        </w:tc>
        <w:tc>
          <w:tcPr>
            <w:tcW w:w="1480" w:type="dxa"/>
            <w:vAlign w:val="bottom"/>
            <w:vMerge w:val="continue"/>
          </w:tcPr>
          <w:p>
            <w:pPr>
              <w:spacing w:after="0"/>
              <w:rPr>
                <w:sz w:val="14"/>
                <w:szCs w:val="14"/>
                <w:color w:val="auto"/>
              </w:rPr>
            </w:pP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BENEFICIALLY</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OF NOTES</w:t>
            </w: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UPON CONVERSION</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AMOUNT OF NOTES</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OWNED</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BENEFICIALLY</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 THE NOTES</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BENEFICIALLY</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AFTER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OFFERING</w:t>
            </w:r>
          </w:p>
        </w:tc>
        <w:tc>
          <w:tcPr>
            <w:tcW w:w="0" w:type="dxa"/>
            <w:vAlign w:val="bottom"/>
          </w:tcPr>
          <w:p>
            <w:pPr>
              <w:spacing w:after="0"/>
              <w:rPr>
                <w:sz w:val="1"/>
                <w:szCs w:val="1"/>
                <w:color w:val="auto"/>
              </w:rPr>
            </w:pPr>
          </w:p>
        </w:tc>
      </w:tr>
      <w:tr>
        <w:trPr>
          <w:trHeight w:val="167"/>
        </w:trPr>
        <w:tc>
          <w:tcPr>
            <w:tcW w:w="4600" w:type="dxa"/>
            <w:vAlign w:val="bottom"/>
            <w:vMerge w:val="restart"/>
          </w:tcPr>
          <w:p>
            <w:pPr>
              <w:ind w:left="880"/>
              <w:spacing w:after="0"/>
              <w:rPr>
                <w:sz w:val="20"/>
                <w:szCs w:val="20"/>
                <w:color w:val="auto"/>
              </w:rPr>
            </w:pPr>
            <w:r>
              <w:rPr>
                <w:rFonts w:ascii="Courier New" w:cs="Courier New" w:eastAsia="Courier New" w:hAnsi="Courier New"/>
                <w:sz w:val="14"/>
                <w:szCs w:val="14"/>
                <w:color w:val="auto"/>
              </w:rPr>
              <w:t>NAME OF SELLING SECURITYHOLDER</w:t>
            </w: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 THAT MAY</w:t>
            </w:r>
          </w:p>
        </w:tc>
        <w:tc>
          <w:tcPr>
            <w:tcW w:w="10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3"/>
                <w:szCs w:val="13"/>
                <w:color w:val="auto"/>
                <w:w w:val="70"/>
                <w:vertAlign w:val="subscript"/>
              </w:rPr>
              <w:t>NUMBER</w:t>
            </w:r>
          </w:p>
        </w:tc>
        <w:tc>
          <w:tcPr>
            <w:tcW w:w="10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9"/>
              </w:rPr>
              <w:t>PERCENTAGE</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OWNED AFTER</w:t>
            </w:r>
          </w:p>
        </w:tc>
        <w:tc>
          <w:tcPr>
            <w:tcW w:w="700" w:type="dxa"/>
            <w:vAlign w:val="bottom"/>
            <w:vMerge w:val="restart"/>
          </w:tcPr>
          <w:p>
            <w:pPr>
              <w:spacing w:after="0"/>
              <w:rPr>
                <w:sz w:val="20"/>
                <w:szCs w:val="20"/>
                <w:color w:val="auto"/>
              </w:rPr>
            </w:pPr>
            <w:r>
              <w:rPr>
                <w:rFonts w:ascii="Courier New" w:cs="Courier New" w:eastAsia="Courier New" w:hAnsi="Courier New"/>
                <w:sz w:val="8"/>
                <w:szCs w:val="8"/>
                <w:color w:val="auto"/>
                <w:w w:val="71"/>
                <w:vertAlign w:val="subscript"/>
              </w:rPr>
              <w:t>NUMBER</w:t>
            </w:r>
            <w:r>
              <w:rPr>
                <w:rFonts w:ascii="Courier New" w:cs="Courier New" w:eastAsia="Courier New" w:hAnsi="Courier New"/>
                <w:sz w:val="7"/>
                <w:szCs w:val="7"/>
                <w:color w:val="auto"/>
                <w:w w:val="71"/>
              </w:rPr>
              <w:t>------------------</w:t>
            </w:r>
          </w:p>
        </w:tc>
        <w:tc>
          <w:tcPr>
            <w:tcW w:w="10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w w:val="99"/>
              </w:rPr>
              <w:t>PERCENTAGE</w:t>
            </w:r>
          </w:p>
        </w:tc>
        <w:tc>
          <w:tcPr>
            <w:tcW w:w="0" w:type="dxa"/>
            <w:vAlign w:val="bottom"/>
          </w:tcPr>
          <w:p>
            <w:pPr>
              <w:spacing w:after="0"/>
              <w:rPr>
                <w:sz w:val="1"/>
                <w:szCs w:val="1"/>
                <w:color w:val="auto"/>
              </w:rPr>
            </w:pPr>
          </w:p>
        </w:tc>
      </w:tr>
      <w:tr>
        <w:trPr>
          <w:trHeight w:val="167"/>
        </w:trPr>
        <w:tc>
          <w:tcPr>
            <w:tcW w:w="4600" w:type="dxa"/>
            <w:vAlign w:val="bottom"/>
            <w:vMerge w:val="continue"/>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 SOLD ($)</w:t>
            </w: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Acuity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1,440,000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33,395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ACUITY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 Greenwich Office Park, 3rd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06831 USA</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Insurance Company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3,250,000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75,371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International E MAC 63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14,610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Master Fund I, LP.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8,470,000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196,428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American Investors Life Insurance Co.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AmerUs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4,200,000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The Animi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14,000,000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324,675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Archeus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360 Madison Avenue, 10th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Arbitex Master Fund L.P.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208,719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Arbitex Asset Management L.P.</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1601 Elm Street, Suite 4000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Dallas, TX 75201</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line="257" w:lineRule="exact"/>
              <w:rPr>
                <w:sz w:val="20"/>
                <w:szCs w:val="20"/>
                <w:color w:val="auto"/>
              </w:rPr>
            </w:pPr>
            <w:r>
              <w:rPr>
                <w:rFonts w:ascii="Courier New" w:cs="Courier New" w:eastAsia="Courier New" w:hAnsi="Courier New"/>
                <w:sz w:val="13"/>
                <w:szCs w:val="13"/>
                <w:color w:val="auto"/>
                <w:w w:val="70"/>
              </w:rPr>
              <w:t>Argent Classic Convertible</w:t>
            </w:r>
            <w:r>
              <w:rPr>
                <w:rFonts w:ascii="Courier New" w:cs="Courier New" w:eastAsia="Courier New" w:hAnsi="Courier New"/>
                <w:sz w:val="25"/>
                <w:szCs w:val="25"/>
                <w:color w:val="auto"/>
                <w:w w:val="70"/>
                <w:vertAlign w:val="subscript"/>
              </w:rPr>
              <w:t>...................................</w:t>
            </w:r>
            <w:r>
              <w:rPr>
                <w:rFonts w:ascii="Courier New" w:cs="Courier New" w:eastAsia="Courier New" w:hAnsi="Courier New"/>
                <w:sz w:val="13"/>
                <w:szCs w:val="13"/>
                <w:color w:val="auto"/>
                <w:w w:val="70"/>
              </w:rPr>
              <w:t>ArbitrageFund</w:t>
            </w:r>
          </w:p>
        </w:tc>
        <w:tc>
          <w:tcPr>
            <w:tcW w:w="162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6,955,000</w:t>
            </w:r>
          </w:p>
        </w:tc>
        <w:tc>
          <w:tcPr>
            <w:tcW w:w="10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161,294</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(Bermuda) Ltd.</w:t>
            </w:r>
          </w:p>
        </w:tc>
        <w:tc>
          <w:tcPr>
            <w:tcW w:w="1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 Front Street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HM12 Bermuda</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9"/>
                <w:szCs w:val="19"/>
                <w:color w:val="auto"/>
                <w:w w:val="71"/>
                <w:vertAlign w:val="superscript"/>
              </w:rPr>
              <w:t>Argent</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ClassicConvertibleArbitrageFundII,</w:t>
            </w:r>
          </w:p>
        </w:tc>
        <w:tc>
          <w:tcPr>
            <w:tcW w:w="162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255,000</w:t>
            </w:r>
          </w:p>
        </w:tc>
        <w:tc>
          <w:tcPr>
            <w:tcW w:w="10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5,913</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1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26,669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41,048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Argent LowLev Convertible Arbitrage Fund II,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6,493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10,280,000</w:t>
            </w:r>
          </w:p>
        </w:tc>
        <w:tc>
          <w:tcPr>
            <w:tcW w:w="1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238,404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3013</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HMMX Bermuda</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95" w:orient="portrait"/>
          <w:cols w:equalWidth="0" w:num="1">
            <w:col w:w="11540"/>
          </w:cols>
          <w:pgMar w:left="220" w:top="1429" w:right="1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Bankers Life Insurance Company of New York............</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Bear, Stearns &amp; Co. Inc.(1)...........................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Offshore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Credit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273,075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Equity Fund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66,725,000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1,547,426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Citigroup Global Markets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Global Markets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390 Greenwich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Convertible Trading</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10013</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Class C Trading Company,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Commissioners of the Land Office......................</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Fund,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Offshore Fund,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Credit Suisse First Boston Europe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Credit Suisse First Boston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Reorg. Department - 2nd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One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10010</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Custom Investments PCC,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Deephaven Domestic Convertible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22,662,000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525,556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Deutsche Bank Securities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1251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26th Floor, Mail Stop NYCO7-2638</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r>
    </w:tbl>
    <w:p>
      <w:pPr>
        <w:sectPr>
          <w:pgSz w:w="11900" w:h="16838" w:orient="portrait"/>
          <w:cols w:equalWidth="0" w:num="1">
            <w:col w:w="11040"/>
          </w:cols>
          <w:pgMar w:left="220" w:top="282" w:right="639" w:bottom="0" w:gutter="0" w:footer="0" w:header="0"/>
        </w:sectPr>
      </w:pPr>
    </w:p>
    <w:bookmarkStart w:id="59" w:name="page60"/>
    <w:bookmarkEnd w:id="59"/>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Diaco Investments LP..................................</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Diaco Invesments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1271 Avenue of the Americas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7,319,000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169,735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Georgia Firefighters Pension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GLG Market Neutral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GLG Partners LP</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One Curzon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WIJ5HB United Kingdom</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Guggenheim Portfolio Co. XV,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HFR CA Global Select Master Trust Account.............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line="256" w:lineRule="exact"/>
              <w:rPr>
                <w:sz w:val="20"/>
                <w:szCs w:val="20"/>
                <w:color w:val="auto"/>
              </w:rPr>
            </w:pPr>
            <w:r>
              <w:rPr>
                <w:rFonts w:ascii="Courier New" w:cs="Courier New" w:eastAsia="Courier New" w:hAnsi="Courier New"/>
                <w:sz w:val="14"/>
                <w:szCs w:val="14"/>
                <w:color w:val="auto"/>
                <w:w w:val="83"/>
              </w:rPr>
              <w:t>HSBC Asset Management (Americas) Inc. for</w:t>
            </w:r>
            <w:r>
              <w:rPr>
                <w:rFonts w:ascii="Courier New" w:cs="Courier New" w:eastAsia="Courier New" w:hAnsi="Courier New"/>
                <w:sz w:val="28"/>
                <w:szCs w:val="28"/>
                <w:color w:val="auto"/>
                <w:w w:val="83"/>
                <w:vertAlign w:val="subscript"/>
              </w:rPr>
              <w:t>................</w:t>
            </w:r>
            <w:r>
              <w:rPr>
                <w:rFonts w:ascii="Courier New" w:cs="Courier New" w:eastAsia="Courier New" w:hAnsi="Courier New"/>
                <w:sz w:val="14"/>
                <w:szCs w:val="14"/>
                <w:color w:val="auto"/>
                <w:w w:val="83"/>
              </w:rPr>
              <w:t>the</w:t>
            </w:r>
          </w:p>
        </w:tc>
        <w:tc>
          <w:tcPr>
            <w:tcW w:w="13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Multi-Strategy Arbitrage Fund (1)</w:t>
            </w:r>
          </w:p>
        </w:tc>
        <w:tc>
          <w:tcPr>
            <w:tcW w:w="13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HSBC Asset Management (Americas)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452 5th Avenue,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10018</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Huntrise Capital Leveraged Partners,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Indianapolis Life Insurance Co.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489,332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L.P.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Injured Workers Insurance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line="257" w:lineRule="exact"/>
              <w:rPr>
                <w:sz w:val="20"/>
                <w:szCs w:val="20"/>
                <w:color w:val="auto"/>
              </w:rPr>
            </w:pPr>
            <w:r>
              <w:rPr>
                <w:rFonts w:ascii="Courier New" w:cs="Courier New" w:eastAsia="Courier New" w:hAnsi="Courier New"/>
                <w:sz w:val="13"/>
                <w:szCs w:val="13"/>
                <w:color w:val="auto"/>
                <w:w w:val="70"/>
              </w:rPr>
              <w:t>Intl. Truck &amp; Engine Corp.</w:t>
            </w:r>
            <w:r>
              <w:rPr>
                <w:rFonts w:ascii="Courier New" w:cs="Courier New" w:eastAsia="Courier New" w:hAnsi="Courier New"/>
                <w:sz w:val="25"/>
                <w:szCs w:val="25"/>
                <w:color w:val="auto"/>
                <w:w w:val="70"/>
                <w:vertAlign w:val="subscript"/>
              </w:rPr>
              <w:t>.................................</w:t>
            </w:r>
            <w:r>
              <w:rPr>
                <w:rFonts w:ascii="Courier New" w:cs="Courier New" w:eastAsia="Courier New" w:hAnsi="Courier New"/>
                <w:sz w:val="13"/>
                <w:szCs w:val="13"/>
                <w:color w:val="auto"/>
                <w:w w:val="70"/>
              </w:rPr>
              <w:t>NonContributory</w:t>
            </w:r>
          </w:p>
        </w:tc>
        <w:tc>
          <w:tcPr>
            <w:tcW w:w="13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Retirement Plan Trust</w:t>
            </w:r>
          </w:p>
        </w:tc>
        <w:tc>
          <w:tcPr>
            <w:tcW w:w="13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line="257" w:lineRule="exact"/>
              <w:rPr>
                <w:sz w:val="20"/>
                <w:szCs w:val="20"/>
                <w:color w:val="auto"/>
              </w:rPr>
            </w:pPr>
            <w:r>
              <w:rPr>
                <w:rFonts w:ascii="Courier New" w:cs="Courier New" w:eastAsia="Courier New" w:hAnsi="Courier New"/>
                <w:sz w:val="13"/>
                <w:szCs w:val="13"/>
                <w:color w:val="auto"/>
                <w:w w:val="73"/>
              </w:rPr>
              <w:t>Intl. Truck &amp; Engine Corp.</w:t>
            </w:r>
            <w:r>
              <w:rPr>
                <w:rFonts w:ascii="Courier New" w:cs="Courier New" w:eastAsia="Courier New" w:hAnsi="Courier New"/>
                <w:sz w:val="25"/>
                <w:szCs w:val="25"/>
                <w:color w:val="auto"/>
                <w:w w:val="73"/>
                <w:vertAlign w:val="subscript"/>
              </w:rPr>
              <w:t>.............................</w:t>
            </w:r>
            <w:r>
              <w:rPr>
                <w:rFonts w:ascii="Courier New" w:cs="Courier New" w:eastAsia="Courier New" w:hAnsi="Courier New"/>
                <w:sz w:val="13"/>
                <w:szCs w:val="13"/>
                <w:color w:val="auto"/>
                <w:w w:val="73"/>
              </w:rPr>
              <w:t>RetirementPlanfor</w:t>
            </w:r>
          </w:p>
        </w:tc>
        <w:tc>
          <w:tcPr>
            <w:tcW w:w="13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1,700,000</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39,424</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Salaried Employee's Trust</w:t>
            </w:r>
          </w:p>
        </w:tc>
        <w:tc>
          <w:tcPr>
            <w:tcW w:w="13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Jefferies Umbrella Fund US Convertible Bonds..........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Jefferies Asset Management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Uraniastrasse 12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CH-8023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Zurich, Switzerland</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JP Morgan Securities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500 Stanton Christiana Road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Newark, DE 19713</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KBC Financial Products USA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KBC Financial Products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140 East 45th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Grand Central Tower, 42nd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10017-3144</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18" w:orient="portrait"/>
          <w:cols w:equalWidth="0" w:num="1">
            <w:col w:w="11040"/>
          </w:cols>
          <w:pgMar w:left="220" w:top="115" w:right="639" w:bottom="0" w:gutter="0" w:footer="0" w:header="0"/>
        </w:sectPr>
      </w:pPr>
    </w:p>
    <w:bookmarkStart w:id="60" w:name="page61"/>
    <w:bookmarkEnd w:id="60"/>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Lehman Brothers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24,350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745 Seventh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10019</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9"/>
                <w:szCs w:val="19"/>
                <w:color w:val="auto"/>
                <w:w w:val="73"/>
                <w:vertAlign w:val="superscript"/>
              </w:rPr>
              <w:t>Lord</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AbbettInvestmentTrust-LAConvertible</w:t>
            </w:r>
          </w:p>
        </w:tc>
        <w:tc>
          <w:tcPr>
            <w:tcW w:w="13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Fund</w:t>
            </w:r>
          </w:p>
        </w:tc>
        <w:tc>
          <w:tcPr>
            <w:tcW w:w="13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Global Opportunities Master Fund Limited.......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Overseas Partners Master Fund LP..............</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Lyxor/AM Investment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43,367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Lyxor/Context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Lyxor/Inflective Convertible Opportunity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20"/>
                <w:szCs w:val="20"/>
                <w:color w:val="auto"/>
                <w:w w:val="70"/>
                <w:vertAlign w:val="superscript"/>
              </w:rPr>
              <w:t>Lyxor Master</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perscript"/>
              </w:rPr>
              <w:t>FundRef:Argent/LowLevCBc/o</w:t>
            </w:r>
          </w:p>
        </w:tc>
        <w:tc>
          <w:tcPr>
            <w:tcW w:w="13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w:t>
            </w:r>
          </w:p>
        </w:tc>
        <w:tc>
          <w:tcPr>
            <w:tcW w:w="13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Bank of Canada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Benefit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Nomura Securities Int'l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Nomura Securities International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World Financial Center,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10281 USA</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Partners Group Alternative Strategies PCC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Primerica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R2 Investments, LDC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15,306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 Amalgamated Gadget, L.P. as Investment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Manager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301 Commerce, Suite 2975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Ft. Worth, TX 76102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Asset Assurance,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Group Convertible Securities...................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Guaranty.......................................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137,987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Ramius Capital Group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18" w:orient="portrait"/>
          <w:cols w:equalWidth="0" w:num="1">
            <w:col w:w="11040"/>
          </w:cols>
          <w:pgMar w:left="220" w:top="116" w:right="639" w:bottom="0" w:gutter="0" w:footer="0" w:header="0"/>
        </w:sectPr>
      </w:pPr>
    </w:p>
    <w:bookmarkStart w:id="61" w:name="page62"/>
    <w:bookmarkEnd w:id="61"/>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Ramius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155,728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RCG Halifax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RCG Latitude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159,670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RCG Multi Strategy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Royal Bank of Canada (Norshield)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11,015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Silver Convertible Arbitrage Fund, LDC................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Sphinx Convertible Arbitrage Fund SPC.................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13,636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Deephaven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Domestic Convertible Trading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State of Florida Division of Treasury................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Froley Revy Investment Co.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10900 Wilshire Blvd. Ste. 900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Los Angeles, CA 90024</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Teachers Insurance and Annuity Association of</w:t>
            </w:r>
          </w:p>
        </w:tc>
        <w:tc>
          <w:tcPr>
            <w:tcW w:w="13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23,300,000</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540,352</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America..............................................</w:t>
            </w:r>
          </w:p>
        </w:tc>
        <w:tc>
          <w:tcPr>
            <w:tcW w:w="13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TIAA-CREF</w:t>
            </w:r>
          </w:p>
        </w:tc>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730 Third</w:t>
            </w:r>
          </w:p>
        </w:tc>
        <w:tc>
          <w:tcPr>
            <w:tcW w:w="32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 USA</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Thomas Weisel Partners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81,168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Thomas Weisel Partners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 Montgomery Street, 37th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Francisco, CA 94104</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Thrivent Financial For Lutherans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Thrivent Financial for Lutherans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625 Fourth Avenue South</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Minneapolis, MN 55415 USA</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0"/>
                <w:szCs w:val="20"/>
                <w:color w:val="auto"/>
              </w:rPr>
            </w:pPr>
            <w:r>
              <w:rPr>
                <w:rFonts w:ascii="Courier New" w:cs="Courier New" w:eastAsia="Courier New" w:hAnsi="Courier New"/>
                <w:sz w:val="14"/>
                <w:szCs w:val="14"/>
                <w:color w:val="auto"/>
              </w:rPr>
              <w:t>Total Fina Elf</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Finance USA,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Travelers Insurance Company - Life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60,389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20"/>
                <w:szCs w:val="20"/>
                <w:color w:val="auto"/>
                <w:w w:val="70"/>
                <w:vertAlign w:val="superscript"/>
              </w:rPr>
              <w:t>Travelers</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perscript"/>
              </w:rPr>
              <w:t>InsuranceCompanySeparateAccount</w:t>
            </w:r>
          </w:p>
        </w:tc>
        <w:tc>
          <w:tcPr>
            <w:tcW w:w="13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88,000</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2,040</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TLAC (1)</w:t>
            </w:r>
          </w:p>
        </w:tc>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0"/>
                <w:szCs w:val="20"/>
                <w:color w:val="auto"/>
              </w:rPr>
            </w:pPr>
            <w:r>
              <w:rPr>
                <w:rFonts w:ascii="Courier New" w:cs="Courier New" w:eastAsia="Courier New" w:hAnsi="Courier New"/>
                <w:sz w:val="14"/>
                <w:szCs w:val="14"/>
                <w:color w:val="auto"/>
              </w:rPr>
              <w:t>Travelers Life</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and Annuity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Travelers Series Trust Convertible Bond Portfolio.....</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University of Arkansas................................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University of Arkansas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18" w:orient="portrait"/>
          <w:cols w:equalWidth="0" w:num="1">
            <w:col w:w="11040"/>
          </w:cols>
          <w:pgMar w:left="220" w:top="115" w:right="6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22"/>
                <w:szCs w:val="22"/>
                <w:color w:val="auto"/>
                <w:w w:val="72"/>
                <w:vertAlign w:val="superscript"/>
              </w:rPr>
              <w:t>Univest Convertible</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perscript"/>
              </w:rPr>
              <w:t>ArbitrageFundIILTD</w:t>
            </w:r>
          </w:p>
        </w:tc>
        <w:tc>
          <w:tcPr>
            <w:tcW w:w="12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175,000</w:t>
            </w:r>
          </w:p>
        </w:tc>
        <w:tc>
          <w:tcPr>
            <w:tcW w:w="14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(Norshield)</w:t>
            </w:r>
          </w:p>
        </w:tc>
        <w:tc>
          <w:tcPr>
            <w:tcW w:w="12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Vermont Mutual Insurance Company......................</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Wachovia Securities International Ltd. (1)(2).........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115,955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201 S. College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Charlotte, NC 28214</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White River Securities L.L.C.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Worldwide Transactions Ltd............................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Worldwide Transactions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Washington Mall-Phase 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Church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 11  Bermuda</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Xavex Convertible Arbitrage 5 Fund....................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Xavex Convertible Arbitrage 10 Fund...................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14,842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Xavex Convertible Arbitrage 2 Fund....................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Courier New" w:cs="Courier New" w:eastAsia="Courier New" w:hAnsi="Courier New"/>
                <w:sz w:val="14"/>
                <w:szCs w:val="14"/>
                <w:color w:val="auto"/>
              </w:rPr>
              <w:t>Any other holder of notes or future transferee,</w:t>
            </w:r>
          </w:p>
        </w:tc>
        <w:tc>
          <w:tcPr>
            <w:tcW w:w="12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95,315,000</w:t>
            </w:r>
          </w:p>
        </w:tc>
        <w:tc>
          <w:tcPr>
            <w:tcW w:w="14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2,210,504</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600" w:type="dxa"/>
            <w:vAlign w:val="bottom"/>
          </w:tcPr>
          <w:p>
            <w:pPr>
              <w:spacing w:after="0"/>
              <w:rPr>
                <w:sz w:val="20"/>
                <w:szCs w:val="20"/>
                <w:color w:val="auto"/>
              </w:rPr>
            </w:pPr>
            <w:r>
              <w:rPr>
                <w:rFonts w:ascii="Courier New" w:cs="Courier New" w:eastAsia="Courier New" w:hAnsi="Courier New"/>
                <w:sz w:val="14"/>
                <w:szCs w:val="14"/>
                <w:color w:val="auto"/>
              </w:rPr>
              <w:t>pledgee, donee or successor of any holder (3).......</w:t>
            </w:r>
          </w:p>
        </w:tc>
        <w:tc>
          <w:tcPr>
            <w:tcW w:w="122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040"/>
          </w:cols>
          <w:pgMar w:left="220" w:top="116" w:right="639" w:bottom="1440" w:gutter="0" w:footer="0" w:header="0"/>
        </w:sectPr>
      </w:pPr>
    </w:p>
    <w:bookmarkStart w:id="63" w:name="page64"/>
    <w:bookmarkEnd w:id="63"/>
    <w:p>
      <w:pPr>
        <w:ind w:left="171" w:hanging="171"/>
        <w:spacing w:after="0"/>
        <w:tabs>
          <w:tab w:leader="none" w:pos="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49" w:lineRule="exact"/>
        <w:rPr>
          <w:sz w:val="20"/>
          <w:szCs w:val="20"/>
          <w:color w:val="auto"/>
        </w:rPr>
      </w:pPr>
    </w:p>
    <w:p>
      <w:pPr>
        <w:ind w:left="791" w:right="3379" w:hanging="531"/>
        <w:spacing w:after="0" w:line="285"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59" w:lineRule="exact"/>
        <w:rPr>
          <w:rFonts w:ascii="Courier New" w:cs="Courier New" w:eastAsia="Courier New" w:hAnsi="Courier New"/>
          <w:sz w:val="14"/>
          <w:szCs w:val="14"/>
          <w:color w:val="auto"/>
        </w:rPr>
      </w:pPr>
    </w:p>
    <w:p>
      <w:pPr>
        <w:ind w:left="791" w:right="3979" w:hanging="531"/>
        <w:spacing w:after="0" w:line="378"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 registered broker-dealer and an "underwriter" within the meaning of the Securities Act.</w:t>
      </w:r>
    </w:p>
    <w:p>
      <w:pPr>
        <w:spacing w:after="0" w:line="1" w:lineRule="exact"/>
        <w:rPr>
          <w:rFonts w:ascii="Courier New" w:cs="Courier New" w:eastAsia="Courier New" w:hAnsi="Courier New"/>
          <w:sz w:val="14"/>
          <w:szCs w:val="14"/>
          <w:color w:val="auto"/>
        </w:rPr>
      </w:pPr>
    </w:p>
    <w:p>
      <w:pPr>
        <w:ind w:left="791" w:right="3379" w:hanging="531"/>
        <w:spacing w:after="0" w:line="278"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0"/>
          </w:cols>
          <w:pgMar w:left="229" w:top="594" w:right="1440" w:bottom="1440" w:gutter="0" w:footer="0" w:header="0"/>
        </w:sectPr>
      </w:pPr>
    </w:p>
    <w:bookmarkStart w:id="64" w:name="page65"/>
    <w:bookmarkEnd w:id="64"/>
    <w:p>
      <w:pPr>
        <w:ind w:left="2180"/>
        <w:spacing w:after="0"/>
        <w:rPr>
          <w:sz w:val="20"/>
          <w:szCs w:val="20"/>
          <w:color w:val="auto"/>
        </w:rPr>
      </w:pPr>
      <w:r>
        <w:rPr>
          <w:rFonts w:ascii="Courier New" w:cs="Courier New" w:eastAsia="Courier New" w:hAnsi="Courier New"/>
          <w:sz w:val="14"/>
          <w:szCs w:val="14"/>
          <w:color w:val="auto"/>
        </w:rPr>
        <w:t>VOTING/INVESTMENT CONTROL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NAME OF SELLING SECURITYHOLDER</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NATURAL PERSON OR PERSONS WITH VOTING/INVESTMENT CONTROL</w:t>
            </w:r>
          </w:p>
        </w:tc>
        <w:tc>
          <w:tcPr>
            <w:tcW w:w="0" w:type="dxa"/>
            <w:vAlign w:val="bottom"/>
          </w:tcPr>
          <w:p>
            <w:pPr>
              <w:spacing w:after="0"/>
              <w:rPr>
                <w:sz w:val="1"/>
                <w:szCs w:val="1"/>
                <w:color w:val="auto"/>
              </w:rPr>
            </w:pPr>
          </w:p>
        </w:tc>
      </w:tr>
      <w:tr>
        <w:trPr>
          <w:trHeight w:val="244"/>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5400" w:type="dxa"/>
            <w:vAlign w:val="bottom"/>
          </w:tcPr>
          <w:p>
            <w:pPr>
              <w:spacing w:after="0"/>
              <w:rPr>
                <w:sz w:val="20"/>
                <w:szCs w:val="20"/>
                <w:color w:val="auto"/>
              </w:rPr>
            </w:pPr>
            <w:r>
              <w:rPr>
                <w:rFonts w:ascii="Courier New" w:cs="Courier New" w:eastAsia="Courier New" w:hAnsi="Courier New"/>
                <w:sz w:val="14"/>
                <w:szCs w:val="14"/>
                <w:color w:val="auto"/>
              </w:rPr>
              <w:t>Acuity Master Fund,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Howard Needle and David J. Harris</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Allstate Insurance Company....................................</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Allstate Life Insurance Company...............................</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AM Master Fund I, LP.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Adam Stern and Mark Friedman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AM International E MAC 63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Adam Sterm and Mark Friedman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American Investors Life Insurance Co.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Thomas J. Ray</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AmerUs Life Insurance Company.................................</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Thomas J. Ray</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The Animi Master Fund,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Arbitex Master Fund L.P.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Clark Hunt, Jonathan Bren and Ken Tananbaum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(Bermuda)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II, L.P.............</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L.P.................</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LLC.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II, LLC.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Aviva Life Insurance Co.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David Clott</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Aviva Life Insurance Co.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David Clott</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Bankers Life Insurance Company of New York....................</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Thomas J. Ray</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Bear, Stearns &amp; Co. Inc.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Yan Erlikh &amp; David Liebowitz</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Clint D. Carlson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Black Diamond Offshore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Clint D. Carlson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Citadel Credit Trading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Citadel Equity Fund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Citigroup Global Markets Inc.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Class C Trading Company,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Commissioners of the Land Office..............................</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Fund, LP.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Michael Rosen and William Fertig</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Offshore Fund,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Michael Rosen and William Fertig</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Credit Suisse First Bostan Europe Ltd.........................</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Gerry Murtagh</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Custom Investments PCC,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Deephaven Domestic Convertible Trading Ltd.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Colin Smith</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Deutsche Bank Securities Inc.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Diaco Investments LP.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Simon Glick</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Clint D. Carlson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Georgia Firefighters Pension Fund.............................</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GLG Market Neutral Fund.......................................</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Guggenheim Portfolio Co. XV, LLC.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Alex Adair</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HFR CA Global Select Master Trust Account.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Courier New" w:cs="Courier New" w:eastAsia="Courier New" w:hAnsi="Courier New"/>
                <w:sz w:val="14"/>
                <w:szCs w:val="14"/>
                <w:color w:val="auto"/>
              </w:rPr>
              <w:t>HSBC Asset Management (Americas) Inc. for the HSBC</w:t>
            </w:r>
          </w:p>
        </w:tc>
        <w:tc>
          <w:tcPr>
            <w:tcW w:w="4860" w:type="dxa"/>
            <w:vAlign w:val="bottom"/>
            <w:vMerge w:val="restart"/>
          </w:tcPr>
          <w:p>
            <w:pPr>
              <w:spacing w:after="0"/>
              <w:rPr>
                <w:sz w:val="20"/>
                <w:szCs w:val="20"/>
                <w:color w:val="auto"/>
              </w:rPr>
            </w:pPr>
            <w:r>
              <w:rPr>
                <w:rFonts w:ascii="Courier New" w:cs="Courier New" w:eastAsia="Courier New" w:hAnsi="Courier New"/>
                <w:sz w:val="14"/>
                <w:szCs w:val="14"/>
                <w:color w:val="auto"/>
              </w:rPr>
              <w:t>Warren Stein and John Moore Stanley</w:t>
            </w: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0"/>
                <w:szCs w:val="20"/>
                <w:color w:val="auto"/>
              </w:rPr>
            </w:pPr>
            <w:r>
              <w:rPr>
                <w:rFonts w:ascii="Courier New" w:cs="Courier New" w:eastAsia="Courier New" w:hAnsi="Courier New"/>
                <w:sz w:val="14"/>
                <w:szCs w:val="14"/>
                <w:color w:val="auto"/>
              </w:rPr>
              <w:t>Multi-Strategy Arbitrage Fund.................................</w:t>
            </w:r>
          </w:p>
        </w:tc>
        <w:tc>
          <w:tcPr>
            <w:tcW w:w="4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Huntrise Capital Leveraged Partners, LLC.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Thomas J. Ray</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Indianapolis Life Insurance Co.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Thomas J. Ray</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L.P. ..............</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Thomas J. Ray</w:t>
            </w:r>
          </w:p>
        </w:tc>
        <w:tc>
          <w:tcPr>
            <w:tcW w:w="0" w:type="dxa"/>
            <w:vAlign w:val="bottom"/>
          </w:tcPr>
          <w:p>
            <w:pPr>
              <w:spacing w:after="0"/>
              <w:rPr>
                <w:sz w:val="1"/>
                <w:szCs w:val="1"/>
                <w:color w:val="auto"/>
              </w:rPr>
            </w:pPr>
          </w:p>
        </w:tc>
      </w:tr>
    </w:tbl>
    <w:p>
      <w:pPr>
        <w:sectPr>
          <w:pgSz w:w="11900" w:h="16838" w:orient="portrait"/>
          <w:cols w:equalWidth="0" w:num="1">
            <w:col w:w="10260"/>
          </w:cols>
          <w:pgMar w:left="220" w:top="427" w:right="1419" w:bottom="0" w:gutter="0" w:footer="0" w:header="0"/>
        </w:sectPr>
      </w:pPr>
    </w:p>
    <w:bookmarkStart w:id="65" w:name="page66"/>
    <w:bookmarkEnd w:id="65"/>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LTD.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Thomas J. Ray</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Injured Workers Insurance Fund................................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Intl. Truck &amp; Engine Corp. Non Contributory Retirement</w:t>
            </w:r>
          </w:p>
        </w:tc>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0"/>
                <w:szCs w:val="20"/>
                <w:color w:val="auto"/>
              </w:rPr>
            </w:pPr>
            <w:r>
              <w:rPr>
                <w:rFonts w:ascii="Courier New" w:cs="Courier New" w:eastAsia="Courier New" w:hAnsi="Courier New"/>
                <w:sz w:val="14"/>
                <w:szCs w:val="14"/>
                <w:color w:val="auto"/>
              </w:rPr>
              <w:t>Plan Trust....................................................</w:t>
            </w:r>
          </w:p>
        </w:tc>
        <w:tc>
          <w:tcPr>
            <w:tcW w:w="3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Intl. Truck &amp; Engine Corp. Retirement Plan for Salaried</w:t>
            </w:r>
          </w:p>
        </w:tc>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0"/>
                <w:szCs w:val="20"/>
                <w:color w:val="auto"/>
              </w:rPr>
            </w:pPr>
            <w:r>
              <w:rPr>
                <w:rFonts w:ascii="Courier New" w:cs="Courier New" w:eastAsia="Courier New" w:hAnsi="Courier New"/>
                <w:sz w:val="14"/>
                <w:szCs w:val="14"/>
                <w:color w:val="auto"/>
              </w:rPr>
              <w:t>Employee's Trust..............................................</w:t>
            </w:r>
          </w:p>
        </w:tc>
        <w:tc>
          <w:tcPr>
            <w:tcW w:w="3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Jefferies Umbrella Fund US Convertible Bonds..................</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Andre Sager and Evelyne Kaser</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JP Morgan Securities Inc.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Craig Petherick</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KBC Financial Products USA Inc.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KeySpan Foundation............................................</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KeySpan Insurance Company.....................................</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Lehman Brothers...............................................</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Kevin Lowe</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Lord Abbett Investment Trust - LA Convertible Fund............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Lydian Overseas Partners Master Fund..........................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Lydian Global Opportunities Master Fund Limited...............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Lyxor/AM Investment Fund LTD.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Lyxor/Context Fund LTD.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Michael Rosen and William Fertig</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Lyxor/Inflective Convertible Opportunity Fund LTD.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Thomas J. Ray</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Lyxor Master Fund Ref: Argent/LowLev CB c/o Argent............</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National Bank of Canada.......................................</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Michael Rosen and William Fertig</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National Benefit Life Insurance Company.......................</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David A. Tyson and Robert Simmons</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Nomura Securities Int'l Inc.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Simon Pharr</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Partners Group Alternative Strategies PCC LTD.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Primerica Life Insurance Company..............................</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David A. Tyson and Robert Simmons</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R2 Investments, LDC.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Radian Asset Assurance, Inc.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Radian Group Convertible Securities...........................</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Radian Guaranty...............................................</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Ramius Capital Group..........................................</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Alex Adair</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Ramius Master Fund, LTD.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Alex Adair</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RCG Halifax Master Fund, LTD.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Alex Adair</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RCG Latitude Master Fund, LTD.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Alex Adair</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RCG Multi Strategy Master Fund, LTD.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Alex Adair</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Royal Bank of Canada (Norshield)..............................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Michael Rosen and William Fertig</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Silver Convertible Arbitrage Fund, LDC.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Sphinx Convertible Arbitrage Fund SPC.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Colin Smith</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State of Florida Division of Treasury.........................</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Ann Houlihan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Teachers Insurance and Annuity Association of America.........</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Elizabeth Black and Edward L. Toy</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Thrivent Financial For Lutherans..............................</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Thomas Weisel Partners........................................</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Tim Heekin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Total Fina Elf Finance USA, Inc. .............................</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 Life............................</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David A. Tyson and Robert Simmons</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Separate Account TLAC.............</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David A. Tyson and Robert Simmons</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Travelers Life and Annuity Company............................</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David A. Tyson and Robert Simmons</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Travelers Series Trust Convertible Bond Portfolio.............</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David A. Tyson and Robert Simmons</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University of Arkansas........................................</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University of Arkansas Foundation.............................</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Univest Convertible Arbitrage Fund II LTD (Norshield).........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Michael Rosen and William Fertig</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Vermont Mutual Insurance Company..............................</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Maren Lindstrom</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Wachovia Securities International Ltd.........................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Evic Peyton</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White River Securities L.L.C..................................</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Yan Erlikh &amp; David Liebowitz</w:t>
            </w:r>
          </w:p>
        </w:tc>
        <w:tc>
          <w:tcPr>
            <w:tcW w:w="0" w:type="dxa"/>
            <w:vAlign w:val="bottom"/>
          </w:tcPr>
          <w:p>
            <w:pPr>
              <w:spacing w:after="0"/>
              <w:rPr>
                <w:sz w:val="1"/>
                <w:szCs w:val="1"/>
                <w:color w:val="auto"/>
              </w:rPr>
            </w:pPr>
          </w:p>
        </w:tc>
      </w:tr>
    </w:tbl>
    <w:p>
      <w:pPr>
        <w:sectPr>
          <w:pgSz w:w="11900" w:h="16918" w:orient="portrait"/>
          <w:cols w:equalWidth="0" w:num="1">
            <w:col w:w="10239"/>
          </w:cols>
          <w:pgMar w:left="220" w:top="116" w:right="1440"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0" w:type="dxa"/>
            <w:vAlign w:val="bottom"/>
            <w:gridSpan w:val="3"/>
          </w:tcPr>
          <w:p>
            <w:pPr>
              <w:spacing w:after="0"/>
              <w:rPr>
                <w:sz w:val="20"/>
                <w:szCs w:val="20"/>
                <w:color w:val="auto"/>
              </w:rPr>
            </w:pPr>
            <w:r>
              <w:rPr>
                <w:rFonts w:ascii="Courier New" w:cs="Courier New" w:eastAsia="Courier New" w:hAnsi="Courier New"/>
                <w:sz w:val="14"/>
                <w:szCs w:val="14"/>
                <w:color w:val="auto"/>
              </w:rPr>
              <w:t>Worldwide Transactions Ltd.</w:t>
            </w: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(12)</w:t>
            </w:r>
          </w:p>
        </w:tc>
      </w:tr>
      <w:tr>
        <w:trPr>
          <w:trHeight w:val="334"/>
        </w:trPr>
        <w:tc>
          <w:tcPr>
            <w:tcW w:w="2400" w:type="dxa"/>
            <w:vAlign w:val="bottom"/>
            <w:gridSpan w:val="3"/>
          </w:tcPr>
          <w:p>
            <w:pPr>
              <w:spacing w:after="0"/>
              <w:rPr>
                <w:sz w:val="20"/>
                <w:szCs w:val="20"/>
                <w:color w:val="auto"/>
              </w:rPr>
            </w:pPr>
            <w:r>
              <w:rPr>
                <w:rFonts w:ascii="Courier New" w:cs="Courier New" w:eastAsia="Courier New" w:hAnsi="Courier New"/>
                <w:sz w:val="14"/>
                <w:szCs w:val="14"/>
                <w:color w:val="auto"/>
              </w:rPr>
              <w:t>Xavex Convertible Arbitrage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Fund............................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Alex Adair</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Xavex</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Arbitrage</w:t>
            </w:r>
          </w:p>
        </w:tc>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 Fund...........................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Xavex</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Convertible</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Arbitrage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Fund............................</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Nathanial Brown and Robert Richardson</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0" w:right="3379" w:hanging="791"/>
        <w:spacing w:after="0" w:line="29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54" w:lineRule="exact"/>
        <w:rPr>
          <w:rFonts w:ascii="Courier New" w:cs="Courier New" w:eastAsia="Courier New" w:hAnsi="Courier New"/>
          <w:sz w:val="14"/>
          <w:szCs w:val="14"/>
          <w:color w:val="auto"/>
        </w:rPr>
      </w:pPr>
    </w:p>
    <w:p>
      <w:pPr>
        <w:ind w:left="800" w:right="3279" w:hanging="791"/>
        <w:spacing w:after="0" w:line="27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Animi Master Fund, Ltd.</w:t>
      </w:r>
    </w:p>
    <w:p>
      <w:pPr>
        <w:spacing w:after="0" w:line="67" w:lineRule="exact"/>
        <w:rPr>
          <w:rFonts w:ascii="Courier New" w:cs="Courier New" w:eastAsia="Courier New" w:hAnsi="Courier New"/>
          <w:sz w:val="14"/>
          <w:szCs w:val="14"/>
          <w:color w:val="auto"/>
        </w:rPr>
      </w:pPr>
    </w:p>
    <w:p>
      <w:pPr>
        <w:ind w:left="800" w:right="3279" w:hanging="791"/>
        <w:spacing w:after="0" w:line="28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 Investment Partners LLC has the authority to vote over the Company's securities as Investment Managers. The principals of AM Investment Partners LLC are Adam Stern and Mark Friedman and as a result, they exercise voting and investment control over the securities held by the selling securityholder.</w:t>
      </w:r>
    </w:p>
    <w:p>
      <w:pPr>
        <w:spacing w:after="0" w:line="59" w:lineRule="exact"/>
        <w:rPr>
          <w:rFonts w:ascii="Courier New" w:cs="Courier New" w:eastAsia="Courier New" w:hAnsi="Courier New"/>
          <w:sz w:val="14"/>
          <w:szCs w:val="14"/>
          <w:color w:val="auto"/>
        </w:rPr>
      </w:pPr>
    </w:p>
    <w:p>
      <w:pPr>
        <w:ind w:left="800" w:right="3379" w:hanging="791"/>
        <w:spacing w:after="0" w:line="271"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 therefore has ultimate investment discretion over securities held by the securityholder. Mr. Griffin disclaims beneficial ownership of the shares held by the securityholder.</w:t>
      </w:r>
    </w:p>
    <w:p>
      <w:pPr>
        <w:spacing w:after="0" w:line="69" w:lineRule="exact"/>
        <w:rPr>
          <w:rFonts w:ascii="Courier New" w:cs="Courier New" w:eastAsia="Courier New" w:hAnsi="Courier New"/>
          <w:sz w:val="14"/>
          <w:szCs w:val="14"/>
          <w:color w:val="auto"/>
        </w:rPr>
      </w:pPr>
    </w:p>
    <w:p>
      <w:pPr>
        <w:ind w:left="800" w:right="3899" w:hanging="791"/>
        <w:spacing w:after="0" w:line="317"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Citigroup Global Markets Inc. is an indirect wholly owned subsidiary of Citigroup Inc., which is a reporting company under the Exchange Act.</w:t>
      </w:r>
    </w:p>
    <w:p>
      <w:pPr>
        <w:spacing w:after="0" w:line="39" w:lineRule="exact"/>
        <w:rPr>
          <w:rFonts w:ascii="Courier New" w:cs="Courier New" w:eastAsia="Courier New" w:hAnsi="Courier New"/>
          <w:sz w:val="14"/>
          <w:szCs w:val="14"/>
          <w:color w:val="auto"/>
        </w:rPr>
      </w:pPr>
    </w:p>
    <w:p>
      <w:pPr>
        <w:ind w:left="800" w:right="4239" w:hanging="791"/>
        <w:spacing w:after="0" w:line="378"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reporting entity with the Securities and Exchange Commission.</w:t>
      </w:r>
    </w:p>
    <w:p>
      <w:pPr>
        <w:spacing w:after="0" w:line="1" w:lineRule="exact"/>
        <w:rPr>
          <w:rFonts w:ascii="Courier New" w:cs="Courier New" w:eastAsia="Courier New" w:hAnsi="Courier New"/>
          <w:sz w:val="14"/>
          <w:szCs w:val="14"/>
          <w:color w:val="auto"/>
        </w:rPr>
      </w:pPr>
    </w:p>
    <w:p>
      <w:pPr>
        <w:ind w:left="800" w:right="3279" w:hanging="791"/>
        <w:spacing w:after="0" w:line="26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77" w:lineRule="exact"/>
        <w:rPr>
          <w:rFonts w:ascii="Courier New" w:cs="Courier New" w:eastAsia="Courier New" w:hAnsi="Courier New"/>
          <w:sz w:val="14"/>
          <w:szCs w:val="14"/>
          <w:color w:val="auto"/>
        </w:rPr>
      </w:pPr>
    </w:p>
    <w:p>
      <w:pPr>
        <w:ind w:left="800" w:right="3279" w:hanging="791"/>
        <w:spacing w:after="0" w:line="28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59" w:lineRule="exact"/>
        <w:rPr>
          <w:rFonts w:ascii="Courier New" w:cs="Courier New" w:eastAsia="Courier New" w:hAnsi="Courier New"/>
          <w:sz w:val="14"/>
          <w:szCs w:val="14"/>
          <w:color w:val="auto"/>
        </w:rPr>
      </w:pPr>
    </w:p>
    <w:p>
      <w:pPr>
        <w:ind w:left="800" w:right="3379" w:hanging="791"/>
        <w:spacing w:after="0" w:line="29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54" w:lineRule="exact"/>
        <w:rPr>
          <w:rFonts w:ascii="Courier New" w:cs="Courier New" w:eastAsia="Courier New" w:hAnsi="Courier New"/>
          <w:sz w:val="14"/>
          <w:szCs w:val="14"/>
          <w:color w:val="auto"/>
        </w:rPr>
      </w:pPr>
    </w:p>
    <w:p>
      <w:pPr>
        <w:jc w:val="both"/>
        <w:ind w:left="800" w:right="3379" w:hanging="791"/>
        <w:spacing w:after="0" w:line="26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has the sole power to vote or direct the vote and to dispose or direct the disposition of the securities pursuant to an Investment Management Agreement with R2 Investments, LDC.</w:t>
      </w:r>
    </w:p>
    <w:p>
      <w:pPr>
        <w:spacing w:after="0" w:line="1" w:lineRule="exact"/>
        <w:rPr>
          <w:rFonts w:ascii="Courier New" w:cs="Courier New" w:eastAsia="Courier New" w:hAnsi="Courier New"/>
          <w:sz w:val="14"/>
          <w:szCs w:val="14"/>
          <w:color w:val="auto"/>
        </w:rPr>
      </w:pPr>
    </w:p>
    <w:p>
      <w:pPr>
        <w:jc w:val="both"/>
        <w:ind w:left="800" w:right="345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is controlled by Scepter Holdings, Inc., its sole general partner, which is in turn controlled by Geoffrey Raynor, the president and sole shareholder of Scepter Holdings, Inc.</w:t>
      </w:r>
    </w:p>
    <w:p>
      <w:pPr>
        <w:spacing w:after="0" w:line="5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Pickering, Michael Swendsen, Mark Swanson and Rand Mattsson</w:t>
      </w:r>
    </w:p>
    <w:p>
      <w:pPr>
        <w:spacing w:after="0" w:line="175" w:lineRule="exact"/>
        <w:rPr>
          <w:rFonts w:ascii="Courier New" w:cs="Courier New" w:eastAsia="Courier New" w:hAnsi="Courier New"/>
          <w:sz w:val="14"/>
          <w:szCs w:val="14"/>
          <w:color w:val="auto"/>
        </w:rPr>
      </w:pPr>
    </w:p>
    <w:p>
      <w:pPr>
        <w:ind w:left="800" w:right="3279" w:hanging="791"/>
        <w:spacing w:after="0" w:line="271"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2" w:right="1440" w:bottom="811" w:gutter="0" w:footer="0" w:header="0"/>
        </w:sectPr>
      </w:pPr>
    </w:p>
    <w:bookmarkStart w:id="67" w:name="page68"/>
    <w:bookmarkEnd w:id="67"/>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51" w:lineRule="exact"/>
        <w:rPr>
          <w:sz w:val="20"/>
          <w:szCs w:val="20"/>
          <w:color w:val="auto"/>
        </w:rPr>
      </w:pPr>
    </w:p>
    <w:p>
      <w:pPr>
        <w:jc w:val="both"/>
        <w:ind w:left="1320" w:right="3279" w:hanging="530"/>
        <w:spacing w:after="0" w:line="37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notes and shares may be listed or quoted at the time of sale;</w:t>
      </w:r>
    </w:p>
    <w:p>
      <w:pPr>
        <w:spacing w:after="0" w:line="1"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 or</w:t>
      </w:r>
    </w:p>
    <w:p>
      <w:pPr>
        <w:spacing w:after="0" w:line="175" w:lineRule="exact"/>
        <w:rPr>
          <w:rFonts w:ascii="Courier New" w:cs="Courier New" w:eastAsia="Courier New" w:hAnsi="Courier New"/>
          <w:sz w:val="14"/>
          <w:szCs w:val="14"/>
          <w:color w:val="auto"/>
        </w:rPr>
      </w:pPr>
    </w:p>
    <w:p>
      <w:pPr>
        <w:ind w:left="1320" w:right="3459" w:hanging="530"/>
        <w:spacing w:after="0" w:line="37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w:t>
      </w:r>
    </w:p>
    <w:p>
      <w:pPr>
        <w:spacing w:after="0" w:line="1" w:lineRule="exact"/>
        <w:rPr>
          <w:sz w:val="20"/>
          <w:szCs w:val="20"/>
          <w:color w:val="auto"/>
        </w:rPr>
      </w:pPr>
    </w:p>
    <w:p>
      <w:pPr>
        <w:ind w:right="3539" w:firstLine="781"/>
        <w:spacing w:after="0" w:line="317" w:lineRule="auto"/>
        <w:rPr>
          <w:sz w:val="20"/>
          <w:szCs w:val="20"/>
          <w:color w:val="auto"/>
        </w:rPr>
      </w:pPr>
      <w:r>
        <w:rPr>
          <w:rFonts w:ascii="Courier New" w:cs="Courier New" w:eastAsia="Courier New" w:hAnsi="Courier New"/>
          <w:sz w:val="14"/>
          <w:szCs w:val="14"/>
          <w:color w:val="auto"/>
        </w:rPr>
        <w:t>In addition, the selling securityholders may sell ordinary shares issuable upon conversion of the notes by one or more of, or a combination of, the following methods:</w:t>
      </w:r>
    </w:p>
    <w:p>
      <w:pPr>
        <w:spacing w:after="0" w:line="39" w:lineRule="exact"/>
        <w:rPr>
          <w:sz w:val="20"/>
          <w:szCs w:val="20"/>
          <w:color w:val="auto"/>
        </w:rPr>
      </w:pPr>
    </w:p>
    <w:p>
      <w:pPr>
        <w:ind w:left="1320" w:right="3539" w:hanging="530"/>
        <w:spacing w:after="0" w:line="37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broker-dealer as principal and resale by such broker-dealer for its own account pursuant to this prospectus;</w:t>
      </w:r>
    </w:p>
    <w:p>
      <w:pPr>
        <w:spacing w:after="0" w:line="1" w:lineRule="exact"/>
        <w:rPr>
          <w:rFonts w:ascii="Courier New" w:cs="Courier New" w:eastAsia="Courier New" w:hAnsi="Courier New"/>
          <w:sz w:val="14"/>
          <w:szCs w:val="14"/>
          <w:color w:val="auto"/>
        </w:rPr>
      </w:pPr>
    </w:p>
    <w:p>
      <w:pPr>
        <w:ind w:left="1320" w:right="3639" w:hanging="530"/>
        <w:spacing w:after="0" w:line="37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 and transactions in which the broker solicits purchasers;</w:t>
      </w:r>
    </w:p>
    <w:p>
      <w:pPr>
        <w:spacing w:after="0" w:line="1" w:lineRule="exact"/>
        <w:rPr>
          <w:rFonts w:ascii="Courier New" w:cs="Courier New" w:eastAsia="Courier New" w:hAnsi="Courier New"/>
          <w:sz w:val="14"/>
          <w:szCs w:val="14"/>
          <w:color w:val="auto"/>
        </w:rPr>
      </w:pPr>
    </w:p>
    <w:p>
      <w:pPr>
        <w:ind w:left="1320" w:right="3279" w:hanging="530"/>
        <w:spacing w:after="0" w:line="317"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trades in which the broker-dealer so engaged will attempt to sell the shares as agent but may position and resell a portion of the block as principal to facilitate the transaction;</w:t>
      </w:r>
    </w:p>
    <w:p>
      <w:pPr>
        <w:spacing w:after="0" w:line="3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privately negotiated transactions;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options transactions.</w:t>
      </w:r>
    </w:p>
    <w:p>
      <w:pPr>
        <w:spacing w:after="0" w:line="175" w:lineRule="exact"/>
        <w:rPr>
          <w:sz w:val="20"/>
          <w:szCs w:val="20"/>
          <w:color w:val="auto"/>
        </w:rPr>
      </w:pPr>
    </w:p>
    <w:p>
      <w:pPr>
        <w:ind w:right="3799" w:firstLine="781"/>
        <w:spacing w:after="0" w:line="378" w:lineRule="auto"/>
        <w:rPr>
          <w:sz w:val="20"/>
          <w:szCs w:val="20"/>
          <w:color w:val="auto"/>
        </w:rPr>
      </w:pPr>
      <w:r>
        <w:rPr>
          <w:rFonts w:ascii="Courier New" w:cs="Courier New" w:eastAsia="Courier New" w:hAnsi="Courier New"/>
          <w:sz w:val="14"/>
          <w:szCs w:val="14"/>
          <w:color w:val="auto"/>
        </w:rPr>
        <w:t>In addition, the selling securityholders may sell any shares that qualify for sale under Rule 144 rather than pursuant to this prospectus.</w:t>
      </w:r>
    </w:p>
    <w:p>
      <w:pPr>
        <w:spacing w:after="0" w:line="1"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77"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55"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w:t>
      </w:r>
    </w:p>
    <w:p>
      <w:pPr>
        <w:spacing w:after="0" w:line="5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594" w:right="1440" w:bottom="1440" w:gutter="0" w:footer="0" w:header="0"/>
        </w:sectPr>
      </w:pPr>
    </w:p>
    <w:bookmarkStart w:id="68" w:name="page69"/>
    <w:bookmarkEnd w:id="68"/>
    <w:p>
      <w:pPr>
        <w:ind w:right="3459"/>
        <w:spacing w:after="0" w:line="317" w:lineRule="auto"/>
        <w:rPr>
          <w:sz w:val="20"/>
          <w:szCs w:val="20"/>
          <w:color w:val="auto"/>
        </w:rPr>
      </w:pPr>
      <w:r>
        <w:rPr>
          <w:rFonts w:ascii="Courier New" w:cs="Courier New" w:eastAsia="Courier New" w:hAnsi="Courier New"/>
          <w:sz w:val="14"/>
          <w:szCs w:val="14"/>
          <w:color w:val="auto"/>
        </w:rPr>
        <w:t>with such sales. Any profits realized by the selling securityholders and the compensation of any broker-dealer may be treated as underwriting discounts and commissions.</w:t>
      </w:r>
    </w:p>
    <w:p>
      <w:pPr>
        <w:spacing w:after="0" w:line="3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ordinary shares are listed on the New York Stock Exchange.</w:t>
      </w:r>
    </w:p>
    <w:p>
      <w:pPr>
        <w:spacing w:after="0" w:line="175" w:lineRule="exact"/>
        <w:rPr>
          <w:sz w:val="20"/>
          <w:szCs w:val="20"/>
          <w:color w:val="auto"/>
        </w:rPr>
      </w:pPr>
    </w:p>
    <w:p>
      <w:pPr>
        <w:ind w:right="3279" w:firstLine="781"/>
        <w:spacing w:after="0" w:line="271" w:lineRule="auto"/>
        <w:rPr>
          <w:sz w:val="20"/>
          <w:szCs w:val="20"/>
          <w:color w:val="auto"/>
        </w:rPr>
      </w:pPr>
      <w:r>
        <w:rPr>
          <w:rFonts w:ascii="Courier New" w:cs="Courier New" w:eastAsia="Courier New" w:hAnsi="Courier New"/>
          <w:sz w:val="14"/>
          <w:szCs w:val="14"/>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70" w:lineRule="exact"/>
        <w:rPr>
          <w:sz w:val="20"/>
          <w:szCs w:val="20"/>
          <w:color w:val="auto"/>
        </w:rPr>
      </w:pPr>
    </w:p>
    <w:p>
      <w:pPr>
        <w:ind w:right="3279" w:firstLine="781"/>
        <w:spacing w:after="0" w:line="263" w:lineRule="auto"/>
        <w:rPr>
          <w:sz w:val="20"/>
          <w:szCs w:val="20"/>
          <w:color w:val="auto"/>
        </w:rPr>
      </w:pPr>
      <w:r>
        <w:rPr>
          <w:rFonts w:ascii="Courier New" w:cs="Courier New" w:eastAsia="Courier New" w:hAnsi="Courier New"/>
          <w:sz w:val="14"/>
          <w:szCs w:val="14"/>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77" w:lineRule="exact"/>
        <w:rPr>
          <w:sz w:val="20"/>
          <w:szCs w:val="20"/>
          <w:color w:val="auto"/>
        </w:rPr>
      </w:pPr>
    </w:p>
    <w:p>
      <w:pPr>
        <w:ind w:right="3379" w:firstLine="781"/>
        <w:spacing w:after="0" w:line="267" w:lineRule="auto"/>
        <w:rPr>
          <w:sz w:val="20"/>
          <w:szCs w:val="20"/>
          <w:color w:val="auto"/>
        </w:rPr>
      </w:pPr>
      <w:r>
        <w:rPr>
          <w:rFonts w:ascii="Courier New" w:cs="Courier New" w:eastAsia="Courier New" w:hAnsi="Courier New"/>
          <w:sz w:val="14"/>
          <w:szCs w:val="14"/>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72" w:lineRule="exact"/>
        <w:rPr>
          <w:sz w:val="20"/>
          <w:szCs w:val="20"/>
          <w:color w:val="auto"/>
        </w:rPr>
      </w:pPr>
    </w:p>
    <w:p>
      <w:pPr>
        <w:ind w:right="3279" w:firstLine="781"/>
        <w:spacing w:after="0" w:line="285" w:lineRule="auto"/>
        <w:rPr>
          <w:sz w:val="20"/>
          <w:szCs w:val="20"/>
          <w:color w:val="auto"/>
        </w:rPr>
      </w:pPr>
      <w:r>
        <w:rPr>
          <w:rFonts w:ascii="Courier New" w:cs="Courier New" w:eastAsia="Courier New" w:hAnsi="Courier New"/>
          <w:sz w:val="14"/>
          <w:szCs w:val="14"/>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60" w:lineRule="exact"/>
        <w:rPr>
          <w:sz w:val="20"/>
          <w:szCs w:val="20"/>
          <w:color w:val="auto"/>
        </w:rPr>
      </w:pPr>
    </w:p>
    <w:p>
      <w:pPr>
        <w:ind w:right="3279" w:firstLine="781"/>
        <w:spacing w:after="0" w:line="378" w:lineRule="auto"/>
        <w:rPr>
          <w:sz w:val="20"/>
          <w:szCs w:val="20"/>
          <w:color w:val="auto"/>
        </w:rPr>
      </w:pPr>
      <w:r>
        <w:rPr>
          <w:rFonts w:ascii="Courier New" w:cs="Courier New" w:eastAsia="Courier New" w:hAnsi="Courier New"/>
          <w:sz w:val="14"/>
          <w:szCs w:val="14"/>
          <w:color w:val="auto"/>
        </w:rPr>
        <w:t>We have agreed to indemnify the selling securityholders against certain liabilities, including certain liabilities under the Securities Act.</w:t>
      </w:r>
    </w:p>
    <w:p>
      <w:pPr>
        <w:spacing w:after="0" w:line="1"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594" w:right="1440" w:bottom="1440" w:gutter="0" w:footer="0" w:header="0"/>
        </w:sectPr>
      </w:pPr>
    </w:p>
    <w:bookmarkStart w:id="69" w:name="page70"/>
    <w:bookmarkEnd w:id="69"/>
    <w:p>
      <w:pPr>
        <w:spacing w:after="0" w:line="12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379" w:firstLine="781"/>
        <w:spacing w:after="0" w:line="295" w:lineRule="auto"/>
        <w:rPr>
          <w:sz w:val="20"/>
          <w:szCs w:val="20"/>
          <w:color w:val="auto"/>
        </w:rPr>
      </w:pPr>
      <w:r>
        <w:rPr>
          <w:rFonts w:ascii="Courier New" w:cs="Courier New" w:eastAsia="Courier New" w:hAnsi="Courier New"/>
          <w:sz w:val="14"/>
          <w:szCs w:val="14"/>
          <w:color w:val="auto"/>
        </w:rPr>
        <w:t>The validity of the ordinary shares and the notes offered hereby will be passed upon for us by Carey Olsen, Island of Guernsey. Certain legal matters in connection with the offering will be passed upon for us by Wilmer Cutler Pickering Hale and Dorr LLP, New York, New York.</w:t>
      </w:r>
    </w:p>
    <w:p>
      <w:pPr>
        <w:spacing w:after="0" w:line="55" w:lineRule="exact"/>
        <w:rPr>
          <w:sz w:val="20"/>
          <w:szCs w:val="20"/>
          <w:color w:val="auto"/>
        </w:rPr>
      </w:pPr>
    </w:p>
    <w:p>
      <w:pPr>
        <w:jc w:val="both"/>
        <w:ind w:right="3279" w:firstLine="781"/>
        <w:spacing w:after="0" w:line="265" w:lineRule="auto"/>
        <w:rPr>
          <w:sz w:val="20"/>
          <w:szCs w:val="20"/>
          <w:color w:val="auto"/>
        </w:rPr>
      </w:pPr>
      <w:r>
        <w:rPr>
          <w:rFonts w:ascii="Courier New" w:cs="Courier New" w:eastAsia="Courier New" w:hAnsi="Courier New"/>
          <w:sz w:val="14"/>
          <w:szCs w:val="14"/>
          <w:color w:val="auto"/>
        </w:rPr>
        <w:t>Carey Olson has rendered an opinion as to the validity of the Notes and Wilmer Cutler Pickering Hale and Dorr LLP has rendered an opinion that the Notes are binding obligations of the Company under the laws of the state of New York.</w:t>
      </w:r>
    </w:p>
    <w:p>
      <w:pPr>
        <w:spacing w:after="0" w:line="1" w:lineRule="exact"/>
        <w:rPr>
          <w:sz w:val="20"/>
          <w:szCs w:val="20"/>
          <w:color w:val="auto"/>
        </w:rPr>
      </w:pPr>
    </w:p>
    <w:p>
      <w:pPr>
        <w:ind w:right="3279"/>
        <w:spacing w:after="0" w:line="297" w:lineRule="auto"/>
        <w:rPr>
          <w:sz w:val="20"/>
          <w:szCs w:val="20"/>
          <w:color w:val="auto"/>
        </w:rPr>
      </w:pPr>
      <w:r>
        <w:rPr>
          <w:rFonts w:ascii="Courier New" w:cs="Courier New" w:eastAsia="Courier New" w:hAnsi="Courier New"/>
          <w:sz w:val="14"/>
          <w:szCs w:val="14"/>
          <w:color w:val="auto"/>
        </w:rPr>
        <w:t>The foregoing opinions are exhibits to the registration statement of which this prospectus is included and are subject to the qualifications and assumptions set forth in such opinions.</w:t>
      </w:r>
    </w:p>
    <w:p>
      <w:pPr>
        <w:spacing w:after="0" w:line="5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379" w:firstLine="781"/>
        <w:spacing w:after="0" w:line="271" w:lineRule="auto"/>
        <w:rPr>
          <w:sz w:val="20"/>
          <w:szCs w:val="20"/>
          <w:color w:val="auto"/>
        </w:rPr>
      </w:pPr>
      <w:r>
        <w:rPr>
          <w:rFonts w:ascii="Courier New" w:cs="Courier New" w:eastAsia="Courier New" w:hAnsi="Courier New"/>
          <w:sz w:val="14"/>
          <w:szCs w:val="14"/>
          <w:color w:val="auto"/>
        </w:rPr>
        <w:t>The consolidated financial statements and schedule of Amdocs Limited appearing in Amdocs Limited's Annual Report (Form 20-F/A Amendment No. 1)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70"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6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ENFORCEABILITY OF CIVIL LIABILITIES</w:t>
      </w:r>
    </w:p>
    <w:p>
      <w:pPr>
        <w:spacing w:after="0" w:line="17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75" w:lineRule="exact"/>
        <w:rPr>
          <w:sz w:val="20"/>
          <w:szCs w:val="20"/>
          <w:color w:val="auto"/>
        </w:rPr>
      </w:pPr>
    </w:p>
    <w:p>
      <w:pPr>
        <w:ind w:right="3279" w:firstLine="781"/>
        <w:spacing w:after="0" w:line="268" w:lineRule="auto"/>
        <w:rPr>
          <w:sz w:val="20"/>
          <w:szCs w:val="20"/>
          <w:color w:val="auto"/>
        </w:rPr>
      </w:pPr>
      <w:r>
        <w:rPr>
          <w:rFonts w:ascii="Courier New" w:cs="Courier New" w:eastAsia="Courier New" w:hAnsi="Courier New"/>
          <w:sz w:val="14"/>
          <w:szCs w:val="14"/>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75" w:lineRule="exact"/>
        <w:rPr>
          <w:sz w:val="20"/>
          <w:szCs w:val="20"/>
          <w:color w:val="auto"/>
        </w:rPr>
      </w:pPr>
    </w:p>
    <w:p>
      <w:pPr>
        <w:ind w:right="3279" w:firstLine="781"/>
        <w:spacing w:after="0" w:line="278" w:lineRule="auto"/>
        <w:rPr>
          <w:sz w:val="20"/>
          <w:szCs w:val="20"/>
          <w:color w:val="auto"/>
        </w:rPr>
      </w:pPr>
      <w:r>
        <w:rPr>
          <w:rFonts w:ascii="Courier New" w:cs="Courier New" w:eastAsia="Courier New" w:hAnsi="Courier New"/>
          <w:sz w:val="14"/>
          <w:szCs w:val="14"/>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66" w:lineRule="exact"/>
        <w:rPr>
          <w:sz w:val="20"/>
          <w:szCs w:val="20"/>
          <w:color w:val="auto"/>
        </w:rPr>
      </w:pPr>
    </w:p>
    <w:p>
      <w:pPr>
        <w:ind w:right="3379" w:firstLine="781"/>
        <w:spacing w:after="0" w:line="263" w:lineRule="auto"/>
        <w:rPr>
          <w:sz w:val="20"/>
          <w:szCs w:val="20"/>
          <w:color w:val="auto"/>
        </w:rPr>
      </w:pPr>
      <w:r>
        <w:rPr>
          <w:rFonts w:ascii="Courier New" w:cs="Courier New" w:eastAsia="Courier New" w:hAnsi="Courier New"/>
          <w:sz w:val="14"/>
          <w:szCs w:val="14"/>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58"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75" w:lineRule="exact"/>
        <w:rPr>
          <w:sz w:val="20"/>
          <w:szCs w:val="20"/>
          <w:color w:val="auto"/>
        </w:rPr>
      </w:pPr>
    </w:p>
    <w:p>
      <w:pPr>
        <w:ind w:right="3279" w:firstLine="781"/>
        <w:spacing w:after="0" w:line="262" w:lineRule="auto"/>
        <w:rPr>
          <w:sz w:val="20"/>
          <w:szCs w:val="20"/>
          <w:color w:val="auto"/>
        </w:rPr>
      </w:pPr>
      <w:r>
        <w:rPr>
          <w:rFonts w:ascii="Courier New" w:cs="Courier New" w:eastAsia="Courier New" w:hAnsi="Courier New"/>
          <w:sz w:val="14"/>
          <w:szCs w:val="14"/>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 w:lineRule="exact"/>
        <w:rPr>
          <w:sz w:val="20"/>
          <w:szCs w:val="20"/>
          <w:color w:val="auto"/>
        </w:rPr>
      </w:pPr>
    </w:p>
    <w:p>
      <w:pPr>
        <w:jc w:val="both"/>
        <w:ind w:right="3379" w:firstLine="781"/>
        <w:spacing w:after="0" w:line="297" w:lineRule="auto"/>
        <w:rPr>
          <w:sz w:val="20"/>
          <w:szCs w:val="20"/>
          <w:color w:val="auto"/>
        </w:rPr>
      </w:pPr>
      <w:r>
        <w:rPr>
          <w:rFonts w:ascii="Courier New" w:cs="Courier New" w:eastAsia="Courier New" w:hAnsi="Courier New"/>
          <w:sz w:val="14"/>
          <w:szCs w:val="14"/>
          <w:color w:val="auto"/>
        </w:rPr>
        <w:t>In order for the Royal Court of Guernsey to entertain an action to sue on a foreign judgment, it is expected that the following criteria would have to be met:</w:t>
      </w:r>
    </w:p>
    <w:p>
      <w:pPr>
        <w:spacing w:after="0" w:line="220" w:lineRule="exact"/>
        <w:rPr>
          <w:sz w:val="20"/>
          <w:szCs w:val="20"/>
          <w:color w:val="auto"/>
        </w:rPr>
      </w:pPr>
    </w:p>
    <w:p>
      <w:pPr>
        <w:ind w:left="800" w:right="3539" w:hanging="791"/>
        <w:spacing w:after="0" w:line="317" w:lineRule="auto"/>
        <w:tabs>
          <w:tab w:leader="none" w:pos="8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court is recognized by the Royal Court of Guernsey as having jurisdiction to determine the dispute. It is likely that such jurisdiction will be recognized in the following circumstances:</w:t>
      </w:r>
    </w:p>
    <w:p>
      <w:pPr>
        <w:spacing w:after="0" w:line="39" w:lineRule="exact"/>
        <w:rPr>
          <w:rFonts w:ascii="Courier New" w:cs="Courier New" w:eastAsia="Courier New" w:hAnsi="Courier New"/>
          <w:sz w:val="14"/>
          <w:szCs w:val="14"/>
          <w:color w:val="auto"/>
        </w:rPr>
      </w:pPr>
    </w:p>
    <w:p>
      <w:pPr>
        <w:ind w:left="1220" w:right="3459" w:hanging="430"/>
        <w:spacing w:after="0" w:line="37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present in the foreign country at the time the foreign proceedings were instituted;</w:t>
      </w:r>
    </w:p>
    <w:p>
      <w:pPr>
        <w:spacing w:after="0" w:line="1" w:lineRule="exact"/>
        <w:rPr>
          <w:rFonts w:ascii="Courier New" w:cs="Courier New" w:eastAsia="Courier New" w:hAnsi="Courier New"/>
          <w:sz w:val="14"/>
          <w:szCs w:val="14"/>
          <w:color w:val="auto"/>
        </w:rPr>
      </w:pPr>
    </w:p>
    <w:p>
      <w:pPr>
        <w:ind w:left="1220" w:right="3719" w:hanging="430"/>
        <w:spacing w:after="0" w:line="272"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claimant or counterclaimant in the proceedings in the foreign court;</w:t>
      </w:r>
    </w:p>
    <w:p>
      <w:pPr>
        <w:ind w:left="1220" w:right="3539" w:hanging="430"/>
        <w:spacing w:after="0" w:line="343"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foreign court, submitted to the jurisdiction of that court by voluntarily</w:t>
      </w:r>
    </w:p>
    <w:p>
      <w:pPr>
        <w:sectPr>
          <w:pgSz w:w="11900" w:h="16963" w:orient="portrait"/>
          <w:cols w:equalWidth="0" w:num="1">
            <w:col w:w="10239"/>
          </w:cols>
          <w:pgMar w:left="220" w:top="427" w:right="1440" w:bottom="0" w:gutter="0" w:footer="0" w:header="0"/>
        </w:sectPr>
      </w:pPr>
    </w:p>
    <w:bookmarkStart w:id="70" w:name="page71"/>
    <w:bookmarkEnd w:id="70"/>
    <w:p>
      <w:pPr>
        <w:ind w:left="1211"/>
        <w:spacing w:after="0"/>
        <w:rPr>
          <w:sz w:val="20"/>
          <w:szCs w:val="20"/>
          <w:color w:val="auto"/>
        </w:rPr>
      </w:pPr>
      <w:r>
        <w:rPr>
          <w:rFonts w:ascii="Courier New" w:cs="Courier New" w:eastAsia="Courier New" w:hAnsi="Courier New"/>
          <w:sz w:val="14"/>
          <w:szCs w:val="14"/>
          <w:color w:val="auto"/>
        </w:rPr>
        <w:t>appearing in the proceedings; or</w:t>
      </w:r>
    </w:p>
    <w:p>
      <w:pPr>
        <w:spacing w:after="0" w:line="34" w:lineRule="exact"/>
        <w:rPr>
          <w:sz w:val="20"/>
          <w:szCs w:val="20"/>
          <w:color w:val="auto"/>
        </w:rPr>
      </w:pPr>
    </w:p>
    <w:p>
      <w:pPr>
        <w:ind w:left="1211" w:right="3379" w:hanging="430"/>
        <w:spacing w:after="0" w:line="252"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 w:lineRule="exact"/>
        <w:rPr>
          <w:rFonts w:ascii="Courier New" w:cs="Courier New" w:eastAsia="Courier New" w:hAnsi="Courier New"/>
          <w:sz w:val="14"/>
          <w:szCs w:val="14"/>
          <w:color w:val="auto"/>
        </w:rPr>
      </w:pPr>
    </w:p>
    <w:p>
      <w:pPr>
        <w:ind w:left="791" w:right="3279" w:hanging="791"/>
        <w:spacing w:after="0" w:line="256" w:lineRule="auto"/>
        <w:tabs>
          <w:tab w:leader="none" w:pos="79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57" w:lineRule="exact"/>
        <w:rPr>
          <w:rFonts w:ascii="Courier New" w:cs="Courier New" w:eastAsia="Courier New" w:hAnsi="Courier New"/>
          <w:sz w:val="14"/>
          <w:szCs w:val="14"/>
          <w:color w:val="auto"/>
        </w:rPr>
      </w:pPr>
    </w:p>
    <w:p>
      <w:pPr>
        <w:ind w:left="791" w:right="337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must be final and conclusive on the merits and is for a definite sum of money, other than a sum in respect of taxes, fines or other penalties.</w:t>
      </w:r>
    </w:p>
    <w:p>
      <w:pPr>
        <w:spacing w:after="0" w:line="53"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0"/>
          </w:cols>
          <w:pgMar w:left="229" w:top="115" w:right="1440" w:bottom="1440" w:gutter="0" w:footer="0" w:header="0"/>
        </w:sectPr>
      </w:pPr>
    </w:p>
    <w:bookmarkStart w:id="71" w:name="page72"/>
    <w:bookmarkEnd w:id="71"/>
    <w:p>
      <w:pPr>
        <w:ind w:left="1840"/>
        <w:spacing w:after="0"/>
        <w:rPr>
          <w:sz w:val="20"/>
          <w:szCs w:val="20"/>
          <w:color w:val="auto"/>
        </w:rPr>
      </w:pP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right="3379" w:firstLine="781"/>
        <w:spacing w:after="0" w:line="285" w:lineRule="auto"/>
        <w:rPr>
          <w:sz w:val="20"/>
          <w:szCs w:val="20"/>
          <w:color w:val="auto"/>
        </w:rPr>
      </w:pPr>
      <w:r>
        <w:rPr>
          <w:rFonts w:ascii="Courier New" w:cs="Courier New" w:eastAsia="Courier New" w:hAnsi="Courier New"/>
          <w:sz w:val="14"/>
          <w:szCs w:val="14"/>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60" w:lineRule="exact"/>
        <w:rPr>
          <w:sz w:val="20"/>
          <w:szCs w:val="20"/>
          <w:color w:val="auto"/>
        </w:rPr>
      </w:pPr>
    </w:p>
    <w:p>
      <w:pPr>
        <w:ind w:left="1220" w:right="3279" w:hanging="430"/>
        <w:spacing w:after="0" w:line="37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September 30, 2003, filed on December 24, 2003;</w:t>
      </w:r>
    </w:p>
    <w:p>
      <w:pPr>
        <w:spacing w:after="0" w:line="1" w:lineRule="exact"/>
        <w:rPr>
          <w:rFonts w:ascii="Courier New" w:cs="Courier New" w:eastAsia="Courier New" w:hAnsi="Courier New"/>
          <w:sz w:val="14"/>
          <w:szCs w:val="14"/>
          <w:color w:val="auto"/>
        </w:rPr>
      </w:pPr>
    </w:p>
    <w:p>
      <w:pPr>
        <w:ind w:left="1220" w:right="3459" w:hanging="430"/>
        <w:spacing w:after="0" w:line="37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our annual report on Form 20-F for the fiscal year ended September 30, 2003, filed on September 21, 2004;</w:t>
      </w:r>
    </w:p>
    <w:p>
      <w:pPr>
        <w:spacing w:after="0" w:line="1" w:lineRule="exact"/>
        <w:rPr>
          <w:rFonts w:ascii="Courier New" w:cs="Courier New" w:eastAsia="Courier New" w:hAnsi="Courier New"/>
          <w:sz w:val="14"/>
          <w:szCs w:val="14"/>
          <w:color w:val="auto"/>
        </w:rPr>
      </w:pPr>
    </w:p>
    <w:p>
      <w:pPr>
        <w:ind w:left="1220" w:right="3459" w:hanging="430"/>
        <w:spacing w:after="0" w:line="317"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with respect to our offering of 0.50% Convertible Senior Notes due 2024, filed on March 1, March 2 and March 5, 2004;</w:t>
      </w:r>
    </w:p>
    <w:p>
      <w:pPr>
        <w:spacing w:after="0" w:line="39" w:lineRule="exact"/>
        <w:rPr>
          <w:rFonts w:ascii="Courier New" w:cs="Courier New" w:eastAsia="Courier New" w:hAnsi="Courier New"/>
          <w:sz w:val="14"/>
          <w:szCs w:val="14"/>
          <w:color w:val="auto"/>
        </w:rPr>
      </w:pPr>
    </w:p>
    <w:p>
      <w:pPr>
        <w:ind w:left="1220" w:right="3459" w:hanging="430"/>
        <w:spacing w:after="0" w:line="382"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filed on September 30, 2004 and October 1, 2004; and</w:t>
      </w:r>
    </w:p>
    <w:p>
      <w:pPr>
        <w:spacing w:after="0" w:line="162" w:lineRule="exact"/>
        <w:rPr>
          <w:rFonts w:ascii="Courier New" w:cs="Courier New" w:eastAsia="Courier New" w:hAnsi="Courier New"/>
          <w:sz w:val="14"/>
          <w:szCs w:val="14"/>
          <w:color w:val="auto"/>
        </w:rPr>
      </w:pPr>
    </w:p>
    <w:p>
      <w:pPr>
        <w:ind w:left="1220" w:right="3379" w:hanging="430"/>
        <w:spacing w:after="0" w:line="295"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ordinary shares contained in our Registration Statement on Form 8-A filed on June 17, 1998 under Section 12 of the Exchange Act, including any amendment or report updating this description.</w:t>
      </w:r>
    </w:p>
    <w:p>
      <w:pPr>
        <w:spacing w:after="0" w:line="389" w:lineRule="exact"/>
        <w:rPr>
          <w:sz w:val="20"/>
          <w:szCs w:val="20"/>
          <w:color w:val="auto"/>
        </w:rPr>
      </w:pPr>
    </w:p>
    <w:p>
      <w:pPr>
        <w:ind w:right="3379" w:firstLine="781"/>
        <w:spacing w:after="0" w:line="262" w:lineRule="auto"/>
        <w:rPr>
          <w:sz w:val="20"/>
          <w:szCs w:val="20"/>
          <w:color w:val="auto"/>
        </w:rPr>
      </w:pPr>
      <w:r>
        <w:rPr>
          <w:rFonts w:ascii="Courier New" w:cs="Courier New" w:eastAsia="Courier New" w:hAnsi="Courier New"/>
          <w:sz w:val="14"/>
          <w:szCs w:val="14"/>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3279" w:firstLine="9"/>
        <w:spacing w:after="0" w:line="343" w:lineRule="auto"/>
        <w:tabs>
          <w:tab w:leader="none" w:pos="3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subsequently filed document that is incorporated by reference into this prospectus modifies or supersedes such statement.</w:t>
      </w:r>
    </w:p>
    <w:p>
      <w:pPr>
        <w:spacing w:after="0" w:line="21" w:lineRule="exact"/>
        <w:rPr>
          <w:sz w:val="20"/>
          <w:szCs w:val="20"/>
          <w:color w:val="auto"/>
        </w:rPr>
      </w:pPr>
    </w:p>
    <w:p>
      <w:pPr>
        <w:ind w:right="3279" w:firstLine="781"/>
        <w:spacing w:after="0" w:line="274" w:lineRule="auto"/>
        <w:rPr>
          <w:sz w:val="20"/>
          <w:szCs w:val="20"/>
          <w:color w:val="auto"/>
        </w:rPr>
      </w:pPr>
      <w:r>
        <w:rPr>
          <w:rFonts w:ascii="Courier New" w:cs="Courier New" w:eastAsia="Courier New" w:hAnsi="Courier New"/>
          <w:sz w:val="14"/>
          <w:szCs w:val="14"/>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3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342" w:lineRule="exact"/>
        <w:rPr>
          <w:sz w:val="20"/>
          <w:szCs w:val="20"/>
          <w:color w:val="auto"/>
        </w:rPr>
      </w:pPr>
    </w:p>
    <w:p>
      <w:pPr>
        <w:ind w:right="3279" w:firstLine="781"/>
        <w:spacing w:after="0" w:line="265" w:lineRule="auto"/>
        <w:rPr>
          <w:sz w:val="20"/>
          <w:szCs w:val="20"/>
          <w:color w:val="auto"/>
        </w:rPr>
      </w:pPr>
      <w:r>
        <w:rPr>
          <w:rFonts w:ascii="Courier New" w:cs="Courier New" w:eastAsia="Courier New" w:hAnsi="Courier New"/>
          <w:sz w:val="14"/>
          <w:szCs w:val="14"/>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44" w:lineRule="exact"/>
        <w:rPr>
          <w:sz w:val="20"/>
          <w:szCs w:val="20"/>
          <w:color w:val="auto"/>
        </w:rPr>
      </w:pPr>
    </w:p>
    <w:p>
      <w:pPr>
        <w:ind w:right="3379" w:firstLine="781"/>
        <w:spacing w:after="0" w:line="285"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594"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UNAUDITED CONSOLIDATED FINANCIAL</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STATEMENTS FOR THE THREE AND NINE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MONTH PERIODS ENDED JUNE 30, 2004</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20" w:type="dxa"/>
            <w:vAlign w:val="bottom"/>
          </w:tcPr>
          <w:p>
            <w:pPr>
              <w:ind w:left="2880"/>
              <w:spacing w:after="0"/>
              <w:rPr>
                <w:sz w:val="20"/>
                <w:szCs w:val="20"/>
                <w:color w:val="auto"/>
              </w:rPr>
            </w:pPr>
            <w:r>
              <w:rPr>
                <w:rFonts w:ascii="Courier New" w:cs="Courier New" w:eastAsia="Courier New" w:hAnsi="Courier New"/>
                <w:sz w:val="14"/>
                <w:szCs w:val="14"/>
                <w:color w:val="auto"/>
              </w:rPr>
              <w:t>AMDOCS LIMITED</w:t>
            </w: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1660"/>
              <w:spacing w:after="0"/>
              <w:rPr>
                <w:sz w:val="20"/>
                <w:szCs w:val="20"/>
                <w:color w:val="auto"/>
              </w:rPr>
            </w:pPr>
            <w:r>
              <w:rPr>
                <w:rFonts w:ascii="Courier New" w:cs="Courier New" w:eastAsia="Courier New" w:hAnsi="Courier New"/>
                <w:sz w:val="14"/>
                <w:szCs w:val="14"/>
                <w:color w:val="auto"/>
              </w:rPr>
              <w:t>(in U.S. dollars, unless otherwise stated)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820" w:type="dxa"/>
            <w:vAlign w:val="bottom"/>
          </w:tcPr>
          <w:p>
            <w:pPr>
              <w:ind w:left="1920"/>
              <w:spacing w:after="0"/>
              <w:rPr>
                <w:sz w:val="20"/>
                <w:szCs w:val="20"/>
                <w:color w:val="auto"/>
              </w:rPr>
            </w:pPr>
            <w:r>
              <w:rPr>
                <w:rFonts w:ascii="Courier New" w:cs="Courier New" w:eastAsia="Courier New" w:hAnsi="Courier New"/>
                <w:sz w:val="14"/>
                <w:szCs w:val="14"/>
                <w:color w:val="auto"/>
              </w:rPr>
              <w:t>(in thousands, except per share data)</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7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820" w:type="dxa"/>
            <w:vAlign w:val="bottom"/>
          </w:tcPr>
          <w:p>
            <w:pPr>
              <w:spacing w:after="0"/>
              <w:rPr>
                <w:sz w:val="14"/>
                <w:szCs w:val="14"/>
                <w:color w:val="auto"/>
              </w:rPr>
            </w:pP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3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7820" w:type="dxa"/>
            <w:vAlign w:val="bottom"/>
          </w:tcPr>
          <w:p>
            <w:pPr>
              <w:spacing w:after="0"/>
              <w:rPr>
                <w:sz w:val="21"/>
                <w:szCs w:val="21"/>
                <w:color w:val="auto"/>
              </w:rPr>
            </w:pPr>
          </w:p>
        </w:tc>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(Unaudited)</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2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492,446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847,600</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735,779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443,292</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270,560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198,274</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60,868</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66,769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85,902</w:t>
            </w:r>
          </w:p>
        </w:tc>
        <w:tc>
          <w:tcPr>
            <w:tcW w:w="0" w:type="dxa"/>
            <w:vAlign w:val="bottom"/>
          </w:tcPr>
          <w:p>
            <w:pPr>
              <w:spacing w:after="0"/>
              <w:rPr>
                <w:sz w:val="1"/>
                <w:szCs w:val="1"/>
                <w:color w:val="auto"/>
              </w:rPr>
            </w:pPr>
          </w:p>
        </w:tc>
      </w:tr>
      <w:tr>
        <w:trPr>
          <w:trHeight w:val="167"/>
        </w:trPr>
        <w:tc>
          <w:tcPr>
            <w:tcW w:w="782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Total current assets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1,633,734</w:t>
            </w:r>
          </w:p>
        </w:tc>
        <w:tc>
          <w:tcPr>
            <w:tcW w:w="32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1,635,936</w:t>
            </w:r>
          </w:p>
        </w:tc>
        <w:tc>
          <w:tcPr>
            <w:tcW w:w="0" w:type="dxa"/>
            <w:vAlign w:val="bottom"/>
          </w:tcPr>
          <w:p>
            <w:pPr>
              <w:spacing w:after="0"/>
              <w:rPr>
                <w:sz w:val="1"/>
                <w:szCs w:val="1"/>
                <w:color w:val="auto"/>
              </w:rPr>
            </w:pPr>
          </w:p>
        </w:tc>
      </w:tr>
      <w:tr>
        <w:trPr>
          <w:trHeight w:val="256"/>
        </w:trPr>
        <w:tc>
          <w:tcPr>
            <w:tcW w:w="782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2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174,801</w:t>
            </w:r>
          </w:p>
        </w:tc>
        <w:tc>
          <w:tcPr>
            <w:tcW w:w="32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203,467</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108,033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105,943</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803,606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797,134</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52,653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58,841</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125,145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76,196</w:t>
            </w:r>
          </w:p>
        </w:tc>
        <w:tc>
          <w:tcPr>
            <w:tcW w:w="0" w:type="dxa"/>
            <w:vAlign w:val="bottom"/>
          </w:tcPr>
          <w:p>
            <w:pPr>
              <w:spacing w:after="0"/>
              <w:rPr>
                <w:sz w:val="1"/>
                <w:szCs w:val="1"/>
                <w:color w:val="auto"/>
              </w:rPr>
            </w:pPr>
          </w:p>
        </w:tc>
      </w:tr>
      <w:tr>
        <w:trPr>
          <w:trHeight w:val="167"/>
        </w:trPr>
        <w:tc>
          <w:tcPr>
            <w:tcW w:w="782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820" w:type="dxa"/>
            <w:vAlign w:val="bottom"/>
            <w:vMerge w:val="continue"/>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c>
          <w:tcPr>
            <w:tcW w:w="0" w:type="dxa"/>
            <w:vAlign w:val="bottom"/>
          </w:tcPr>
          <w:p>
            <w:pPr>
              <w:spacing w:after="0"/>
              <w:rPr>
                <w:sz w:val="1"/>
                <w:szCs w:val="1"/>
                <w:color w:val="auto"/>
              </w:rPr>
            </w:pPr>
          </w:p>
        </w:tc>
      </w:tr>
      <w:tr>
        <w:trPr>
          <w:trHeight w:val="244"/>
        </w:trPr>
        <w:tc>
          <w:tcPr>
            <w:tcW w:w="7820" w:type="dxa"/>
            <w:vAlign w:val="bottom"/>
          </w:tcPr>
          <w:p>
            <w:pPr>
              <w:spacing w:after="0"/>
              <w:rPr>
                <w:sz w:val="21"/>
                <w:szCs w:val="21"/>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78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2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93,540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101,116</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141,044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123,223</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126,959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106,857</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2%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400,454</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Financing arrangements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230,952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174,616</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27,140</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133,002</w:t>
            </w:r>
          </w:p>
        </w:tc>
        <w:tc>
          <w:tcPr>
            <w:tcW w:w="0" w:type="dxa"/>
            <w:vAlign w:val="bottom"/>
          </w:tcPr>
          <w:p>
            <w:pPr>
              <w:spacing w:after="0"/>
              <w:rPr>
                <w:sz w:val="1"/>
                <w:szCs w:val="1"/>
                <w:color w:val="auto"/>
              </w:rPr>
            </w:pPr>
          </w:p>
        </w:tc>
      </w:tr>
      <w:tr>
        <w:trPr>
          <w:trHeight w:val="167"/>
        </w:trPr>
        <w:tc>
          <w:tcPr>
            <w:tcW w:w="782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775,810</w:t>
            </w:r>
          </w:p>
        </w:tc>
        <w:tc>
          <w:tcPr>
            <w:tcW w:w="32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1,068,587</w:t>
            </w:r>
          </w:p>
        </w:tc>
        <w:tc>
          <w:tcPr>
            <w:tcW w:w="0" w:type="dxa"/>
            <w:vAlign w:val="bottom"/>
          </w:tcPr>
          <w:p>
            <w:pPr>
              <w:spacing w:after="0"/>
              <w:rPr>
                <w:sz w:val="1"/>
                <w:szCs w:val="1"/>
                <w:color w:val="auto"/>
              </w:rPr>
            </w:pPr>
          </w:p>
        </w:tc>
      </w:tr>
      <w:tr>
        <w:trPr>
          <w:trHeight w:val="256"/>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37,424</w:t>
            </w:r>
          </w:p>
        </w:tc>
        <w:tc>
          <w:tcPr>
            <w:tcW w:w="32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44,835</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0.50%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Noncurrent liabilities and other</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151,777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172,495</w:t>
            </w:r>
          </w:p>
        </w:tc>
        <w:tc>
          <w:tcPr>
            <w:tcW w:w="0" w:type="dxa"/>
            <w:vAlign w:val="bottom"/>
          </w:tcPr>
          <w:p>
            <w:pPr>
              <w:spacing w:after="0"/>
              <w:rPr>
                <w:sz w:val="1"/>
                <w:szCs w:val="1"/>
                <w:color w:val="auto"/>
              </w:rPr>
            </w:pPr>
          </w:p>
        </w:tc>
      </w:tr>
      <w:tr>
        <w:trPr>
          <w:trHeight w:val="167"/>
        </w:trPr>
        <w:tc>
          <w:tcPr>
            <w:tcW w:w="782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8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1,415,011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1,285,917</w:t>
            </w:r>
          </w:p>
        </w:tc>
        <w:tc>
          <w:tcPr>
            <w:tcW w:w="0" w:type="dxa"/>
            <w:vAlign w:val="bottom"/>
          </w:tcPr>
          <w:p>
            <w:pPr>
              <w:spacing w:after="0"/>
              <w:rPr>
                <w:sz w:val="1"/>
                <w:szCs w:val="1"/>
                <w:color w:val="auto"/>
              </w:rPr>
            </w:pPr>
          </w:p>
        </w:tc>
      </w:tr>
      <w:tr>
        <w:trPr>
          <w:trHeight w:val="244"/>
        </w:trPr>
        <w:tc>
          <w:tcPr>
            <w:tcW w:w="7820" w:type="dxa"/>
            <w:vAlign w:val="bottom"/>
            <w:vMerge w:val="restart"/>
          </w:tcPr>
          <w:p>
            <w:pPr>
              <w:spacing w:after="0"/>
              <w:rPr>
                <w:sz w:val="20"/>
                <w:szCs w:val="20"/>
                <w:color w:val="auto"/>
              </w:rPr>
            </w:pPr>
            <w:r>
              <w:rPr>
                <w:rFonts w:ascii="Courier New" w:cs="Courier New" w:eastAsia="Courier New" w:hAnsi="Courier New"/>
                <w:sz w:val="14"/>
                <w:szCs w:val="14"/>
                <w:color w:val="auto"/>
              </w:rPr>
              <w:t>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78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shares;(pound)0.01 par value; 0 shares</w:t>
            </w:r>
          </w:p>
        </w:tc>
        <w:tc>
          <w:tcPr>
            <w:tcW w:w="92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9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shares;(pound)0.01 par value; 224,854 and</w:t>
            </w:r>
          </w:p>
        </w:tc>
        <w:tc>
          <w:tcPr>
            <w:tcW w:w="92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3,599</w:t>
            </w:r>
          </w:p>
        </w:tc>
        <w:tc>
          <w:tcPr>
            <w:tcW w:w="3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3,580</w:t>
            </w:r>
          </w:p>
        </w:tc>
        <w:tc>
          <w:tcPr>
            <w:tcW w:w="0" w:type="dxa"/>
            <w:vAlign w:val="bottom"/>
          </w:tcPr>
          <w:p>
            <w:pPr>
              <w:spacing w:after="0"/>
              <w:rPr>
                <w:sz w:val="1"/>
                <w:szCs w:val="1"/>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223,790 issued and 206,135 and 216,058 outstanding, respectively</w:t>
            </w:r>
          </w:p>
        </w:tc>
        <w:tc>
          <w:tcPr>
            <w:tcW w:w="9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1,836,743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1,820,956</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 - 18,719 and 7,732 Ordinary Shares, respectively</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(402,360)</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(109,281)</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(accumulated deficit)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45,908</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(127,370)</w:t>
            </w:r>
          </w:p>
        </w:tc>
        <w:tc>
          <w:tcPr>
            <w:tcW w:w="0" w:type="dxa"/>
            <w:vAlign w:val="bottom"/>
          </w:tcPr>
          <w:p>
            <w:pPr>
              <w:spacing w:after="0"/>
              <w:rPr>
                <w:sz w:val="1"/>
                <w:szCs w:val="1"/>
                <w:color w:val="auto"/>
              </w:rPr>
            </w:pPr>
          </w:p>
        </w:tc>
      </w:tr>
      <w:tr>
        <w:trPr>
          <w:trHeight w:val="167"/>
        </w:trPr>
        <w:tc>
          <w:tcPr>
            <w:tcW w:w="782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Total 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8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1,482,961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1,591,600</w:t>
            </w:r>
          </w:p>
        </w:tc>
        <w:tc>
          <w:tcPr>
            <w:tcW w:w="0" w:type="dxa"/>
            <w:vAlign w:val="bottom"/>
          </w:tcPr>
          <w:p>
            <w:pPr>
              <w:spacing w:after="0"/>
              <w:rPr>
                <w:sz w:val="1"/>
                <w:szCs w:val="1"/>
                <w:color w:val="auto"/>
              </w:rPr>
            </w:pPr>
          </w:p>
        </w:tc>
      </w:tr>
      <w:tr>
        <w:trPr>
          <w:trHeight w:val="167"/>
        </w:trPr>
        <w:tc>
          <w:tcPr>
            <w:tcW w:w="782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7820" w:type="dxa"/>
            <w:vAlign w:val="bottom"/>
            <w:vMerge w:val="continue"/>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c>
          <w:tcPr>
            <w:tcW w:w="0" w:type="dxa"/>
            <w:vAlign w:val="bottom"/>
          </w:tcPr>
          <w:p>
            <w:pPr>
              <w:spacing w:after="0"/>
              <w:rPr>
                <w:sz w:val="1"/>
                <w:szCs w:val="1"/>
                <w:color w:val="auto"/>
              </w:rPr>
            </w:pPr>
          </w:p>
        </w:tc>
      </w:tr>
      <w:tr>
        <w:trPr>
          <w:trHeight w:val="244"/>
        </w:trPr>
        <w:tc>
          <w:tcPr>
            <w:tcW w:w="7820" w:type="dxa"/>
            <w:vAlign w:val="bottom"/>
          </w:tcPr>
          <w:p>
            <w:pPr>
              <w:spacing w:after="0"/>
              <w:rPr>
                <w:sz w:val="21"/>
                <w:szCs w:val="21"/>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3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1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940"/>
          </w:cols>
          <w:pgMar w:left="220" w:top="427" w:right="739" w:bottom="1440" w:gutter="0" w:footer="0" w:header="0"/>
        </w:sectPr>
      </w:pPr>
    </w:p>
    <w:bookmarkStart w:id="73" w:name="page74"/>
    <w:bookmarkEnd w:id="73"/>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14"/>
                <w:szCs w:val="14"/>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226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17,298</w:t>
            </w:r>
          </w:p>
        </w:tc>
        <w:tc>
          <w:tcPr>
            <w:tcW w:w="4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11,491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52,026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51,176</w:t>
            </w: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License (*)</w:t>
            </w:r>
          </w:p>
        </w:tc>
        <w:tc>
          <w:tcPr>
            <w:tcW w:w="3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Service (*)</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432,926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365,677</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1,269,251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1,020,392</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450,224</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377,168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1,321,277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c>
          <w:tcPr>
            <w:tcW w:w="0" w:type="dxa"/>
            <w:vAlign w:val="bottom"/>
          </w:tcPr>
          <w:p>
            <w:pPr>
              <w:spacing w:after="0"/>
              <w:rPr>
                <w:sz w:val="1"/>
                <w:szCs w:val="1"/>
                <w:color w:val="auto"/>
              </w:rPr>
            </w:pPr>
          </w:p>
        </w:tc>
      </w:tr>
      <w:tr>
        <w:trPr>
          <w:trHeight w:val="244"/>
        </w:trPr>
        <w:tc>
          <w:tcPr>
            <w:tcW w:w="370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expenses:</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3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1,448</w:t>
            </w:r>
          </w:p>
        </w:tc>
        <w:tc>
          <w:tcPr>
            <w:tcW w:w="400" w:type="dxa"/>
            <w:vAlign w:val="bottom"/>
          </w:tcPr>
          <w:p>
            <w:pPr>
              <w:spacing w:after="0"/>
              <w:rPr>
                <w:sz w:val="7"/>
                <w:szCs w:val="7"/>
                <w:color w:val="auto"/>
              </w:rPr>
            </w:pPr>
          </w:p>
        </w:tc>
        <w:tc>
          <w:tcPr>
            <w:tcW w:w="7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1,455</w:t>
            </w:r>
          </w:p>
        </w:tc>
        <w:tc>
          <w:tcPr>
            <w:tcW w:w="220" w:type="dxa"/>
            <w:vAlign w:val="bottom"/>
          </w:tcPr>
          <w:p>
            <w:pPr>
              <w:spacing w:after="0"/>
              <w:rPr>
                <w:sz w:val="7"/>
                <w:szCs w:val="7"/>
                <w:color w:val="auto"/>
              </w:rPr>
            </w:pP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3,807</w:t>
            </w:r>
          </w:p>
        </w:tc>
        <w:tc>
          <w:tcPr>
            <w:tcW w:w="22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4,137</w:t>
            </w: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283,109</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230,323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833,470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646,389</w:t>
            </w: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31,665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88,888</w:t>
            </w: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52,745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50,943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153,644</w:t>
            </w: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 intangible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13,423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14,303</w:t>
            </w:r>
          </w:p>
        </w:tc>
        <w:tc>
          <w:tcPr>
            <w:tcW w:w="0" w:type="dxa"/>
            <w:vAlign w:val="bottom"/>
          </w:tcPr>
          <w:p>
            <w:pPr>
              <w:spacing w:after="0"/>
              <w:rPr>
                <w:sz w:val="1"/>
                <w:szCs w:val="1"/>
                <w:color w:val="auto"/>
              </w:rPr>
            </w:pP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9,956</w:t>
            </w: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373,525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317,186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1,102,025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917,317</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76,699</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59,982</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219,252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income and other, net (*)</w:t>
            </w:r>
          </w:p>
        </w:tc>
        <w:tc>
          <w:tcPr>
            <w:tcW w:w="3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4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3,269</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2,899</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12,432</w:t>
            </w:r>
          </w:p>
        </w:tc>
        <w:tc>
          <w:tcPr>
            <w:tcW w:w="0" w:type="dxa"/>
            <w:vAlign w:val="bottom"/>
          </w:tcPr>
          <w:p>
            <w:pPr>
              <w:spacing w:after="0"/>
              <w:rPr>
                <w:sz w:val="1"/>
                <w:szCs w:val="1"/>
                <w:color w:val="auto"/>
              </w:rPr>
            </w:pPr>
          </w:p>
        </w:tc>
      </w:tr>
      <w:tr>
        <w:trPr>
          <w:trHeight w:val="167"/>
        </w:trPr>
        <w:tc>
          <w:tcPr>
            <w:tcW w:w="370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income taxes</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76,820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63,251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222,151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166,683</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15,813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48,873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c>
          <w:tcPr>
            <w:tcW w:w="0" w:type="dxa"/>
            <w:vAlign w:val="bottom"/>
          </w:tcPr>
          <w:p>
            <w:pPr>
              <w:spacing w:after="0"/>
              <w:rPr>
                <w:sz w:val="1"/>
                <w:szCs w:val="1"/>
                <w:color w:val="auto"/>
              </w:rPr>
            </w:pPr>
          </w:p>
        </w:tc>
      </w:tr>
      <w:tr>
        <w:trPr>
          <w:trHeight w:val="167"/>
        </w:trPr>
        <w:tc>
          <w:tcPr>
            <w:tcW w:w="370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700" w:type="dxa"/>
            <w:vAlign w:val="bottom"/>
            <w:vMerge w:val="continue"/>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59,920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300" w:type="dxa"/>
            <w:vAlign w:val="bottom"/>
          </w:tcPr>
          <w:p>
            <w:pPr>
              <w:spacing w:after="0"/>
              <w:rPr>
                <w:sz w:val="22"/>
                <w:szCs w:val="22"/>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206,093</w:t>
            </w:r>
          </w:p>
        </w:tc>
        <w:tc>
          <w:tcPr>
            <w:tcW w:w="400" w:type="dxa"/>
            <w:vAlign w:val="bottom"/>
          </w:tcPr>
          <w:p>
            <w:pPr>
              <w:spacing w:after="0"/>
              <w:rPr>
                <w:sz w:val="22"/>
                <w:szCs w:val="22"/>
                <w:color w:val="auto"/>
              </w:rPr>
            </w:pPr>
          </w:p>
        </w:tc>
        <w:tc>
          <w:tcPr>
            <w:tcW w:w="7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8"/>
              </w:rPr>
              <w:t>215,938</w:t>
            </w:r>
          </w:p>
        </w:tc>
        <w:tc>
          <w:tcPr>
            <w:tcW w:w="220" w:type="dxa"/>
            <w:vAlign w:val="bottom"/>
          </w:tcPr>
          <w:p>
            <w:pPr>
              <w:spacing w:after="0"/>
              <w:rPr>
                <w:sz w:val="22"/>
                <w:szCs w:val="22"/>
                <w:color w:val="auto"/>
              </w:rPr>
            </w:pP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210,409</w:t>
            </w:r>
          </w:p>
        </w:tc>
        <w:tc>
          <w:tcPr>
            <w:tcW w:w="22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215,786</w:t>
            </w:r>
          </w:p>
        </w:tc>
        <w:tc>
          <w:tcPr>
            <w:tcW w:w="0" w:type="dxa"/>
            <w:vAlign w:val="bottom"/>
          </w:tcPr>
          <w:p>
            <w:pPr>
              <w:spacing w:after="0"/>
              <w:rPr>
                <w:sz w:val="1"/>
                <w:szCs w:val="1"/>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300" w:type="dxa"/>
            <w:vAlign w:val="bottom"/>
          </w:tcPr>
          <w:p>
            <w:pPr>
              <w:spacing w:after="0"/>
              <w:rPr>
                <w:sz w:val="22"/>
                <w:szCs w:val="22"/>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211,801</w:t>
            </w:r>
          </w:p>
        </w:tc>
        <w:tc>
          <w:tcPr>
            <w:tcW w:w="400" w:type="dxa"/>
            <w:vAlign w:val="bottom"/>
          </w:tcPr>
          <w:p>
            <w:pPr>
              <w:spacing w:after="0"/>
              <w:rPr>
                <w:sz w:val="22"/>
                <w:szCs w:val="22"/>
                <w:color w:val="auto"/>
              </w:rPr>
            </w:pPr>
          </w:p>
        </w:tc>
        <w:tc>
          <w:tcPr>
            <w:tcW w:w="7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8"/>
              </w:rPr>
              <w:t>220,792</w:t>
            </w:r>
          </w:p>
        </w:tc>
        <w:tc>
          <w:tcPr>
            <w:tcW w:w="220" w:type="dxa"/>
            <w:vAlign w:val="bottom"/>
          </w:tcPr>
          <w:p>
            <w:pPr>
              <w:spacing w:after="0"/>
              <w:rPr>
                <w:sz w:val="22"/>
                <w:szCs w:val="22"/>
                <w:color w:val="auto"/>
              </w:rPr>
            </w:pP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216,186</w:t>
            </w:r>
          </w:p>
        </w:tc>
        <w:tc>
          <w:tcPr>
            <w:tcW w:w="22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218,953</w:t>
            </w:r>
          </w:p>
        </w:tc>
        <w:tc>
          <w:tcPr>
            <w:tcW w:w="0" w:type="dxa"/>
            <w:vAlign w:val="bottom"/>
          </w:tcPr>
          <w:p>
            <w:pPr>
              <w:spacing w:after="0"/>
              <w:rPr>
                <w:sz w:val="1"/>
                <w:szCs w:val="1"/>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See Note 4.</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3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427" w:right="1440" w:bottom="1440" w:gutter="0" w:footer="0" w:header="0"/>
        </w:sectPr>
      </w:pPr>
    </w:p>
    <w:bookmarkStart w:id="74" w:name="page75"/>
    <w:bookmarkEnd w:id="74"/>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 STATEMENT OF CHANGES IN SHAREHOLDERS' EQUITY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6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7"/>
        </w:trPr>
        <w:tc>
          <w:tcPr>
            <w:tcW w:w="2620" w:type="dxa"/>
            <w:vAlign w:val="bottom"/>
          </w:tcPr>
          <w:p>
            <w:pPr>
              <w:spacing w:after="0"/>
              <w:rPr>
                <w:sz w:val="24"/>
                <w:szCs w:val="24"/>
                <w:color w:val="auto"/>
              </w:rPr>
            </w:pP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Ordinary Shares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Treasury</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Accumulated Other</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480" w:type="dxa"/>
            <w:vAlign w:val="bottom"/>
            <w:vMerge w:val="continue"/>
          </w:tcPr>
          <w:p>
            <w:pPr>
              <w:spacing w:after="0"/>
              <w:rPr>
                <w:sz w:val="14"/>
                <w:szCs w:val="14"/>
                <w:color w:val="auto"/>
              </w:rPr>
            </w:pP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Comprehensive</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(Loss) Income</w:t>
            </w: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216,058</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$ 3,580</w:t>
            </w:r>
          </w:p>
        </w:tc>
        <w:tc>
          <w:tcPr>
            <w:tcW w:w="13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$ 1,820,956</w:t>
            </w:r>
          </w:p>
        </w:tc>
        <w:tc>
          <w:tcPr>
            <w:tcW w:w="14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 (109,281)</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3,715</w:t>
            </w:r>
          </w:p>
        </w:tc>
        <w:tc>
          <w:tcPr>
            <w:tcW w:w="0" w:type="dxa"/>
            <w:vAlign w:val="bottom"/>
          </w:tcPr>
          <w:p>
            <w:pPr>
              <w:spacing w:after="0"/>
              <w:rPr>
                <w:sz w:val="1"/>
                <w:szCs w:val="1"/>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1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vMerge w:val="restart"/>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1460" w:type="dxa"/>
            <w:vAlign w:val="bottom"/>
            <w:vMerge w:val="restart"/>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(2,846)</w:t>
            </w:r>
          </w:p>
        </w:tc>
        <w:tc>
          <w:tcPr>
            <w:tcW w:w="0" w:type="dxa"/>
            <w:vAlign w:val="bottom"/>
          </w:tcPr>
          <w:p>
            <w:pPr>
              <w:spacing w:after="0"/>
              <w:rPr>
                <w:sz w:val="1"/>
                <w:szCs w:val="1"/>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1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1460" w:type="dxa"/>
            <w:vAlign w:val="bottom"/>
            <w:vMerge w:val="restart"/>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(1,227)</w:t>
            </w:r>
          </w:p>
        </w:tc>
        <w:tc>
          <w:tcPr>
            <w:tcW w:w="0" w:type="dxa"/>
            <w:vAlign w:val="bottom"/>
          </w:tcPr>
          <w:p>
            <w:pPr>
              <w:spacing w:after="0"/>
              <w:rPr>
                <w:sz w:val="1"/>
                <w:szCs w:val="1"/>
                <w:color w:val="auto"/>
              </w:rPr>
            </w:pPr>
          </w:p>
        </w:tc>
      </w:tr>
      <w:tr>
        <w:trPr>
          <w:trHeight w:val="244"/>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14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14,392</w:t>
            </w:r>
          </w:p>
        </w:tc>
        <w:tc>
          <w:tcPr>
            <w:tcW w:w="74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1,064</w:t>
            </w: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3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11,345</w:t>
            </w:r>
          </w:p>
        </w:tc>
        <w:tc>
          <w:tcPr>
            <w:tcW w:w="148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1460" w:type="dxa"/>
            <w:vAlign w:val="bottom"/>
            <w:vMerge w:val="restart"/>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2,738</w:t>
            </w:r>
          </w:p>
        </w:tc>
        <w:tc>
          <w:tcPr>
            <w:tcW w:w="148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1460" w:type="dxa"/>
            <w:vAlign w:val="bottom"/>
            <w:vMerge w:val="restart"/>
          </w:tcPr>
          <w:p>
            <w:pPr>
              <w:jc w:val="center"/>
              <w:ind w:left="8"/>
              <w:spacing w:after="0"/>
              <w:rPr>
                <w:sz w:val="20"/>
                <w:szCs w:val="20"/>
                <w:color w:val="auto"/>
              </w:rPr>
            </w:pPr>
            <w:r>
              <w:rPr>
                <w:rFonts w:ascii="Courier New" w:cs="Courier New" w:eastAsia="Courier New" w:hAnsi="Courier New"/>
                <w:sz w:val="14"/>
                <w:szCs w:val="14"/>
                <w:color w:val="auto"/>
              </w:rPr>
              <w:t>(11,548)</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(307,471)</w:t>
            </w:r>
          </w:p>
        </w:tc>
        <w:tc>
          <w:tcPr>
            <w:tcW w:w="740" w:type="dxa"/>
            <w:vAlign w:val="bottom"/>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1460" w:type="dxa"/>
            <w:vAlign w:val="bottom"/>
            <w:vMerge w:val="restart"/>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48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1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951</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1460" w:type="dxa"/>
            <w:vAlign w:val="bottom"/>
            <w:vMerge w:val="restart"/>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June 30, 2004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vMerge w:val="continue"/>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206,135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$ 3,599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$ 1,836,743</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(402,360)</w:t>
            </w:r>
          </w:p>
        </w:tc>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(358)</w:t>
            </w: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Retained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Courier New" w:cs="Courier New" w:eastAsia="Courier New" w:hAnsi="Courier New"/>
                <w:sz w:val="14"/>
                <w:szCs w:val="14"/>
                <w:color w:val="auto"/>
              </w:rPr>
              <w:t>Unearned</w:t>
            </w: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Accumulated</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(Accumulated</w:t>
            </w: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Compensation</w:t>
            </w:r>
          </w:p>
        </w:tc>
        <w:tc>
          <w:tcPr>
            <w:tcW w:w="20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Deficit)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c>
          <w:tcPr>
            <w:tcW w:w="0" w:type="dxa"/>
            <w:vAlign w:val="bottom"/>
          </w:tcPr>
          <w:p>
            <w:pPr>
              <w:spacing w:after="0"/>
              <w:rPr>
                <w:sz w:val="1"/>
                <w:szCs w:val="1"/>
                <w:color w:val="auto"/>
              </w:rPr>
            </w:pPr>
          </w:p>
        </w:tc>
      </w:tr>
      <w:tr>
        <w:trPr>
          <w:trHeight w:val="244"/>
        </w:trPr>
        <w:tc>
          <w:tcPr>
            <w:tcW w:w="2520" w:type="dxa"/>
            <w:vAlign w:val="bottom"/>
          </w:tcPr>
          <w:p>
            <w:pPr>
              <w:spacing w:after="0"/>
              <w:rPr>
                <w:sz w:val="21"/>
                <w:szCs w:val="21"/>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(127,370)</w:t>
            </w:r>
          </w:p>
        </w:tc>
        <w:tc>
          <w:tcPr>
            <w:tcW w:w="14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$ 1,591,600</w:t>
            </w:r>
          </w:p>
        </w:tc>
        <w:tc>
          <w:tcPr>
            <w:tcW w:w="0" w:type="dxa"/>
            <w:vAlign w:val="bottom"/>
          </w:tcPr>
          <w:p>
            <w:pPr>
              <w:spacing w:after="0"/>
              <w:rPr>
                <w:sz w:val="1"/>
                <w:szCs w:val="1"/>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4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173,278</w:t>
            </w:r>
          </w:p>
        </w:tc>
        <w:tc>
          <w:tcPr>
            <w:tcW w:w="14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173,278</w:t>
            </w:r>
          </w:p>
        </w:tc>
        <w:tc>
          <w:tcPr>
            <w:tcW w:w="0" w:type="dxa"/>
            <w:vAlign w:val="bottom"/>
          </w:tcPr>
          <w:p>
            <w:pPr>
              <w:spacing w:after="0"/>
              <w:rPr>
                <w:sz w:val="1"/>
                <w:szCs w:val="1"/>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440" w:type="dxa"/>
            <w:vAlign w:val="bottom"/>
          </w:tcPr>
          <w:p>
            <w:pPr>
              <w:spacing w:after="0"/>
              <w:rPr>
                <w:sz w:val="14"/>
                <w:szCs w:val="14"/>
                <w:color w:val="auto"/>
              </w:rPr>
            </w:pPr>
          </w:p>
        </w:tc>
        <w:tc>
          <w:tcPr>
            <w:tcW w:w="11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(2,846)</w:t>
            </w:r>
          </w:p>
        </w:tc>
        <w:tc>
          <w:tcPr>
            <w:tcW w:w="0" w:type="dxa"/>
            <w:vAlign w:val="bottom"/>
          </w:tcPr>
          <w:p>
            <w:pPr>
              <w:spacing w:after="0"/>
              <w:rPr>
                <w:sz w:val="1"/>
                <w:szCs w:val="1"/>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440" w:type="dxa"/>
            <w:vAlign w:val="bottom"/>
          </w:tcPr>
          <w:p>
            <w:pPr>
              <w:spacing w:after="0"/>
              <w:rPr>
                <w:sz w:val="14"/>
                <w:szCs w:val="14"/>
                <w:color w:val="auto"/>
              </w:rPr>
            </w:pPr>
          </w:p>
        </w:tc>
        <w:tc>
          <w:tcPr>
            <w:tcW w:w="11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(1,227)</w:t>
            </w:r>
          </w:p>
        </w:tc>
        <w:tc>
          <w:tcPr>
            <w:tcW w:w="0" w:type="dxa"/>
            <w:vAlign w:val="bottom"/>
          </w:tcPr>
          <w:p>
            <w:pPr>
              <w:spacing w:after="0"/>
              <w:rPr>
                <w:sz w:val="1"/>
                <w:szCs w:val="1"/>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169,205</w:t>
            </w:r>
          </w:p>
        </w:tc>
        <w:tc>
          <w:tcPr>
            <w:tcW w:w="0" w:type="dxa"/>
            <w:vAlign w:val="bottom"/>
          </w:tcPr>
          <w:p>
            <w:pPr>
              <w:spacing w:after="0"/>
              <w:rPr>
                <w:sz w:val="1"/>
                <w:szCs w:val="1"/>
                <w:color w:val="auto"/>
              </w:rPr>
            </w:pPr>
          </w:p>
        </w:tc>
      </w:tr>
      <w:tr>
        <w:trPr>
          <w:trHeight w:val="167"/>
        </w:trPr>
        <w:tc>
          <w:tcPr>
            <w:tcW w:w="2520" w:type="dxa"/>
            <w:vAlign w:val="bottom"/>
            <w:vMerge w:val="restart"/>
          </w:tcPr>
          <w:p>
            <w:pPr>
              <w:spacing w:after="0"/>
              <w:rPr>
                <w:sz w:val="20"/>
                <w:szCs w:val="20"/>
                <w:color w:val="auto"/>
              </w:rPr>
            </w:pPr>
            <w:r>
              <w:rPr>
                <w:rFonts w:ascii="Courier New" w:cs="Courier New" w:eastAsia="Courier New" w:hAnsi="Courier New"/>
                <w:sz w:val="14"/>
                <w:szCs w:val="14"/>
                <w:color w:val="auto"/>
              </w:rPr>
              <w:t>Issuance of ordinary</w:t>
            </w:r>
          </w:p>
        </w:tc>
        <w:tc>
          <w:tcPr>
            <w:tcW w:w="440" w:type="dxa"/>
            <w:vAlign w:val="bottom"/>
          </w:tcPr>
          <w:p>
            <w:pPr>
              <w:spacing w:after="0"/>
              <w:rPr>
                <w:sz w:val="14"/>
                <w:szCs w:val="14"/>
                <w:color w:val="auto"/>
              </w:rPr>
            </w:pPr>
          </w:p>
        </w:tc>
        <w:tc>
          <w:tcPr>
            <w:tcW w:w="11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15,139</w:t>
            </w:r>
          </w:p>
        </w:tc>
        <w:tc>
          <w:tcPr>
            <w:tcW w:w="0" w:type="dxa"/>
            <w:vAlign w:val="bottom"/>
          </w:tcPr>
          <w:p>
            <w:pPr>
              <w:spacing w:after="0"/>
              <w:rPr>
                <w:sz w:val="1"/>
                <w:szCs w:val="1"/>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440" w:type="dxa"/>
            <w:vAlign w:val="bottom"/>
          </w:tcPr>
          <w:p>
            <w:pPr>
              <w:spacing w:after="0"/>
              <w:rPr>
                <w:sz w:val="14"/>
                <w:szCs w:val="14"/>
                <w:color w:val="auto"/>
              </w:rPr>
            </w:pPr>
          </w:p>
        </w:tc>
        <w:tc>
          <w:tcPr>
            <w:tcW w:w="11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11,364</w:t>
            </w:r>
          </w:p>
        </w:tc>
        <w:tc>
          <w:tcPr>
            <w:tcW w:w="0" w:type="dxa"/>
            <w:vAlign w:val="bottom"/>
          </w:tcPr>
          <w:p>
            <w:pPr>
              <w:spacing w:after="0"/>
              <w:rPr>
                <w:sz w:val="1"/>
                <w:szCs w:val="1"/>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440" w:type="dxa"/>
            <w:vAlign w:val="bottom"/>
          </w:tcPr>
          <w:p>
            <w:pPr>
              <w:spacing w:after="0"/>
              <w:rPr>
                <w:sz w:val="14"/>
                <w:szCs w:val="14"/>
                <w:color w:val="auto"/>
              </w:rPr>
            </w:pPr>
          </w:p>
        </w:tc>
        <w:tc>
          <w:tcPr>
            <w:tcW w:w="11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2,738</w:t>
            </w:r>
          </w:p>
        </w:tc>
        <w:tc>
          <w:tcPr>
            <w:tcW w:w="0" w:type="dxa"/>
            <w:vAlign w:val="bottom"/>
          </w:tcPr>
          <w:p>
            <w:pPr>
              <w:spacing w:after="0"/>
              <w:rPr>
                <w:sz w:val="1"/>
                <w:szCs w:val="1"/>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440" w:type="dxa"/>
            <w:vAlign w:val="bottom"/>
          </w:tcPr>
          <w:p>
            <w:pPr>
              <w:spacing w:after="0"/>
              <w:rPr>
                <w:sz w:val="14"/>
                <w:szCs w:val="14"/>
                <w:color w:val="auto"/>
              </w:rPr>
            </w:pPr>
          </w:p>
        </w:tc>
        <w:tc>
          <w:tcPr>
            <w:tcW w:w="11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(307,471)</w:t>
            </w:r>
          </w:p>
        </w:tc>
        <w:tc>
          <w:tcPr>
            <w:tcW w:w="0" w:type="dxa"/>
            <w:vAlign w:val="bottom"/>
          </w:tcPr>
          <w:p>
            <w:pPr>
              <w:spacing w:after="0"/>
              <w:rPr>
                <w:sz w:val="1"/>
                <w:szCs w:val="1"/>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440" w:type="dxa"/>
            <w:vAlign w:val="bottom"/>
          </w:tcPr>
          <w:p>
            <w:pPr>
              <w:spacing w:after="0"/>
              <w:rPr>
                <w:sz w:val="14"/>
                <w:szCs w:val="14"/>
                <w:color w:val="auto"/>
              </w:rPr>
            </w:pPr>
          </w:p>
        </w:tc>
        <w:tc>
          <w:tcPr>
            <w:tcW w:w="11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(951)</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440" w:type="dxa"/>
            <w:vAlign w:val="bottom"/>
          </w:tcPr>
          <w:p>
            <w:pPr>
              <w:spacing w:after="0"/>
              <w:rPr>
                <w:sz w:val="14"/>
                <w:szCs w:val="14"/>
                <w:color w:val="auto"/>
              </w:rPr>
            </w:pPr>
          </w:p>
        </w:tc>
        <w:tc>
          <w:tcPr>
            <w:tcW w:w="11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380</w:t>
            </w:r>
          </w:p>
        </w:tc>
        <w:tc>
          <w:tcPr>
            <w:tcW w:w="200" w:type="dxa"/>
            <w:vAlign w:val="bottom"/>
          </w:tcPr>
          <w:p>
            <w:pPr>
              <w:spacing w:after="0"/>
              <w:rPr>
                <w:sz w:val="14"/>
                <w:szCs w:val="14"/>
                <w:color w:val="auto"/>
              </w:rPr>
            </w:pPr>
          </w:p>
        </w:tc>
        <w:tc>
          <w:tcPr>
            <w:tcW w:w="13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380</w:t>
            </w:r>
          </w:p>
        </w:tc>
        <w:tc>
          <w:tcPr>
            <w:tcW w:w="0" w:type="dxa"/>
            <w:vAlign w:val="bottom"/>
          </w:tcPr>
          <w:p>
            <w:pPr>
              <w:spacing w:after="0"/>
              <w:rPr>
                <w:sz w:val="1"/>
                <w:szCs w:val="1"/>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June 30, 2004</w:t>
            </w: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20" w:type="dxa"/>
            <w:vAlign w:val="bottom"/>
            <w:vMerge w:val="continue"/>
          </w:tcPr>
          <w:p>
            <w:pPr>
              <w:spacing w:after="0"/>
              <w:rPr>
                <w:sz w:val="14"/>
                <w:szCs w:val="14"/>
                <w:color w:val="auto"/>
              </w:rPr>
            </w:pP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(571)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45,908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$ 1,482,961</w:t>
            </w:r>
          </w:p>
        </w:tc>
        <w:tc>
          <w:tcPr>
            <w:tcW w:w="0" w:type="dxa"/>
            <w:vAlign w:val="bottom"/>
          </w:tcPr>
          <w:p>
            <w:pPr>
              <w:spacing w:after="0"/>
              <w:rPr>
                <w:sz w:val="1"/>
                <w:szCs w:val="1"/>
                <w:color w:val="auto"/>
              </w:rPr>
            </w:pPr>
          </w:p>
        </w:tc>
      </w:tr>
      <w:tr>
        <w:trPr>
          <w:trHeight w:val="244"/>
        </w:trPr>
        <w:tc>
          <w:tcPr>
            <w:tcW w:w="2520" w:type="dxa"/>
            <w:vAlign w:val="bottom"/>
          </w:tcPr>
          <w:p>
            <w:pPr>
              <w:spacing w:after="0"/>
              <w:rPr>
                <w:sz w:val="21"/>
                <w:szCs w:val="21"/>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761" w:right="1440" w:bottom="0" w:gutter="0" w:footer="0" w:header="0"/>
        </w:sectPr>
      </w:pPr>
    </w:p>
    <w:bookmarkStart w:id="75" w:name="page76"/>
    <w:bookmarkEnd w:id="75"/>
    <w:p>
      <w:pPr>
        <w:ind w:right="3539"/>
        <w:spacing w:after="0" w:line="285" w:lineRule="auto"/>
        <w:rPr>
          <w:sz w:val="20"/>
          <w:szCs w:val="20"/>
          <w:color w:val="auto"/>
        </w:rPr>
      </w:pPr>
      <w:r>
        <w:rPr>
          <w:rFonts w:ascii="Courier New" w:cs="Courier New" w:eastAsia="Courier New" w:hAnsi="Courier New"/>
          <w:sz w:val="14"/>
          <w:szCs w:val="14"/>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115" w:right="1440" w:bottom="1440" w:gutter="0" w:footer="0" w:header="0"/>
        </w:sectPr>
      </w:pPr>
    </w:p>
    <w:bookmarkStart w:id="76" w:name="page77"/>
    <w:bookmarkEnd w:id="76"/>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2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49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Nine months ended June 30,</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2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173,278</w:t>
            </w:r>
          </w:p>
        </w:tc>
        <w:tc>
          <w:tcPr>
            <w:tcW w:w="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125,012</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 by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0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76,944</w:t>
            </w:r>
          </w:p>
        </w:tc>
        <w:tc>
          <w:tcPr>
            <w:tcW w:w="3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69,973</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loss on sale of equipment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on 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(8,093)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10,556</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Realized  loss from short-term interest-bearing</w:t>
            </w:r>
          </w:p>
        </w:tc>
        <w:tc>
          <w:tcPr>
            <w:tcW w:w="20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w:t>
            </w:r>
          </w:p>
        </w:tc>
        <w:tc>
          <w:tcPr>
            <w:tcW w:w="0" w:type="dxa"/>
            <w:vAlign w:val="bottom"/>
          </w:tcPr>
          <w:p>
            <w:pPr>
              <w:spacing w:after="0"/>
              <w:rPr>
                <w:sz w:val="1"/>
                <w:szCs w:val="1"/>
                <w:color w:val="auto"/>
              </w:rPr>
            </w:pP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 net of</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amounts acquired:</w:t>
            </w:r>
          </w:p>
        </w:tc>
        <w:tc>
          <w:tcPr>
            <w:tcW w:w="200" w:type="dxa"/>
            <w:vAlign w:val="bottom"/>
          </w:tcPr>
          <w:p>
            <w:pPr>
              <w:spacing w:after="0"/>
              <w:rPr>
                <w:sz w:val="14"/>
                <w:szCs w:val="14"/>
                <w:color w:val="auto"/>
              </w:rPr>
            </w:pPr>
          </w:p>
        </w:tc>
        <w:tc>
          <w:tcPr>
            <w:tcW w:w="11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(69,503)</w:t>
            </w:r>
          </w:p>
        </w:tc>
        <w:tc>
          <w:tcPr>
            <w:tcW w:w="3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32,365</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(12,597)</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assets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(41,941)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(18,795)</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20,436</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54,543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47,889</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5,411</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Noncurrent liabilities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w:t>
            </w:r>
          </w:p>
        </w:tc>
        <w:tc>
          <w:tcPr>
            <w:tcW w:w="0" w:type="dxa"/>
            <w:vAlign w:val="bottom"/>
          </w:tcPr>
          <w:p>
            <w:pPr>
              <w:spacing w:after="0"/>
              <w:rPr>
                <w:sz w:val="1"/>
                <w:szCs w:val="1"/>
                <w:color w:val="auto"/>
              </w:rPr>
            </w:pPr>
          </w:p>
        </w:tc>
      </w:tr>
      <w:tr>
        <w:trPr>
          <w:trHeight w:val="167"/>
        </w:trPr>
        <w:tc>
          <w:tcPr>
            <w:tcW w:w="492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284,017</w:t>
            </w: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20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1,841</w:t>
            </w:r>
          </w:p>
        </w:tc>
        <w:tc>
          <w:tcPr>
            <w:tcW w:w="3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1,710</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leasehold</w:t>
            </w:r>
          </w:p>
        </w:tc>
        <w:tc>
          <w:tcPr>
            <w:tcW w:w="200" w:type="dxa"/>
            <w:vAlign w:val="bottom"/>
          </w:tcPr>
          <w:p>
            <w:pPr>
              <w:spacing w:after="0"/>
              <w:rPr>
                <w:sz w:val="14"/>
                <w:szCs w:val="14"/>
                <w:color w:val="auto"/>
              </w:rPr>
            </w:pPr>
          </w:p>
        </w:tc>
        <w:tc>
          <w:tcPr>
            <w:tcW w:w="11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(33,532)</w:t>
            </w:r>
          </w:p>
        </w:tc>
        <w:tc>
          <w:tcPr>
            <w:tcW w:w="3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(47,192)</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 and other</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short-term interest-bearing</w:t>
            </w:r>
          </w:p>
        </w:tc>
        <w:tc>
          <w:tcPr>
            <w:tcW w:w="20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863,304</w:t>
            </w:r>
          </w:p>
        </w:tc>
        <w:tc>
          <w:tcPr>
            <w:tcW w:w="3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631,845</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Purchase of short-term interest-bearing investments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(1,158,407)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(637,148)</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 reimbursement of cash in acquisition</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11,111</w:t>
            </w:r>
          </w:p>
        </w:tc>
        <w:tc>
          <w:tcPr>
            <w:tcW w:w="0" w:type="dxa"/>
            <w:vAlign w:val="bottom"/>
          </w:tcPr>
          <w:p>
            <w:pPr>
              <w:spacing w:after="0"/>
              <w:rPr>
                <w:sz w:val="1"/>
                <w:szCs w:val="1"/>
                <w:color w:val="auto"/>
              </w:rPr>
            </w:pPr>
          </w:p>
        </w:tc>
      </w:tr>
      <w:tr>
        <w:trPr>
          <w:trHeight w:val="167"/>
        </w:trPr>
        <w:tc>
          <w:tcPr>
            <w:tcW w:w="492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(337,361)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(39,674)</w:t>
            </w: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200" w:type="dxa"/>
            <w:vAlign w:val="bottom"/>
          </w:tcPr>
          <w:p>
            <w:pPr>
              <w:spacing w:after="0"/>
              <w:rPr>
                <w:sz w:val="22"/>
                <w:szCs w:val="22"/>
                <w:color w:val="auto"/>
              </w:rPr>
            </w:pP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11,364</w:t>
            </w:r>
          </w:p>
        </w:tc>
        <w:tc>
          <w:tcPr>
            <w:tcW w:w="300" w:type="dxa"/>
            <w:vAlign w:val="bottom"/>
          </w:tcPr>
          <w:p>
            <w:pPr>
              <w:spacing w:after="0"/>
              <w:rPr>
                <w:sz w:val="22"/>
                <w:szCs w:val="22"/>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2,024</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employee stock options exercised</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proceeds from issue of long-term 0.50% convertible</w:t>
            </w:r>
          </w:p>
        </w:tc>
        <w:tc>
          <w:tcPr>
            <w:tcW w:w="20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441,736</w:t>
            </w:r>
          </w:p>
        </w:tc>
        <w:tc>
          <w:tcPr>
            <w:tcW w:w="300" w:type="dxa"/>
            <w:vAlign w:val="bottom"/>
          </w:tcPr>
          <w:p>
            <w:pPr>
              <w:spacing w:after="0"/>
              <w:rPr>
                <w:sz w:val="14"/>
                <w:szCs w:val="14"/>
                <w:color w:val="auto"/>
              </w:rPr>
            </w:pP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ordinary shares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(307,471)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Redemption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(395,110)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Borrowings under financing arrangements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under financing arrangements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on capital lease obligations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(7,714)</w:t>
            </w:r>
          </w:p>
        </w:tc>
        <w:tc>
          <w:tcPr>
            <w:tcW w:w="0" w:type="dxa"/>
            <w:vAlign w:val="bottom"/>
          </w:tcPr>
          <w:p>
            <w:pPr>
              <w:spacing w:after="0"/>
              <w:rPr>
                <w:sz w:val="1"/>
                <w:szCs w:val="1"/>
                <w:color w:val="auto"/>
              </w:rPr>
            </w:pPr>
          </w:p>
        </w:tc>
      </w:tr>
      <w:tr>
        <w:trPr>
          <w:trHeight w:val="167"/>
        </w:trPr>
        <w:tc>
          <w:tcPr>
            <w:tcW w:w="492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(275,460)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(5,690)</w:t>
            </w: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2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(355,154)</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238,653</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847,600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466,655</w:t>
            </w:r>
          </w:p>
        </w:tc>
        <w:tc>
          <w:tcPr>
            <w:tcW w:w="0" w:type="dxa"/>
            <w:vAlign w:val="bottom"/>
          </w:tcPr>
          <w:p>
            <w:pPr>
              <w:spacing w:after="0"/>
              <w:rPr>
                <w:sz w:val="1"/>
                <w:szCs w:val="1"/>
                <w:color w:val="auto"/>
              </w:rPr>
            </w:pPr>
          </w:p>
        </w:tc>
      </w:tr>
      <w:tr>
        <w:trPr>
          <w:trHeight w:val="167"/>
        </w:trPr>
        <w:tc>
          <w:tcPr>
            <w:tcW w:w="4920" w:type="dxa"/>
            <w:vAlign w:val="bottom"/>
            <w:vMerge w:val="restart"/>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920" w:type="dxa"/>
            <w:vAlign w:val="bottom"/>
            <w:vMerge w:val="continue"/>
          </w:tcPr>
          <w:p>
            <w:pPr>
              <w:spacing w:after="0"/>
              <w:rPr>
                <w:sz w:val="14"/>
                <w:szCs w:val="1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492,446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705,308</w:t>
            </w: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2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22,734</w:t>
            </w:r>
          </w:p>
        </w:tc>
        <w:tc>
          <w:tcPr>
            <w:tcW w:w="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25,611</w:t>
            </w:r>
          </w:p>
        </w:tc>
        <w:tc>
          <w:tcPr>
            <w:tcW w:w="0" w:type="dxa"/>
            <w:vAlign w:val="bottom"/>
          </w:tcPr>
          <w:p>
            <w:pPr>
              <w:spacing w:after="0"/>
              <w:rPr>
                <w:sz w:val="1"/>
                <w:szCs w:val="1"/>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net of refunds</w:t>
            </w: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21"/>
                <w:szCs w:val="21"/>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9,733</w:t>
            </w:r>
          </w:p>
        </w:tc>
        <w:tc>
          <w:tcPr>
            <w:tcW w:w="30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9,323</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342" w:lineRule="exact"/>
        <w:rPr>
          <w:sz w:val="20"/>
          <w:szCs w:val="20"/>
          <w:color w:val="auto"/>
        </w:rPr>
      </w:pPr>
    </w:p>
    <w:p>
      <w:pPr>
        <w:ind w:right="3279"/>
        <w:spacing w:after="0" w:line="378" w:lineRule="auto"/>
        <w:rPr>
          <w:sz w:val="20"/>
          <w:szCs w:val="20"/>
          <w:color w:val="auto"/>
        </w:rPr>
      </w:pPr>
      <w:r>
        <w:rPr>
          <w:rFonts w:ascii="Courier New" w:cs="Courier New" w:eastAsia="Courier New" w:hAnsi="Courier New"/>
          <w:sz w:val="14"/>
          <w:szCs w:val="14"/>
          <w:color w:val="auto"/>
        </w:rPr>
        <w:t>In the nine months ended June 30, 2004, the Company issued 561 ordinary shares in connection with the acquisition of XACCT (as defined below). See Note 10.</w:t>
      </w:r>
    </w:p>
    <w:p>
      <w:pPr>
        <w:spacing w:after="0" w:line="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1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594" w:right="1440" w:bottom="1440" w:gutter="0" w:footer="0" w:header="0"/>
        </w:sectPr>
      </w:pPr>
    </w:p>
    <w:bookmarkStart w:id="77" w:name="page78"/>
    <w:bookmarkEnd w:id="77"/>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440" w:hanging="431"/>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left="360" w:right="3279" w:firstLine="434"/>
        <w:spacing w:after="0" w:line="274" w:lineRule="auto"/>
        <w:rPr>
          <w:sz w:val="20"/>
          <w:szCs w:val="20"/>
          <w:color w:val="auto"/>
        </w:rPr>
      </w:pPr>
      <w:r>
        <w:rPr>
          <w:rFonts w:ascii="Courier New" w:cs="Courier New" w:eastAsia="Courier New" w:hAnsi="Courier New"/>
          <w:sz w:val="14"/>
          <w:szCs w:val="14"/>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68" w:lineRule="exact"/>
        <w:rPr>
          <w:sz w:val="20"/>
          <w:szCs w:val="20"/>
          <w:color w:val="auto"/>
        </w:rPr>
      </w:pPr>
    </w:p>
    <w:p>
      <w:pPr>
        <w:ind w:left="360" w:right="3279" w:firstLine="434"/>
        <w:spacing w:after="0" w:line="278"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66" w:lineRule="exact"/>
        <w:rPr>
          <w:sz w:val="20"/>
          <w:szCs w:val="20"/>
          <w:color w:val="auto"/>
        </w:rPr>
      </w:pPr>
    </w:p>
    <w:p>
      <w:pPr>
        <w:ind w:left="360" w:right="3279" w:firstLine="434"/>
        <w:spacing w:after="0" w:line="278"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66" w:lineRule="exact"/>
        <w:rPr>
          <w:sz w:val="20"/>
          <w:szCs w:val="20"/>
          <w:color w:val="auto"/>
        </w:rPr>
      </w:pPr>
    </w:p>
    <w:p>
      <w:pPr>
        <w:ind w:left="360" w:right="3279" w:firstLine="434"/>
        <w:spacing w:after="0" w:line="268"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Reclassification</w:t>
      </w:r>
    </w:p>
    <w:p>
      <w:pPr>
        <w:spacing w:after="0" w:line="175" w:lineRule="exact"/>
        <w:rPr>
          <w:sz w:val="20"/>
          <w:szCs w:val="20"/>
          <w:color w:val="auto"/>
        </w:rPr>
      </w:pPr>
    </w:p>
    <w:p>
      <w:pPr>
        <w:ind w:right="3639" w:firstLine="781"/>
        <w:spacing w:after="0" w:line="378" w:lineRule="auto"/>
        <w:rPr>
          <w:sz w:val="20"/>
          <w:szCs w:val="20"/>
          <w:color w:val="auto"/>
        </w:rPr>
      </w:pPr>
      <w:r>
        <w:rPr>
          <w:rFonts w:ascii="Courier New" w:cs="Courier New" w:eastAsia="Courier New" w:hAnsi="Courier New"/>
          <w:sz w:val="14"/>
          <w:szCs w:val="14"/>
          <w:color w:val="auto"/>
        </w:rPr>
        <w:t>Certain prior year amounts have been reclassified to conform to the current year presentation.</w:t>
      </w:r>
    </w:p>
    <w:p>
      <w:pPr>
        <w:spacing w:after="0" w:line="1" w:lineRule="exact"/>
        <w:rPr>
          <w:sz w:val="20"/>
          <w:szCs w:val="20"/>
          <w:color w:val="auto"/>
        </w:rPr>
      </w:pPr>
    </w:p>
    <w:p>
      <w:pPr>
        <w:ind w:left="800" w:right="6059" w:hanging="791"/>
        <w:spacing w:after="0" w:line="505"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ind w:left="360" w:right="3279" w:firstLine="434"/>
        <w:spacing w:after="0" w:line="264" w:lineRule="auto"/>
        <w:rPr>
          <w:sz w:val="20"/>
          <w:szCs w:val="20"/>
          <w:color w:val="auto"/>
        </w:rPr>
      </w:pPr>
      <w:r>
        <w:rPr>
          <w:rFonts w:ascii="Courier New" w:cs="Courier New" w:eastAsia="Courier New" w:hAnsi="Courier New"/>
          <w:sz w:val="14"/>
          <w:szCs w:val="14"/>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251" w:lineRule="exact"/>
        <w:rPr>
          <w:sz w:val="20"/>
          <w:szCs w:val="20"/>
          <w:color w:val="auto"/>
        </w:rPr>
      </w:pPr>
    </w:p>
    <w:p>
      <w:pPr>
        <w:ind w:left="440" w:right="3379" w:firstLine="347"/>
        <w:spacing w:after="0" w:line="267" w:lineRule="auto"/>
        <w:rPr>
          <w:sz w:val="20"/>
          <w:szCs w:val="20"/>
          <w:color w:val="auto"/>
        </w:rPr>
      </w:pPr>
      <w:r>
        <w:rPr>
          <w:rFonts w:ascii="Courier New" w:cs="Courier New" w:eastAsia="Courier New" w:hAnsi="Courier New"/>
          <w:sz w:val="14"/>
          <w:szCs w:val="14"/>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7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27" w:right="1440" w:bottom="1440" w:gutter="0" w:footer="0" w:header="0"/>
        </w:sectPr>
      </w:pPr>
    </w:p>
    <w:bookmarkStart w:id="78" w:name="page79"/>
    <w:bookmarkEnd w:id="78"/>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66" w:lineRule="exact"/>
        <w:rPr>
          <w:sz w:val="20"/>
          <w:szCs w:val="20"/>
          <w:color w:val="auto"/>
        </w:rPr>
      </w:pPr>
    </w:p>
    <w:p>
      <w:pPr>
        <w:jc w:val="both"/>
        <w:ind w:right="3539" w:firstLine="347"/>
        <w:spacing w:after="0" w:line="317" w:lineRule="auto"/>
        <w:rPr>
          <w:sz w:val="20"/>
          <w:szCs w:val="20"/>
          <w:color w:val="auto"/>
        </w:rPr>
      </w:pPr>
      <w:r>
        <w:rPr>
          <w:rFonts w:ascii="Courier New" w:cs="Courier New" w:eastAsia="Courier New" w:hAnsi="Courier New"/>
          <w:sz w:val="14"/>
          <w:szCs w:val="14"/>
          <w:color w:val="auto"/>
        </w:rPr>
        <w:t>The fair value of options granted was estimated at the date of grant using the Black-Scholes pricing model with the following assumptions for the presented periods (all in weighted averages):</w:t>
      </w:r>
    </w:p>
    <w:p>
      <w:pPr>
        <w:spacing w:after="0" w:line="373"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6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6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r>
      <w:tr>
        <w:trPr>
          <w:trHeight w:val="244"/>
        </w:trPr>
        <w:tc>
          <w:tcPr>
            <w:tcW w:w="290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90"/>
        </w:trPr>
        <w:tc>
          <w:tcPr>
            <w:tcW w:w="290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0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3.10%</w:t>
            </w:r>
          </w:p>
        </w:tc>
        <w:tc>
          <w:tcPr>
            <w:tcW w:w="5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2.56%</w:t>
            </w:r>
          </w:p>
        </w:tc>
        <w:tc>
          <w:tcPr>
            <w:tcW w:w="44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2.14%</w:t>
            </w:r>
          </w:p>
        </w:tc>
        <w:tc>
          <w:tcPr>
            <w:tcW w:w="400" w:type="dxa"/>
            <w:vAlign w:val="bottom"/>
          </w:tcPr>
          <w:p>
            <w:pPr>
              <w:spacing w:after="0"/>
              <w:rPr>
                <w:sz w:val="24"/>
                <w:szCs w:val="2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2.98</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3.00</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2.93</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annual volatility</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44.1%</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51.1%</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44.3%</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57.0%</w:t>
            </w:r>
          </w:p>
        </w:tc>
      </w:tr>
      <w:tr>
        <w:trPr>
          <w:trHeight w:val="244"/>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080" w:type="dxa"/>
            <w:vAlign w:val="bottom"/>
          </w:tcPr>
          <w:p>
            <w:pPr>
              <w:spacing w:after="0"/>
              <w:rPr>
                <w:sz w:val="21"/>
                <w:szCs w:val="21"/>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None</w:t>
            </w:r>
          </w:p>
        </w:tc>
        <w:tc>
          <w:tcPr>
            <w:tcW w:w="520" w:type="dxa"/>
            <w:vAlign w:val="bottom"/>
          </w:tcPr>
          <w:p>
            <w:pPr>
              <w:spacing w:after="0"/>
              <w:rPr>
                <w:sz w:val="21"/>
                <w:szCs w:val="21"/>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40" w:type="dxa"/>
            <w:vAlign w:val="bottom"/>
          </w:tcPr>
          <w:p>
            <w:pPr>
              <w:spacing w:after="0"/>
              <w:rPr>
                <w:sz w:val="21"/>
                <w:szCs w:val="21"/>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21"/>
                <w:szCs w:val="21"/>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None</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Fair value per option</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7.01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5.02</w:t>
            </w:r>
          </w:p>
        </w:tc>
      </w:tr>
    </w:tbl>
    <w:p>
      <w:pPr>
        <w:spacing w:after="0" w:line="256" w:lineRule="exact"/>
        <w:rPr>
          <w:sz w:val="20"/>
          <w:szCs w:val="20"/>
          <w:color w:val="auto"/>
        </w:rPr>
      </w:pPr>
    </w:p>
    <w:p>
      <w:pPr>
        <w:ind w:right="3379" w:firstLine="347"/>
        <w:spacing w:after="0" w:line="317" w:lineRule="auto"/>
        <w:rPr>
          <w:sz w:val="20"/>
          <w:szCs w:val="20"/>
          <w:color w:val="auto"/>
        </w:rPr>
      </w:pPr>
      <w:r>
        <w:rPr>
          <w:rFonts w:ascii="Courier New" w:cs="Courier New" w:eastAsia="Courier New" w:hAnsi="Courier New"/>
          <w:sz w:val="14"/>
          <w:szCs w:val="14"/>
          <w:color w:val="auto"/>
        </w:rPr>
        <w:t>The following table sets forth the pro forma effect of applying SFAS No. 123 on net income and earnings per share for the three months and nine months ended June 30, 2004 and 2003:</w:t>
      </w:r>
    </w:p>
    <w:p>
      <w:pPr>
        <w:spacing w:after="0" w:line="373"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3"/>
          </w:tcPr>
          <w:p>
            <w:pPr>
              <w:jc w:val="center"/>
              <w:ind w:right="348"/>
              <w:spacing w:after="0"/>
              <w:rPr>
                <w:sz w:val="20"/>
                <w:szCs w:val="20"/>
                <w:color w:val="auto"/>
              </w:rPr>
            </w:pPr>
            <w:r>
              <w:rPr>
                <w:rFonts w:ascii="Courier New" w:cs="Courier New" w:eastAsia="Courier New" w:hAnsi="Courier New"/>
                <w:sz w:val="14"/>
                <w:szCs w:val="14"/>
                <w:color w:val="auto"/>
              </w:rPr>
              <w:t>Three months ended</w:t>
            </w:r>
          </w:p>
        </w:tc>
        <w:tc>
          <w:tcPr>
            <w:tcW w:w="360" w:type="dxa"/>
            <w:vAlign w:val="bottom"/>
          </w:tcPr>
          <w:p>
            <w:pPr>
              <w:spacing w:after="0"/>
              <w:rPr>
                <w:sz w:val="14"/>
                <w:szCs w:val="14"/>
                <w:color w:val="auto"/>
              </w:rPr>
            </w:pPr>
          </w:p>
        </w:tc>
        <w:tc>
          <w:tcPr>
            <w:tcW w:w="25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left="58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tcPr>
          <w:p>
            <w:pPr>
              <w:spacing w:after="0"/>
              <w:rPr>
                <w:sz w:val="14"/>
                <w:szCs w:val="14"/>
                <w:color w:val="auto"/>
              </w:rPr>
            </w:pPr>
          </w:p>
        </w:tc>
        <w:tc>
          <w:tcPr>
            <w:tcW w:w="31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36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3380" w:type="dxa"/>
            <w:vAlign w:val="bottom"/>
          </w:tcPr>
          <w:p>
            <w:pPr>
              <w:spacing w:after="0"/>
              <w:rPr>
                <w:sz w:val="21"/>
                <w:szCs w:val="21"/>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59,920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47,438</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125,012</w:t>
            </w:r>
          </w:p>
        </w:tc>
        <w:tc>
          <w:tcPr>
            <w:tcW w:w="0" w:type="dxa"/>
            <w:vAlign w:val="bottom"/>
          </w:tcPr>
          <w:p>
            <w:pPr>
              <w:spacing w:after="0"/>
              <w:rPr>
                <w:sz w:val="1"/>
                <w:szCs w:val="1"/>
                <w:color w:val="auto"/>
              </w:rPr>
            </w:pP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Add: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 included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in net income, net of related</w:t>
            </w:r>
          </w:p>
        </w:tc>
        <w:tc>
          <w:tcPr>
            <w:tcW w:w="560" w:type="dxa"/>
            <w:vAlign w:val="bottom"/>
          </w:tcPr>
          <w:p>
            <w:pPr>
              <w:spacing w:after="0"/>
              <w:rPr>
                <w:sz w:val="14"/>
                <w:szCs w:val="14"/>
                <w:color w:val="auto"/>
              </w:rPr>
            </w:pPr>
          </w:p>
        </w:tc>
        <w:tc>
          <w:tcPr>
            <w:tcW w:w="11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14"/>
                <w:szCs w:val="14"/>
                <w:color w:val="auto"/>
              </w:rPr>
            </w:pP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400" w:type="dxa"/>
            <w:vAlign w:val="bottom"/>
          </w:tcPr>
          <w:p>
            <w:pPr>
              <w:spacing w:after="0"/>
              <w:rPr>
                <w:sz w:val="14"/>
                <w:szCs w:val="14"/>
                <w:color w:val="auto"/>
              </w:rPr>
            </w:pP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tax effects</w:t>
            </w: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Total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determined under fair value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method for all awards, net of</w:t>
            </w:r>
          </w:p>
        </w:tc>
        <w:tc>
          <w:tcPr>
            <w:tcW w:w="560" w:type="dxa"/>
            <w:vAlign w:val="bottom"/>
          </w:tcPr>
          <w:p>
            <w:pPr>
              <w:spacing w:after="0"/>
              <w:rPr>
                <w:sz w:val="14"/>
                <w:szCs w:val="14"/>
                <w:color w:val="auto"/>
              </w:rPr>
            </w:pPr>
          </w:p>
        </w:tc>
        <w:tc>
          <w:tcPr>
            <w:tcW w:w="11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(7,131)</w:t>
            </w:r>
          </w:p>
        </w:tc>
        <w:tc>
          <w:tcPr>
            <w:tcW w:w="42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(17,182)</w:t>
            </w:r>
          </w:p>
        </w:tc>
        <w:tc>
          <w:tcPr>
            <w:tcW w:w="360" w:type="dxa"/>
            <w:vAlign w:val="bottom"/>
          </w:tcPr>
          <w:p>
            <w:pPr>
              <w:spacing w:after="0"/>
              <w:rPr>
                <w:sz w:val="14"/>
                <w:szCs w:val="14"/>
                <w:color w:val="auto"/>
              </w:rPr>
            </w:pP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(26,335)</w:t>
            </w:r>
          </w:p>
        </w:tc>
        <w:tc>
          <w:tcPr>
            <w:tcW w:w="400" w:type="dxa"/>
            <w:vAlign w:val="bottom"/>
          </w:tcPr>
          <w:p>
            <w:pPr>
              <w:spacing w:after="0"/>
              <w:rPr>
                <w:sz w:val="14"/>
                <w:szCs w:val="14"/>
                <w:color w:val="auto"/>
              </w:rPr>
            </w:pP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(47,189)</w:t>
            </w:r>
          </w:p>
        </w:tc>
        <w:tc>
          <w:tcPr>
            <w:tcW w:w="0" w:type="dxa"/>
            <w:vAlign w:val="bottom"/>
          </w:tcPr>
          <w:p>
            <w:pPr>
              <w:spacing w:after="0"/>
              <w:rPr>
                <w:sz w:val="1"/>
                <w:szCs w:val="1"/>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related tax effects</w:t>
            </w: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vMerge w:val="restart"/>
          </w:tcPr>
          <w:p>
            <w:pPr>
              <w:spacing w:after="0"/>
              <w:rPr>
                <w:sz w:val="20"/>
                <w:szCs w:val="20"/>
                <w:color w:val="auto"/>
              </w:rPr>
            </w:pPr>
            <w:r>
              <w:rPr>
                <w:rFonts w:ascii="Courier New" w:cs="Courier New" w:eastAsia="Courier New" w:hAnsi="Courier New"/>
                <w:sz w:val="14"/>
                <w:szCs w:val="14"/>
                <w:color w:val="auto"/>
              </w:rPr>
              <w:t>Pro forma net income</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80" w:type="dxa"/>
            <w:vAlign w:val="bottom"/>
            <w:vMerge w:val="continue"/>
          </w:tcPr>
          <w:p>
            <w:pPr>
              <w:spacing w:after="0"/>
              <w:rPr>
                <w:sz w:val="14"/>
                <w:szCs w:val="1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53,065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30,260</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77,846</w:t>
            </w:r>
          </w:p>
        </w:tc>
        <w:tc>
          <w:tcPr>
            <w:tcW w:w="0" w:type="dxa"/>
            <w:vAlign w:val="bottom"/>
          </w:tcPr>
          <w:p>
            <w:pPr>
              <w:spacing w:after="0"/>
              <w:rPr>
                <w:sz w:val="1"/>
                <w:szCs w:val="1"/>
                <w:color w:val="auto"/>
              </w:rPr>
            </w:pPr>
          </w:p>
        </w:tc>
      </w:tr>
      <w:tr>
        <w:trPr>
          <w:trHeight w:val="244"/>
        </w:trPr>
        <w:tc>
          <w:tcPr>
            <w:tcW w:w="3380" w:type="dxa"/>
            <w:vAlign w:val="bottom"/>
            <w:vMerge w:val="restart"/>
          </w:tcPr>
          <w:p>
            <w:pPr>
              <w:spacing w:after="0"/>
              <w:rPr>
                <w:sz w:val="20"/>
                <w:szCs w:val="20"/>
                <w:color w:val="auto"/>
              </w:rPr>
            </w:pPr>
            <w:r>
              <w:rPr>
                <w:rFonts w:ascii="Courier New" w:cs="Courier New" w:eastAsia="Courier New" w:hAnsi="Courier New"/>
                <w:sz w:val="14"/>
                <w:szCs w:val="14"/>
                <w:color w:val="auto"/>
              </w:rPr>
              <w:t>Basic earnings per share:</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3380" w:type="dxa"/>
            <w:vAlign w:val="bottom"/>
            <w:vMerge w:val="continue"/>
          </w:tcPr>
          <w:p>
            <w:pPr>
              <w:spacing w:after="0"/>
              <w:rPr>
                <w:sz w:val="7"/>
                <w:szCs w:val="7"/>
                <w:color w:val="auto"/>
              </w:rPr>
            </w:pPr>
          </w:p>
        </w:tc>
        <w:tc>
          <w:tcPr>
            <w:tcW w:w="56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0.29</w:t>
            </w:r>
          </w:p>
        </w:tc>
        <w:tc>
          <w:tcPr>
            <w:tcW w:w="42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0.22</w:t>
            </w:r>
          </w:p>
        </w:tc>
        <w:tc>
          <w:tcPr>
            <w:tcW w:w="3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4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0.58</w:t>
            </w:r>
          </w:p>
        </w:tc>
        <w:tc>
          <w:tcPr>
            <w:tcW w:w="0" w:type="dxa"/>
            <w:vAlign w:val="bottom"/>
          </w:tcPr>
          <w:p>
            <w:pPr>
              <w:spacing w:after="0"/>
              <w:rPr>
                <w:sz w:val="1"/>
                <w:szCs w:val="1"/>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Pro forma</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80" w:type="dxa"/>
            <w:vAlign w:val="bottom"/>
            <w:vMerge w:val="continue"/>
          </w:tcPr>
          <w:p>
            <w:pPr>
              <w:spacing w:after="0"/>
              <w:rPr>
                <w:sz w:val="14"/>
                <w:szCs w:val="1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c>
          <w:tcPr>
            <w:tcW w:w="0" w:type="dxa"/>
            <w:vAlign w:val="bottom"/>
          </w:tcPr>
          <w:p>
            <w:pPr>
              <w:spacing w:after="0"/>
              <w:rPr>
                <w:sz w:val="1"/>
                <w:szCs w:val="1"/>
                <w:color w:val="auto"/>
              </w:rPr>
            </w:pPr>
          </w:p>
        </w:tc>
      </w:tr>
      <w:tr>
        <w:trPr>
          <w:trHeight w:val="244"/>
        </w:trPr>
        <w:tc>
          <w:tcPr>
            <w:tcW w:w="3380" w:type="dxa"/>
            <w:vAlign w:val="bottom"/>
            <w:vMerge w:val="restart"/>
          </w:tcPr>
          <w:p>
            <w:pPr>
              <w:spacing w:after="0"/>
              <w:rPr>
                <w:sz w:val="20"/>
                <w:szCs w:val="20"/>
                <w:color w:val="auto"/>
              </w:rPr>
            </w:pPr>
            <w:r>
              <w:rPr>
                <w:rFonts w:ascii="Courier New" w:cs="Courier New" w:eastAsia="Courier New" w:hAnsi="Courier New"/>
                <w:sz w:val="14"/>
                <w:szCs w:val="14"/>
                <w:color w:val="auto"/>
              </w:rPr>
              <w:t>Diluted earnings per share:</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3380" w:type="dxa"/>
            <w:vAlign w:val="bottom"/>
            <w:vMerge w:val="continue"/>
          </w:tcPr>
          <w:p>
            <w:pPr>
              <w:spacing w:after="0"/>
              <w:rPr>
                <w:sz w:val="7"/>
                <w:szCs w:val="7"/>
                <w:color w:val="auto"/>
              </w:rPr>
            </w:pPr>
          </w:p>
        </w:tc>
        <w:tc>
          <w:tcPr>
            <w:tcW w:w="56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0.28</w:t>
            </w:r>
          </w:p>
        </w:tc>
        <w:tc>
          <w:tcPr>
            <w:tcW w:w="42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3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4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0.57</w:t>
            </w:r>
          </w:p>
        </w:tc>
        <w:tc>
          <w:tcPr>
            <w:tcW w:w="0" w:type="dxa"/>
            <w:vAlign w:val="bottom"/>
          </w:tcPr>
          <w:p>
            <w:pPr>
              <w:spacing w:after="0"/>
              <w:rPr>
                <w:sz w:val="1"/>
                <w:szCs w:val="1"/>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Pro forma</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80" w:type="dxa"/>
            <w:vAlign w:val="bottom"/>
            <w:vMerge w:val="continue"/>
          </w:tcPr>
          <w:p>
            <w:pPr>
              <w:spacing w:after="0"/>
              <w:rPr>
                <w:sz w:val="14"/>
                <w:szCs w:val="1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c>
          <w:tcPr>
            <w:tcW w:w="0" w:type="dxa"/>
            <w:vAlign w:val="bottom"/>
          </w:tcPr>
          <w:p>
            <w:pPr>
              <w:spacing w:after="0"/>
              <w:rPr>
                <w:sz w:val="1"/>
                <w:szCs w:val="1"/>
                <w:color w:val="auto"/>
              </w:rPr>
            </w:pPr>
          </w:p>
        </w:tc>
      </w:tr>
      <w:tr>
        <w:trPr>
          <w:trHeight w:val="244"/>
        </w:trPr>
        <w:tc>
          <w:tcPr>
            <w:tcW w:w="3380" w:type="dxa"/>
            <w:vAlign w:val="bottom"/>
          </w:tcPr>
          <w:p>
            <w:pPr>
              <w:spacing w:after="0"/>
              <w:rPr>
                <w:sz w:val="21"/>
                <w:szCs w:val="21"/>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279" w:firstLine="347"/>
        <w:spacing w:after="0" w:line="267" w:lineRule="auto"/>
        <w:rPr>
          <w:sz w:val="20"/>
          <w:szCs w:val="20"/>
          <w:color w:val="auto"/>
        </w:rPr>
      </w:pPr>
      <w:r>
        <w:rPr>
          <w:rFonts w:ascii="Courier New" w:cs="Courier New" w:eastAsia="Courier New" w:hAnsi="Courier New"/>
          <w:sz w:val="14"/>
          <w:szCs w:val="14"/>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7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9799"/>
          </w:cols>
          <w:pgMar w:left="660" w:top="594" w:right="1440" w:bottom="1440" w:gutter="0" w:footer="0" w:header="0"/>
        </w:sectPr>
      </w:pPr>
    </w:p>
    <w:bookmarkStart w:id="79" w:name="page80"/>
    <w:bookmarkEnd w:id="79"/>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199" w:hanging="791"/>
        <w:spacing w:after="0" w:line="50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 Variable Interest Entities</w:t>
      </w:r>
    </w:p>
    <w:p>
      <w:pPr>
        <w:ind w:left="440" w:right="3379" w:firstLine="347"/>
        <w:spacing w:after="0" w:line="268" w:lineRule="auto"/>
        <w:rPr>
          <w:sz w:val="20"/>
          <w:szCs w:val="20"/>
          <w:color w:val="auto"/>
        </w:rPr>
      </w:pPr>
      <w:r>
        <w:rPr>
          <w:rFonts w:ascii="Courier New" w:cs="Courier New" w:eastAsia="Courier New" w:hAnsi="Courier New"/>
          <w:sz w:val="14"/>
          <w:szCs w:val="14"/>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75" w:lineRule="exact"/>
        <w:rPr>
          <w:sz w:val="20"/>
          <w:szCs w:val="20"/>
          <w:color w:val="auto"/>
        </w:rPr>
      </w:pPr>
    </w:p>
    <w:p>
      <w:pPr>
        <w:ind w:left="800" w:hanging="791"/>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left="440" w:right="3279" w:firstLine="347"/>
        <w:spacing w:after="0" w:line="265" w:lineRule="auto"/>
        <w:rPr>
          <w:sz w:val="20"/>
          <w:szCs w:val="20"/>
          <w:color w:val="auto"/>
        </w:rPr>
      </w:pPr>
      <w:r>
        <w:rPr>
          <w:rFonts w:ascii="Courier New" w:cs="Courier New" w:eastAsia="Courier New" w:hAnsi="Courier New"/>
          <w:sz w:val="14"/>
          <w:szCs w:val="14"/>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77" w:lineRule="exact"/>
        <w:rPr>
          <w:sz w:val="20"/>
          <w:szCs w:val="20"/>
          <w:color w:val="auto"/>
        </w:rPr>
      </w:pPr>
    </w:p>
    <w:p>
      <w:pPr>
        <w:ind w:left="440" w:right="3539" w:firstLine="347"/>
        <w:spacing w:after="0" w:line="378" w:lineRule="auto"/>
        <w:rPr>
          <w:sz w:val="20"/>
          <w:szCs w:val="20"/>
          <w:color w:val="auto"/>
        </w:rPr>
      </w:pPr>
      <w:r>
        <w:rPr>
          <w:rFonts w:ascii="Courier New" w:cs="Courier New" w:eastAsia="Courier New" w:hAnsi="Courier New"/>
          <w:sz w:val="14"/>
          <w:szCs w:val="14"/>
          <w:color w:val="auto"/>
        </w:rPr>
        <w:t>The following related party revenue is included in the statements of income for the three months and nine months ended June 30, 2003:</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Three months</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Nine months</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ended</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1220" w:type="dxa"/>
            <w:vAlign w:val="bottom"/>
          </w:tcPr>
          <w:p>
            <w:pPr>
              <w:ind w:left="1140"/>
              <w:spacing w:after="0"/>
              <w:rPr>
                <w:sz w:val="20"/>
                <w:szCs w:val="20"/>
                <w:color w:val="auto"/>
              </w:rPr>
            </w:pPr>
            <w:r>
              <w:rPr>
                <w:rFonts w:ascii="Courier New" w:cs="Courier New" w:eastAsia="Courier New" w:hAnsi="Courier New"/>
                <w:sz w:val="1"/>
                <w:szCs w:val="1"/>
                <w:color w:val="auto"/>
                <w:w w:val="70"/>
              </w:rPr>
              <w:t>--------------</w:t>
            </w:r>
          </w:p>
        </w:tc>
        <w:tc>
          <w:tcPr>
            <w:tcW w:w="1260" w:type="dxa"/>
            <w:vAlign w:val="bottom"/>
            <w:vMerge w:val="restart"/>
          </w:tcPr>
          <w:p>
            <w:pPr>
              <w:jc w:val="center"/>
              <w:ind w:right="148"/>
              <w:spacing w:after="0"/>
              <w:rPr>
                <w:sz w:val="20"/>
                <w:szCs w:val="20"/>
                <w:color w:val="auto"/>
              </w:rPr>
            </w:pPr>
            <w:r>
              <w:rPr>
                <w:rFonts w:ascii="Courier New" w:cs="Courier New" w:eastAsia="Courier New" w:hAnsi="Courier New"/>
                <w:sz w:val="14"/>
                <w:szCs w:val="14"/>
                <w:color w:val="auto"/>
              </w:rPr>
              <w:t>2003</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2160" w:type="dxa"/>
            <w:vAlign w:val="bottom"/>
            <w:vMerge w:val="restart"/>
          </w:tcPr>
          <w:p>
            <w:pPr>
              <w:spacing w:after="0"/>
              <w:rPr>
                <w:sz w:val="20"/>
                <w:szCs w:val="20"/>
                <w:color w:val="auto"/>
              </w:rPr>
            </w:pPr>
            <w:r>
              <w:rPr>
                <w:rFonts w:ascii="Courier New" w:cs="Courier New" w:eastAsia="Courier New" w:hAnsi="Courier New"/>
                <w:sz w:val="14"/>
                <w:szCs w:val="14"/>
                <w:color w:val="auto"/>
              </w:rPr>
              <w:t>Revenue:</w:t>
            </w: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2160" w:type="dxa"/>
            <w:vAlign w:val="bottom"/>
            <w:vMerge w:val="continue"/>
          </w:tcPr>
          <w:p>
            <w:pPr>
              <w:spacing w:after="0"/>
              <w:rPr>
                <w:sz w:val="7"/>
                <w:szCs w:val="7"/>
                <w:color w:val="auto"/>
              </w:rPr>
            </w:pPr>
          </w:p>
        </w:tc>
        <w:tc>
          <w:tcPr>
            <w:tcW w:w="1220" w:type="dxa"/>
            <w:vAlign w:val="bottom"/>
            <w:vMerge w:val="restart"/>
          </w:tcPr>
          <w:p>
            <w:pPr>
              <w:ind w:left="1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4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3,827</w:t>
            </w:r>
          </w:p>
        </w:tc>
        <w:tc>
          <w:tcPr>
            <w:tcW w:w="0" w:type="dxa"/>
            <w:vAlign w:val="bottom"/>
          </w:tcPr>
          <w:p>
            <w:pPr>
              <w:spacing w:after="0"/>
              <w:rPr>
                <w:sz w:val="1"/>
                <w:szCs w:val="1"/>
                <w:color w:val="auto"/>
              </w:rPr>
            </w:pP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License</w:t>
            </w: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Service</w:t>
            </w:r>
          </w:p>
        </w:tc>
        <w:tc>
          <w:tcPr>
            <w:tcW w:w="1220" w:type="dxa"/>
            <w:vAlign w:val="bottom"/>
          </w:tcPr>
          <w:p>
            <w:pPr>
              <w:spacing w:after="0"/>
              <w:rPr>
                <w:sz w:val="21"/>
                <w:szCs w:val="21"/>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32,374</w:t>
            </w:r>
          </w:p>
        </w:tc>
        <w:tc>
          <w:tcPr>
            <w:tcW w:w="400" w:type="dxa"/>
            <w:vAlign w:val="bottom"/>
          </w:tcPr>
          <w:p>
            <w:pPr>
              <w:spacing w:after="0"/>
              <w:rPr>
                <w:sz w:val="21"/>
                <w:szCs w:val="21"/>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84,122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right="3539" w:firstLine="347"/>
        <w:spacing w:after="0" w:line="378" w:lineRule="auto"/>
        <w:rPr>
          <w:sz w:val="20"/>
          <w:szCs w:val="20"/>
          <w:color w:val="auto"/>
        </w:rPr>
      </w:pPr>
      <w:r>
        <w:rPr>
          <w:rFonts w:ascii="Courier New" w:cs="Courier New" w:eastAsia="Courier New" w:hAnsi="Courier New"/>
          <w:sz w:val="14"/>
          <w:szCs w:val="14"/>
          <w:color w:val="auto"/>
        </w:rPr>
        <w:t>The following related party expense is included in the statements of income for the three months and nine months ended June 30, 2003:</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Three months</w:t>
            </w:r>
          </w:p>
        </w:tc>
        <w:tc>
          <w:tcPr>
            <w:tcW w:w="4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Nine months</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ended</w:t>
            </w:r>
          </w:p>
        </w:tc>
        <w:tc>
          <w:tcPr>
            <w:tcW w:w="400" w:type="dxa"/>
            <w:vAlign w:val="bottom"/>
          </w:tcPr>
          <w:p>
            <w:pPr>
              <w:spacing w:after="0"/>
              <w:rPr>
                <w:sz w:val="14"/>
                <w:szCs w:val="1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ended</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spacing w:after="0"/>
              <w:rPr>
                <w:sz w:val="14"/>
                <w:szCs w:val="1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June 30,</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3"/>
                <w:szCs w:val="3"/>
                <w:color w:val="auto"/>
                <w:w w:val="88"/>
              </w:rPr>
              <w:t>---------------</w:t>
            </w:r>
          </w:p>
        </w:tc>
        <w:tc>
          <w:tcPr>
            <w:tcW w:w="1300" w:type="dxa"/>
            <w:vAlign w:val="bottom"/>
            <w:vMerge w:val="restart"/>
          </w:tcPr>
          <w:p>
            <w:pPr>
              <w:jc w:val="center"/>
              <w:ind w:right="188"/>
              <w:spacing w:after="0"/>
              <w:rPr>
                <w:sz w:val="20"/>
                <w:szCs w:val="20"/>
                <w:color w:val="auto"/>
              </w:rPr>
            </w:pPr>
            <w:r>
              <w:rPr>
                <w:rFonts w:ascii="Courier New" w:cs="Courier New" w:eastAsia="Courier New" w:hAnsi="Courier New"/>
                <w:sz w:val="14"/>
                <w:szCs w:val="14"/>
                <w:color w:val="auto"/>
              </w:rPr>
              <w:t>2003</w:t>
            </w:r>
          </w:p>
        </w:tc>
        <w:tc>
          <w:tcPr>
            <w:tcW w:w="1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167"/>
        </w:trPr>
        <w:tc>
          <w:tcPr>
            <w:tcW w:w="312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income and other, net (1)</w:t>
            </w:r>
          </w:p>
        </w:tc>
        <w:tc>
          <w:tcPr>
            <w:tcW w:w="2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1"/>
                <w:vertAlign w:val="subscript"/>
              </w:rPr>
              <w:t>$</w:t>
            </w:r>
            <w:r>
              <w:rPr>
                <w:rFonts w:ascii="Courier New" w:cs="Courier New" w:eastAsia="Courier New" w:hAnsi="Courier New"/>
                <w:sz w:val="3"/>
                <w:szCs w:val="3"/>
                <w:color w:val="auto"/>
                <w:w w:val="81"/>
              </w:rPr>
              <w:t>---------------</w:t>
            </w:r>
          </w:p>
        </w:tc>
        <w:tc>
          <w:tcPr>
            <w:tcW w:w="13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564</w:t>
            </w:r>
          </w:p>
        </w:tc>
        <w:tc>
          <w:tcPr>
            <w:tcW w:w="1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8"/>
        </w:trPr>
        <w:tc>
          <w:tcPr>
            <w:tcW w:w="312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1,662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60" w:right="3279" w:hanging="951"/>
        <w:spacing w:after="0" w:line="295" w:lineRule="auto"/>
        <w:tabs>
          <w:tab w:leader="none" w:pos="9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22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594" w:right="1440" w:bottom="1440" w:gutter="0" w:footer="0" w:header="0"/>
        </w:sectPr>
      </w:pPr>
    </w:p>
    <w:bookmarkStart w:id="80" w:name="page81"/>
    <w:bookmarkEnd w:id="80"/>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360" w:hanging="351"/>
        <w:spacing w:after="0"/>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Net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Accounts receivable, net consists of the following:</w:t>
      </w:r>
    </w:p>
    <w:p>
      <w:pPr>
        <w:spacing w:after="0" w:line="342"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3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September 30,</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2820" w:type="dxa"/>
            <w:vAlign w:val="bottom"/>
          </w:tcPr>
          <w:p>
            <w:pPr>
              <w:spacing w:after="0"/>
              <w:rPr>
                <w:sz w:val="21"/>
                <w:szCs w:val="21"/>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-billed</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269,660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200,220</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-unbilled</w:t>
            </w:r>
          </w:p>
        </w:tc>
        <w:tc>
          <w:tcPr>
            <w:tcW w:w="560" w:type="dxa"/>
            <w:vAlign w:val="bottom"/>
          </w:tcPr>
          <w:p>
            <w:pPr>
              <w:spacing w:after="0"/>
              <w:rPr>
                <w:sz w:val="14"/>
                <w:szCs w:val="14"/>
                <w:color w:val="auto"/>
              </w:rPr>
            </w:pP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16,086</w:t>
            </w:r>
          </w:p>
        </w:tc>
        <w:tc>
          <w:tcPr>
            <w:tcW w:w="3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16,072</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Less - allowances</w:t>
            </w:r>
          </w:p>
        </w:tc>
        <w:tc>
          <w:tcPr>
            <w:tcW w:w="56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(15,186)</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(18,018)</w:t>
            </w:r>
          </w:p>
        </w:tc>
        <w:tc>
          <w:tcPr>
            <w:tcW w:w="0" w:type="dxa"/>
            <w:vAlign w:val="bottom"/>
          </w:tcPr>
          <w:p>
            <w:pPr>
              <w:spacing w:after="0"/>
              <w:rPr>
                <w:sz w:val="1"/>
                <w:szCs w:val="1"/>
                <w:color w:val="auto"/>
              </w:rPr>
            </w:pPr>
          </w:p>
        </w:tc>
      </w:tr>
      <w:tr>
        <w:trPr>
          <w:trHeight w:val="167"/>
        </w:trPr>
        <w:tc>
          <w:tcPr>
            <w:tcW w:w="2820" w:type="dxa"/>
            <w:vAlign w:val="bottom"/>
            <w:vMerge w:val="restart"/>
          </w:tcPr>
          <w:p>
            <w:pPr>
              <w:spacing w:after="0"/>
              <w:rPr>
                <w:sz w:val="20"/>
                <w:szCs w:val="20"/>
                <w:color w:val="auto"/>
              </w:rPr>
            </w:pPr>
            <w:r>
              <w:rPr>
                <w:rFonts w:ascii="Courier New" w:cs="Courier New" w:eastAsia="Courier New" w:hAnsi="Courier New"/>
                <w:sz w:val="14"/>
                <w:szCs w:val="14"/>
                <w:color w:val="auto"/>
              </w:rPr>
              <w:t>Accounts receivable, net</w:t>
            </w:r>
          </w:p>
        </w:tc>
        <w:tc>
          <w:tcPr>
            <w:tcW w:w="560" w:type="dxa"/>
            <w:vAlign w:val="bottom"/>
            <w:vMerge w:val="restart"/>
          </w:tcPr>
          <w:p>
            <w:pPr>
              <w:ind w:left="30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400" w:type="dxa"/>
            <w:vAlign w:val="bottom"/>
            <w:vMerge w:val="restart"/>
          </w:tcPr>
          <w:p>
            <w:pPr>
              <w:jc w:val="right"/>
              <w:ind w:right="468"/>
              <w:spacing w:after="0"/>
              <w:rPr>
                <w:sz w:val="20"/>
                <w:szCs w:val="20"/>
                <w:color w:val="auto"/>
              </w:rPr>
            </w:pPr>
            <w:r>
              <w:rPr>
                <w:rFonts w:ascii="Courier New" w:cs="Courier New" w:eastAsia="Courier New" w:hAnsi="Courier New"/>
                <w:sz w:val="14"/>
                <w:szCs w:val="14"/>
                <w:color w:val="auto"/>
              </w:rPr>
              <w:t>270,560</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8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198,274</w:t>
            </w:r>
          </w:p>
        </w:tc>
        <w:tc>
          <w:tcPr>
            <w:tcW w:w="0" w:type="dxa"/>
            <w:vAlign w:val="bottom"/>
          </w:tcPr>
          <w:p>
            <w:pPr>
              <w:spacing w:after="0"/>
              <w:rPr>
                <w:sz w:val="1"/>
                <w:szCs w:val="1"/>
                <w:color w:val="auto"/>
              </w:rPr>
            </w:pPr>
          </w:p>
        </w:tc>
      </w:tr>
      <w:tr>
        <w:trPr>
          <w:trHeight w:val="244"/>
        </w:trPr>
        <w:tc>
          <w:tcPr>
            <w:tcW w:w="2820" w:type="dxa"/>
            <w:vAlign w:val="bottom"/>
          </w:tcPr>
          <w:p>
            <w:pPr>
              <w:spacing w:after="0"/>
              <w:rPr>
                <w:sz w:val="21"/>
                <w:szCs w:val="21"/>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60" w:hanging="351"/>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440" w:right="3379" w:firstLine="347"/>
        <w:spacing w:after="0" w:line="295" w:lineRule="auto"/>
        <w:rPr>
          <w:sz w:val="20"/>
          <w:szCs w:val="20"/>
          <w:color w:val="auto"/>
        </w:rPr>
      </w:pPr>
      <w:r>
        <w:rPr>
          <w:rFonts w:ascii="Courier New" w:cs="Courier New" w:eastAsia="Courier New" w:hAnsi="Courier New"/>
          <w:sz w:val="14"/>
          <w:szCs w:val="14"/>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55" w:lineRule="exact"/>
        <w:rPr>
          <w:sz w:val="20"/>
          <w:szCs w:val="20"/>
          <w:color w:val="auto"/>
        </w:rPr>
      </w:pPr>
    </w:p>
    <w:p>
      <w:pPr>
        <w:ind w:left="440" w:right="3539" w:firstLine="347"/>
        <w:spacing w:after="0" w:line="382" w:lineRule="auto"/>
        <w:rPr>
          <w:sz w:val="20"/>
          <w:szCs w:val="20"/>
          <w:color w:val="auto"/>
        </w:rPr>
      </w:pPr>
      <w:r>
        <w:rPr>
          <w:rFonts w:ascii="Courier New" w:cs="Courier New" w:eastAsia="Courier New" w:hAnsi="Courier New"/>
          <w:sz w:val="14"/>
          <w:szCs w:val="14"/>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97"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400" w:type="dxa"/>
            <w:vAlign w:val="bottom"/>
          </w:tcPr>
          <w:p>
            <w:pPr>
              <w:spacing w:after="0"/>
              <w:rPr>
                <w:sz w:val="14"/>
                <w:szCs w:val="14"/>
                <w:color w:val="auto"/>
              </w:rPr>
            </w:pPr>
          </w:p>
        </w:tc>
        <w:tc>
          <w:tcPr>
            <w:tcW w:w="24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740" w:type="dxa"/>
            <w:vAlign w:val="bottom"/>
          </w:tcPr>
          <w:p>
            <w:pPr>
              <w:ind w:left="380"/>
              <w:spacing w:after="0"/>
              <w:rPr>
                <w:sz w:val="20"/>
                <w:szCs w:val="20"/>
                <w:color w:val="auto"/>
              </w:rPr>
            </w:pPr>
            <w:r>
              <w:rPr>
                <w:rFonts w:ascii="Courier New" w:cs="Courier New" w:eastAsia="Courier New" w:hAnsi="Courier New"/>
                <w:sz w:val="2"/>
                <w:szCs w:val="2"/>
                <w:color w:val="auto"/>
                <w:w w:val="97"/>
              </w:rPr>
              <w:t>-----------------------------</w:t>
            </w:r>
          </w:p>
        </w:tc>
        <w:tc>
          <w:tcPr>
            <w:tcW w:w="9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480" w:type="dxa"/>
            <w:vAlign w:val="bottom"/>
          </w:tcPr>
          <w:p>
            <w:pPr>
              <w:spacing w:after="0"/>
              <w:rPr>
                <w:sz w:val="14"/>
                <w:szCs w:val="14"/>
                <w:color w:val="auto"/>
              </w:rPr>
            </w:pP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28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59,920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47,438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173,278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125,012</w:t>
            </w:r>
          </w:p>
        </w:tc>
        <w:tc>
          <w:tcPr>
            <w:tcW w:w="0" w:type="dxa"/>
            <w:vAlign w:val="bottom"/>
          </w:tcPr>
          <w:p>
            <w:pPr>
              <w:spacing w:after="0"/>
              <w:rPr>
                <w:sz w:val="1"/>
                <w:szCs w:val="1"/>
                <w:color w:val="auto"/>
              </w:rPr>
            </w:pP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340"/>
              <w:spacing w:after="0"/>
              <w:rPr>
                <w:sz w:val="20"/>
                <w:szCs w:val="20"/>
                <w:color w:val="auto"/>
              </w:rPr>
            </w:pPr>
            <w:r>
              <w:rPr>
                <w:rFonts w:ascii="Courier New" w:cs="Courier New" w:eastAsia="Courier New" w:hAnsi="Courier New"/>
                <w:sz w:val="14"/>
                <w:szCs w:val="14"/>
                <w:color w:val="auto"/>
              </w:rPr>
              <w:t>Unrealized income (loss) 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hedging</w:t>
            </w:r>
          </w:p>
        </w:tc>
        <w:tc>
          <w:tcPr>
            <w:tcW w:w="74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2,716</w:t>
            </w:r>
          </w:p>
        </w:tc>
        <w:tc>
          <w:tcPr>
            <w:tcW w:w="480" w:type="dxa"/>
            <w:vAlign w:val="bottom"/>
          </w:tcPr>
          <w:p>
            <w:pPr>
              <w:spacing w:after="0"/>
              <w:rPr>
                <w:sz w:val="14"/>
                <w:szCs w:val="14"/>
                <w:color w:val="auto"/>
              </w:rPr>
            </w:pPr>
          </w:p>
        </w:tc>
        <w:tc>
          <w:tcPr>
            <w:tcW w:w="10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6,151</w:t>
            </w:r>
          </w:p>
        </w:tc>
        <w:tc>
          <w:tcPr>
            <w:tcW w:w="400" w:type="dxa"/>
            <w:vAlign w:val="bottom"/>
          </w:tcPr>
          <w:p>
            <w:pPr>
              <w:spacing w:after="0"/>
              <w:rPr>
                <w:sz w:val="14"/>
                <w:szCs w:val="14"/>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(2,846)</w:t>
            </w:r>
          </w:p>
        </w:tc>
        <w:tc>
          <w:tcPr>
            <w:tcW w:w="440" w:type="dxa"/>
            <w:vAlign w:val="bottom"/>
          </w:tcPr>
          <w:p>
            <w:pPr>
              <w:spacing w:after="0"/>
              <w:rPr>
                <w:sz w:val="14"/>
                <w:szCs w:val="14"/>
                <w:color w:val="auto"/>
              </w:rPr>
            </w:pP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15,285</w:t>
            </w:r>
          </w:p>
        </w:tc>
        <w:tc>
          <w:tcPr>
            <w:tcW w:w="0" w:type="dxa"/>
            <w:vAlign w:val="bottom"/>
          </w:tcPr>
          <w:p>
            <w:pPr>
              <w:spacing w:after="0"/>
              <w:rPr>
                <w:sz w:val="1"/>
                <w:szCs w:val="1"/>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contracts, net of tax</w:t>
            </w:r>
          </w:p>
        </w:tc>
        <w:tc>
          <w:tcPr>
            <w:tcW w:w="7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 on short-term</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investments,</w:t>
            </w:r>
          </w:p>
        </w:tc>
        <w:tc>
          <w:tcPr>
            <w:tcW w:w="740" w:type="dxa"/>
            <w:vAlign w:val="bottom"/>
          </w:tcPr>
          <w:p>
            <w:pPr>
              <w:spacing w:after="0"/>
              <w:rPr>
                <w:sz w:val="14"/>
                <w:szCs w:val="14"/>
                <w:color w:val="auto"/>
              </w:rPr>
            </w:pP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(1,687)</w:t>
            </w:r>
          </w:p>
        </w:tc>
        <w:tc>
          <w:tcPr>
            <w:tcW w:w="48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400" w:type="dxa"/>
            <w:vAlign w:val="bottom"/>
          </w:tcPr>
          <w:p>
            <w:pPr>
              <w:spacing w:after="0"/>
              <w:rPr>
                <w:sz w:val="14"/>
                <w:szCs w:val="14"/>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(1,227)</w:t>
            </w:r>
          </w:p>
        </w:tc>
        <w:tc>
          <w:tcPr>
            <w:tcW w:w="4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(1,931)</w:t>
            </w:r>
          </w:p>
        </w:tc>
        <w:tc>
          <w:tcPr>
            <w:tcW w:w="0" w:type="dxa"/>
            <w:vAlign w:val="bottom"/>
          </w:tcPr>
          <w:p>
            <w:pPr>
              <w:spacing w:after="0"/>
              <w:rPr>
                <w:sz w:val="1"/>
                <w:szCs w:val="1"/>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7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40" w:type="dxa"/>
            <w:vAlign w:val="bottom"/>
            <w:vMerge w:val="restart"/>
          </w:tcPr>
          <w:p>
            <w:pPr>
              <w:spacing w:after="0"/>
              <w:rPr>
                <w:sz w:val="20"/>
                <w:szCs w:val="20"/>
                <w:color w:val="auto"/>
              </w:rPr>
            </w:pPr>
            <w:r>
              <w:rPr>
                <w:rFonts w:ascii="Courier New" w:cs="Courier New" w:eastAsia="Courier New" w:hAnsi="Courier New"/>
                <w:sz w:val="14"/>
                <w:szCs w:val="14"/>
                <w:color w:val="auto"/>
              </w:rPr>
              <w:t>Comprehensive income</w:t>
            </w:r>
          </w:p>
        </w:tc>
        <w:tc>
          <w:tcPr>
            <w:tcW w:w="740" w:type="dxa"/>
            <w:vAlign w:val="bottom"/>
            <w:vMerge w:val="restart"/>
          </w:tcPr>
          <w:p>
            <w:pPr>
              <w:ind w:left="3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60,949</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52,707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169,205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138,366</w:t>
            </w: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The provision for income taxes for the following periods consisted of:</w:t>
      </w:r>
    </w:p>
    <w:p>
      <w:pPr>
        <w:spacing w:after="0" w:line="200" w:lineRule="exact"/>
        <w:rPr>
          <w:sz w:val="20"/>
          <w:szCs w:val="20"/>
          <w:color w:val="auto"/>
        </w:rPr>
      </w:pPr>
    </w:p>
    <w:p>
      <w:pPr>
        <w:spacing w:after="0" w:line="309"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6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40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Courier New" w:cs="Courier New" w:eastAsia="Courier New" w:hAnsi="Courier New"/>
                <w:sz w:val="2"/>
                <w:szCs w:val="2"/>
                <w:color w:val="auto"/>
                <w:w w:val="94"/>
              </w:rPr>
              <w:t>------------------------------</w:t>
            </w:r>
          </w:p>
        </w:tc>
        <w:tc>
          <w:tcPr>
            <w:tcW w:w="9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520" w:type="dxa"/>
            <w:vAlign w:val="bottom"/>
          </w:tcPr>
          <w:p>
            <w:pPr>
              <w:spacing w:after="0"/>
              <w:rPr>
                <w:sz w:val="14"/>
                <w:szCs w:val="14"/>
                <w:color w:val="auto"/>
              </w:rPr>
            </w:pPr>
          </w:p>
        </w:tc>
        <w:tc>
          <w:tcPr>
            <w:tcW w:w="10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1740" w:type="dxa"/>
            <w:vAlign w:val="bottom"/>
          </w:tcPr>
          <w:p>
            <w:pPr>
              <w:spacing w:after="0"/>
              <w:rPr>
                <w:sz w:val="21"/>
                <w:szCs w:val="21"/>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32,755</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10,571</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56,966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31,115</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(15,855)</w:t>
            </w:r>
          </w:p>
        </w:tc>
        <w:tc>
          <w:tcPr>
            <w:tcW w:w="5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5,242</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(8,093)</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10,556</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2340" w:type="dxa"/>
            <w:vAlign w:val="bottom"/>
            <w:vMerge w:val="restart"/>
          </w:tcPr>
          <w:p>
            <w:pPr>
              <w:ind w:left="19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16,900</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15,813</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c>
          <w:tcPr>
            <w:tcW w:w="0" w:type="dxa"/>
            <w:vAlign w:val="bottom"/>
          </w:tcPr>
          <w:p>
            <w:pPr>
              <w:spacing w:after="0"/>
              <w:rPr>
                <w:sz w:val="1"/>
                <w:szCs w:val="1"/>
                <w:color w:val="auto"/>
              </w:rPr>
            </w:pPr>
          </w:p>
        </w:tc>
      </w:tr>
      <w:tr>
        <w:trPr>
          <w:trHeight w:val="244"/>
        </w:trPr>
        <w:tc>
          <w:tcPr>
            <w:tcW w:w="1740" w:type="dxa"/>
            <w:vAlign w:val="bottom"/>
          </w:tcPr>
          <w:p>
            <w:pPr>
              <w:spacing w:after="0"/>
              <w:rPr>
                <w:sz w:val="21"/>
                <w:szCs w:val="21"/>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1740" w:type="dxa"/>
            <w:vAlign w:val="bottom"/>
          </w:tcPr>
          <w:p>
            <w:pPr>
              <w:spacing w:after="0"/>
              <w:rPr>
                <w:sz w:val="24"/>
                <w:szCs w:val="24"/>
                <w:color w:val="auto"/>
              </w:rPr>
            </w:pPr>
          </w:p>
        </w:tc>
        <w:tc>
          <w:tcPr>
            <w:tcW w:w="2340" w:type="dxa"/>
            <w:vAlign w:val="bottom"/>
          </w:tcPr>
          <w:p>
            <w:pPr>
              <w:jc w:val="right"/>
              <w:ind w:right="1087"/>
              <w:spacing w:after="0"/>
              <w:rPr>
                <w:sz w:val="20"/>
                <w:szCs w:val="20"/>
                <w:color w:val="auto"/>
              </w:rPr>
            </w:pPr>
            <w:r>
              <w:rPr>
                <w:rFonts w:ascii="Courier New" w:cs="Courier New" w:eastAsia="Courier New" w:hAnsi="Courier New"/>
                <w:sz w:val="14"/>
                <w:szCs w:val="14"/>
                <w:color w:val="auto"/>
              </w:rPr>
              <w:t>67</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7" w:right="1440" w:bottom="1440" w:gutter="0" w:footer="0" w:header="0"/>
        </w:sectPr>
      </w:pPr>
    </w:p>
    <w:bookmarkStart w:id="81" w:name="page82"/>
    <w:bookmarkEnd w:id="81"/>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560" w:firstLine="781"/>
        <w:spacing w:after="0" w:line="382" w:lineRule="auto"/>
        <w:rPr>
          <w:sz w:val="20"/>
          <w:szCs w:val="20"/>
          <w:color w:val="auto"/>
        </w:rPr>
      </w:pPr>
      <w:r>
        <w:rPr>
          <w:rFonts w:ascii="Courier New" w:cs="Courier New" w:eastAsia="Courier New" w:hAnsi="Courier New"/>
          <w:sz w:val="14"/>
          <w:szCs w:val="14"/>
          <w:color w:val="auto"/>
        </w:rPr>
        <w:t>The effective income tax rate varied from the statutory Guernsey tax rate as follows for the following periods:</w:t>
      </w:r>
    </w:p>
    <w:p>
      <w:pPr>
        <w:spacing w:after="0" w:line="330"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3040" w:type="dxa"/>
            <w:vAlign w:val="bottom"/>
          </w:tcPr>
          <w:p>
            <w:pPr>
              <w:spacing w:after="0"/>
              <w:rPr>
                <w:sz w:val="14"/>
                <w:szCs w:val="14"/>
                <w:color w:val="auto"/>
              </w:rPr>
            </w:pPr>
          </w:p>
        </w:tc>
        <w:tc>
          <w:tcPr>
            <w:tcW w:w="36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c>
          <w:tcPr>
            <w:tcW w:w="2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8"/>
              </w:rPr>
              <w:t>June 30,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2004</w:t>
            </w:r>
          </w:p>
        </w:tc>
        <w:tc>
          <w:tcPr>
            <w:tcW w:w="19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30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3040" w:type="dxa"/>
            <w:vAlign w:val="bottom"/>
          </w:tcPr>
          <w:p>
            <w:pPr>
              <w:spacing w:after="0"/>
              <w:rPr>
                <w:sz w:val="20"/>
                <w:szCs w:val="20"/>
                <w:color w:val="auto"/>
              </w:rPr>
            </w:pPr>
            <w:r>
              <w:rPr>
                <w:rFonts w:ascii="Courier New" w:cs="Courier New" w:eastAsia="Courier New" w:hAnsi="Courier New"/>
                <w:sz w:val="14"/>
                <w:szCs w:val="14"/>
                <w:color w:val="auto"/>
              </w:rPr>
              <w:t>Statutory Guernsey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Guernsey tax-exempt status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17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7"/>
        </w:trPr>
        <w:tc>
          <w:tcPr>
            <w:tcW w:w="3040" w:type="dxa"/>
            <w:vAlign w:val="bottom"/>
            <w:vMerge w:val="restart"/>
          </w:tcPr>
          <w:p>
            <w:pPr>
              <w:spacing w:after="0"/>
              <w:rPr>
                <w:sz w:val="20"/>
                <w:szCs w:val="20"/>
                <w:color w:val="auto"/>
              </w:rPr>
            </w:pPr>
            <w:r>
              <w:rPr>
                <w:rFonts w:ascii="Courier New" w:cs="Courier New" w:eastAsia="Courier New" w:hAnsi="Courier New"/>
                <w:sz w:val="14"/>
                <w:szCs w:val="14"/>
                <w:color w:val="auto"/>
              </w:rPr>
              <w:t>Effective income tax rate</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22%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244"/>
        </w:trPr>
        <w:tc>
          <w:tcPr>
            <w:tcW w:w="30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right="3400" w:firstLine="260"/>
        <w:spacing w:after="0" w:line="317"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and for fiscal year 2004 is expected to approximate 22%.</w:t>
      </w:r>
    </w:p>
    <w:p>
      <w:pPr>
        <w:spacing w:after="0" w:line="39" w:lineRule="exact"/>
        <w:rPr>
          <w:sz w:val="20"/>
          <w:szCs w:val="20"/>
          <w:color w:val="auto"/>
        </w:rPr>
      </w:pPr>
    </w:p>
    <w:p>
      <w:pPr>
        <w:ind w:left="360" w:hanging="351"/>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820" w:firstLine="608"/>
        <w:spacing w:after="0" w:line="382"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330"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2004</w:t>
            </w:r>
          </w:p>
        </w:tc>
        <w:tc>
          <w:tcPr>
            <w:tcW w:w="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3640" w:type="dxa"/>
            <w:vAlign w:val="bottom"/>
          </w:tcPr>
          <w:p>
            <w:pPr>
              <w:spacing w:after="0"/>
              <w:rPr>
                <w:sz w:val="21"/>
                <w:szCs w:val="21"/>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364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vMerge w:val="restart"/>
          </w:tcPr>
          <w:p>
            <w:pPr>
              <w:jc w:val="right"/>
              <w:ind w:right="808"/>
              <w:spacing w:after="0"/>
              <w:rPr>
                <w:sz w:val="20"/>
                <w:szCs w:val="20"/>
                <w:color w:val="auto"/>
              </w:rPr>
            </w:pPr>
            <w:r>
              <w:rPr>
                <w:rFonts w:ascii="Courier New" w:cs="Courier New" w:eastAsia="Courier New" w:hAnsi="Courier New"/>
                <w:sz w:val="14"/>
                <w:szCs w:val="14"/>
                <w:color w:val="auto"/>
              </w:rPr>
              <w:t>59,920</w:t>
            </w:r>
          </w:p>
        </w:tc>
        <w:tc>
          <w:tcPr>
            <w:tcW w:w="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47,438</w:t>
            </w:r>
          </w:p>
        </w:tc>
        <w:tc>
          <w:tcPr>
            <w:tcW w:w="260" w:type="dxa"/>
            <w:vAlign w:val="bottom"/>
            <w:vMerge w:val="restart"/>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173,278</w:t>
            </w:r>
          </w:p>
        </w:tc>
        <w:tc>
          <w:tcPr>
            <w:tcW w:w="700" w:type="dxa"/>
            <w:vAlign w:val="bottom"/>
            <w:vMerge w:val="restart"/>
          </w:tcPr>
          <w:p>
            <w:pPr>
              <w:ind w:left="6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125,012</w:t>
            </w:r>
          </w:p>
        </w:tc>
        <w:tc>
          <w:tcPr>
            <w:tcW w:w="0" w:type="dxa"/>
            <w:vAlign w:val="bottom"/>
          </w:tcPr>
          <w:p>
            <w:pPr>
              <w:spacing w:after="0"/>
              <w:rPr>
                <w:sz w:val="1"/>
                <w:szCs w:val="1"/>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40" w:type="dxa"/>
            <w:vAlign w:val="bottom"/>
          </w:tcPr>
          <w:p>
            <w:pPr>
              <w:spacing w:after="0"/>
              <w:rPr>
                <w:sz w:val="21"/>
                <w:szCs w:val="21"/>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basic earnings per</w:t>
            </w:r>
          </w:p>
        </w:tc>
        <w:tc>
          <w:tcPr>
            <w:tcW w:w="4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shares</w:t>
            </w:r>
          </w:p>
        </w:tc>
        <w:tc>
          <w:tcPr>
            <w:tcW w:w="400" w:type="dxa"/>
            <w:vAlign w:val="bottom"/>
          </w:tcPr>
          <w:p>
            <w:pPr>
              <w:spacing w:after="0"/>
              <w:rPr>
                <w:sz w:val="14"/>
                <w:szCs w:val="14"/>
                <w:color w:val="auto"/>
              </w:rPr>
            </w:pPr>
          </w:p>
        </w:tc>
        <w:tc>
          <w:tcPr>
            <w:tcW w:w="152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206,093</w:t>
            </w:r>
          </w:p>
        </w:tc>
        <w:tc>
          <w:tcPr>
            <w:tcW w:w="80" w:type="dxa"/>
            <w:vAlign w:val="bottom"/>
          </w:tcPr>
          <w:p>
            <w:pPr>
              <w:spacing w:after="0"/>
              <w:rPr>
                <w:sz w:val="14"/>
                <w:szCs w:val="14"/>
                <w:color w:val="auto"/>
              </w:rPr>
            </w:pPr>
          </w:p>
        </w:tc>
        <w:tc>
          <w:tcPr>
            <w:tcW w:w="12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215,938</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210,409</w:t>
            </w:r>
          </w:p>
        </w:tc>
        <w:tc>
          <w:tcPr>
            <w:tcW w:w="7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215,786</w:t>
            </w:r>
          </w:p>
        </w:tc>
        <w:tc>
          <w:tcPr>
            <w:tcW w:w="0" w:type="dxa"/>
            <w:vAlign w:val="bottom"/>
          </w:tcPr>
          <w:p>
            <w:pPr>
              <w:spacing w:after="0"/>
              <w:rPr>
                <w:sz w:val="1"/>
                <w:szCs w:val="1"/>
                <w:color w:val="auto"/>
              </w:rPr>
            </w:pPr>
          </w:p>
        </w:tc>
      </w:tr>
      <w:tr>
        <w:trPr>
          <w:trHeight w:val="24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outstanding (1)</w:t>
            </w:r>
          </w:p>
        </w:tc>
        <w:tc>
          <w:tcPr>
            <w:tcW w:w="40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Effect of dilutive stock options</w:t>
            </w:r>
          </w:p>
        </w:tc>
        <w:tc>
          <w:tcPr>
            <w:tcW w:w="400" w:type="dxa"/>
            <w:vAlign w:val="bottom"/>
          </w:tcPr>
          <w:p>
            <w:pPr>
              <w:spacing w:after="0"/>
              <w:rPr>
                <w:sz w:val="22"/>
                <w:szCs w:val="22"/>
                <w:color w:val="auto"/>
              </w:rPr>
            </w:pPr>
          </w:p>
        </w:tc>
        <w:tc>
          <w:tcPr>
            <w:tcW w:w="152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5,708</w:t>
            </w:r>
          </w:p>
        </w:tc>
        <w:tc>
          <w:tcPr>
            <w:tcW w:w="80" w:type="dxa"/>
            <w:vAlign w:val="bottom"/>
          </w:tcPr>
          <w:p>
            <w:pPr>
              <w:spacing w:after="0"/>
              <w:rPr>
                <w:sz w:val="22"/>
                <w:szCs w:val="22"/>
                <w:color w:val="auto"/>
              </w:rPr>
            </w:pPr>
          </w:p>
        </w:tc>
        <w:tc>
          <w:tcPr>
            <w:tcW w:w="12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5,777</w:t>
            </w:r>
          </w:p>
        </w:tc>
        <w:tc>
          <w:tcPr>
            <w:tcW w:w="700" w:type="dxa"/>
            <w:vAlign w:val="bottom"/>
          </w:tcPr>
          <w:p>
            <w:pPr>
              <w:spacing w:after="0"/>
              <w:rPr>
                <w:sz w:val="22"/>
                <w:szCs w:val="22"/>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3,167</w:t>
            </w:r>
          </w:p>
        </w:tc>
        <w:tc>
          <w:tcPr>
            <w:tcW w:w="0" w:type="dxa"/>
            <w:vAlign w:val="bottom"/>
          </w:tcPr>
          <w:p>
            <w:pPr>
              <w:spacing w:after="0"/>
              <w:rPr>
                <w:sz w:val="1"/>
                <w:szCs w:val="1"/>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4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Denominator for diluted earnings per</w:t>
            </w: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1"/>
                <w:szCs w:val="21"/>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36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 -</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adjusted weighted average shares and</w:t>
            </w:r>
          </w:p>
        </w:tc>
        <w:tc>
          <w:tcPr>
            <w:tcW w:w="400" w:type="dxa"/>
            <w:vAlign w:val="bottom"/>
          </w:tcPr>
          <w:p>
            <w:pPr>
              <w:spacing w:after="0"/>
              <w:rPr>
                <w:sz w:val="14"/>
                <w:szCs w:val="14"/>
                <w:color w:val="auto"/>
              </w:rPr>
            </w:pPr>
          </w:p>
        </w:tc>
        <w:tc>
          <w:tcPr>
            <w:tcW w:w="152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211,801</w:t>
            </w:r>
          </w:p>
        </w:tc>
        <w:tc>
          <w:tcPr>
            <w:tcW w:w="80" w:type="dxa"/>
            <w:vAlign w:val="bottom"/>
          </w:tcPr>
          <w:p>
            <w:pPr>
              <w:spacing w:after="0"/>
              <w:rPr>
                <w:sz w:val="14"/>
                <w:szCs w:val="14"/>
                <w:color w:val="auto"/>
              </w:rPr>
            </w:pPr>
          </w:p>
        </w:tc>
        <w:tc>
          <w:tcPr>
            <w:tcW w:w="12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220,792</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216,186</w:t>
            </w:r>
          </w:p>
        </w:tc>
        <w:tc>
          <w:tcPr>
            <w:tcW w:w="7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218,953</w:t>
            </w:r>
          </w:p>
        </w:tc>
        <w:tc>
          <w:tcPr>
            <w:tcW w:w="0" w:type="dxa"/>
            <w:vAlign w:val="bottom"/>
          </w:tcPr>
          <w:p>
            <w:pPr>
              <w:spacing w:after="0"/>
              <w:rPr>
                <w:sz w:val="1"/>
                <w:szCs w:val="1"/>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assumed conversions (1)</w:t>
            </w:r>
          </w:p>
        </w:tc>
        <w:tc>
          <w:tcPr>
            <w:tcW w:w="4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40" w:type="dxa"/>
            <w:vAlign w:val="bottom"/>
          </w:tcPr>
          <w:p>
            <w:pPr>
              <w:spacing w:after="0"/>
              <w:rPr>
                <w:sz w:val="21"/>
                <w:szCs w:val="21"/>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c>
          <w:tcPr>
            <w:tcW w:w="0" w:type="dxa"/>
            <w:vAlign w:val="bottom"/>
          </w:tcPr>
          <w:p>
            <w:pPr>
              <w:spacing w:after="0"/>
              <w:rPr>
                <w:sz w:val="1"/>
                <w:szCs w:val="1"/>
                <w:color w:val="auto"/>
              </w:rPr>
            </w:pPr>
          </w:p>
        </w:tc>
      </w:tr>
      <w:tr>
        <w:trPr>
          <w:trHeight w:val="244"/>
        </w:trPr>
        <w:tc>
          <w:tcPr>
            <w:tcW w:w="3640" w:type="dxa"/>
            <w:vAlign w:val="bottom"/>
          </w:tcPr>
          <w:p>
            <w:pPr>
              <w:spacing w:after="0"/>
              <w:rPr>
                <w:sz w:val="21"/>
                <w:szCs w:val="21"/>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w:t>
            </w:r>
          </w:p>
        </w:tc>
        <w:tc>
          <w:tcPr>
            <w:tcW w:w="0" w:type="dxa"/>
            <w:vAlign w:val="bottom"/>
          </w:tcPr>
          <w:p>
            <w:pPr>
              <w:spacing w:after="0"/>
              <w:rPr>
                <w:sz w:val="1"/>
                <w:szCs w:val="1"/>
                <w:color w:val="auto"/>
              </w:rPr>
            </w:pPr>
          </w:p>
        </w:tc>
      </w:tr>
      <w:tr>
        <w:trPr>
          <w:trHeight w:val="244"/>
        </w:trPr>
        <w:tc>
          <w:tcPr>
            <w:tcW w:w="3640" w:type="dxa"/>
            <w:vAlign w:val="bottom"/>
          </w:tcPr>
          <w:p>
            <w:pPr>
              <w:spacing w:after="0"/>
              <w:rPr>
                <w:sz w:val="21"/>
                <w:szCs w:val="21"/>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060" w:right="3300" w:hanging="357"/>
        <w:spacing w:after="0" w:line="274" w:lineRule="auto"/>
        <w:tabs>
          <w:tab w:leader="none" w:pos="123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68" w:lineRule="exact"/>
        <w:rPr>
          <w:sz w:val="20"/>
          <w:szCs w:val="20"/>
          <w:color w:val="auto"/>
        </w:rPr>
      </w:pPr>
    </w:p>
    <w:p>
      <w:pPr>
        <w:ind w:left="440" w:right="3300" w:firstLine="347"/>
        <w:spacing w:after="0" w:line="267" w:lineRule="auto"/>
        <w:rPr>
          <w:sz w:val="20"/>
          <w:szCs w:val="20"/>
          <w:color w:val="auto"/>
        </w:rPr>
      </w:pPr>
      <w:r>
        <w:rPr>
          <w:rFonts w:ascii="Courier New" w:cs="Courier New" w:eastAsia="Courier New" w:hAnsi="Courier New"/>
          <w:sz w:val="14"/>
          <w:szCs w:val="14"/>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pacing w:after="0" w:line="2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60"/>
          </w:cols>
          <w:pgMar w:left="220" w:top="594" w:right="1419" w:bottom="332" w:gutter="0" w:footer="0" w:header="0"/>
        </w:sectPr>
      </w:pPr>
    </w:p>
    <w:bookmarkStart w:id="82" w:name="page83"/>
    <w:bookmarkEnd w:id="82"/>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719" w:hanging="791"/>
        <w:spacing w:after="0" w:line="505" w:lineRule="auto"/>
        <w:tabs>
          <w:tab w:leader="none" w:pos="45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Securities Ordinary Shares</w:t>
      </w:r>
    </w:p>
    <w:p>
      <w:pPr>
        <w:ind w:left="440" w:right="3279" w:firstLine="347"/>
        <w:spacing w:after="0" w:line="264" w:lineRule="auto"/>
        <w:rPr>
          <w:sz w:val="20"/>
          <w:szCs w:val="20"/>
          <w:color w:val="auto"/>
        </w:rPr>
      </w:pPr>
      <w:r>
        <w:rPr>
          <w:rFonts w:ascii="Courier New" w:cs="Courier New" w:eastAsia="Courier New" w:hAnsi="Courier New"/>
          <w:sz w:val="14"/>
          <w:szCs w:val="14"/>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76" w:lineRule="exact"/>
        <w:rPr>
          <w:sz w:val="20"/>
          <w:szCs w:val="20"/>
          <w:color w:val="auto"/>
        </w:rPr>
      </w:pPr>
    </w:p>
    <w:p>
      <w:pPr>
        <w:ind w:left="440" w:right="3279" w:firstLine="347"/>
        <w:spacing w:after="0" w:line="278" w:lineRule="auto"/>
        <w:rPr>
          <w:sz w:val="20"/>
          <w:szCs w:val="20"/>
          <w:color w:val="auto"/>
        </w:rPr>
      </w:pPr>
      <w:r>
        <w:rPr>
          <w:rFonts w:ascii="Courier New" w:cs="Courier New" w:eastAsia="Courier New" w:hAnsi="Courier New"/>
          <w:sz w:val="14"/>
          <w:szCs w:val="14"/>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66" w:lineRule="exact"/>
        <w:rPr>
          <w:sz w:val="20"/>
          <w:szCs w:val="20"/>
          <w:color w:val="auto"/>
        </w:rPr>
      </w:pPr>
    </w:p>
    <w:p>
      <w:pPr>
        <w:ind w:left="440" w:right="3279" w:firstLine="347"/>
        <w:spacing w:after="0" w:line="267" w:lineRule="auto"/>
        <w:rPr>
          <w:sz w:val="20"/>
          <w:szCs w:val="20"/>
          <w:color w:val="auto"/>
        </w:rPr>
      </w:pPr>
      <w:r>
        <w:rPr>
          <w:rFonts w:ascii="Courier New" w:cs="Courier New" w:eastAsia="Courier New" w:hAnsi="Courier New"/>
          <w:sz w:val="14"/>
          <w:szCs w:val="14"/>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72" w:lineRule="exact"/>
        <w:rPr>
          <w:sz w:val="20"/>
          <w:szCs w:val="20"/>
          <w:color w:val="auto"/>
        </w:rPr>
      </w:pPr>
    </w:p>
    <w:p>
      <w:pPr>
        <w:ind w:left="440" w:right="3379" w:firstLine="347"/>
        <w:spacing w:after="0" w:line="271" w:lineRule="auto"/>
        <w:rPr>
          <w:sz w:val="20"/>
          <w:szCs w:val="20"/>
          <w:color w:val="auto"/>
        </w:rPr>
      </w:pPr>
      <w:r>
        <w:rPr>
          <w:rFonts w:ascii="Courier New" w:cs="Courier New" w:eastAsia="Courier New" w:hAnsi="Courier New"/>
          <w:sz w:val="14"/>
          <w:szCs w:val="14"/>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7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Convertible Notes</w:t>
      </w:r>
    </w:p>
    <w:p>
      <w:pPr>
        <w:spacing w:after="0" w:line="175" w:lineRule="exact"/>
        <w:rPr>
          <w:sz w:val="20"/>
          <w:szCs w:val="20"/>
          <w:color w:val="auto"/>
        </w:rPr>
      </w:pPr>
    </w:p>
    <w:p>
      <w:pPr>
        <w:ind w:left="440" w:right="3279" w:firstLine="347"/>
        <w:spacing w:after="0" w:line="274" w:lineRule="auto"/>
        <w:rPr>
          <w:sz w:val="20"/>
          <w:szCs w:val="20"/>
          <w:color w:val="auto"/>
        </w:rPr>
      </w:pPr>
      <w:r>
        <w:rPr>
          <w:rFonts w:ascii="Courier New" w:cs="Courier New" w:eastAsia="Courier New" w:hAnsi="Courier New"/>
          <w:sz w:val="14"/>
          <w:szCs w:val="14"/>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6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June 1, 2004, the Company completed a cash offer for the 2% Notes.</w:t>
      </w:r>
    </w:p>
    <w:p>
      <w:pPr>
        <w:spacing w:after="0" w:line="3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indenture for the 2% Notes, each holder of the 2% Notes had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right to require the Company to repurchase on June 1, 2004 all or any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 of such holder's notes at a price equal to 100% of the principal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 plus accrued and unpaid interest. Under the terms of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had the option to pay for the 2% Notes with cash, ordinary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or a combination of cash and ordinary shares. The Company elected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pay for the notes solely with cash. The Company accepted for payment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$395,110 principal amount of 2% Notes surrendered for repurchase pursuant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offer. The untendered $344 principal amount of 2% Notes will remain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obligations of the Company, due June 1, 2008, in accordance with</w:t>
      </w:r>
    </w:p>
    <w:p>
      <w:pPr>
        <w:spacing w:after="0" w:line="1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427" w:right="1440" w:bottom="1440" w:gutter="0" w:footer="0" w:header="0"/>
        </w:sectPr>
      </w:pPr>
    </w:p>
    <w:bookmarkStart w:id="83" w:name="page84"/>
    <w:bookmarkEnd w:id="83"/>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right="3279"/>
        <w:spacing w:after="0" w:line="378" w:lineRule="auto"/>
        <w:rPr>
          <w:sz w:val="20"/>
          <w:szCs w:val="20"/>
          <w:color w:val="auto"/>
        </w:rPr>
      </w:pPr>
      <w:r>
        <w:rPr>
          <w:rFonts w:ascii="Courier New" w:cs="Courier New" w:eastAsia="Courier New" w:hAnsi="Courier New"/>
          <w:sz w:val="14"/>
          <w:szCs w:val="14"/>
          <w:color w:val="auto"/>
        </w:rPr>
        <w:t>their terms, and are included in "Noncurrent liabilities and other" in the accompanying consolidated balance sheet as of June 30, 2004.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ACQUISITIONS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25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is the revised allocation of the purchase price and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1"/>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Purchase price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65,887</w:t>
            </w:r>
          </w:p>
        </w:tc>
        <w:tc>
          <w:tcPr>
            <w:tcW w:w="0" w:type="dxa"/>
            <w:vAlign w:val="bottom"/>
          </w:tcPr>
          <w:p>
            <w:pPr>
              <w:spacing w:after="0"/>
              <w:rPr>
                <w:sz w:val="1"/>
                <w:szCs w:val="1"/>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Estimated transaction costs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2,925</w:t>
            </w:r>
          </w:p>
        </w:tc>
        <w:tc>
          <w:tcPr>
            <w:tcW w:w="0" w:type="dxa"/>
            <w:vAlign w:val="bottom"/>
          </w:tcPr>
          <w:p>
            <w:pPr>
              <w:spacing w:after="0"/>
              <w:rPr>
                <w:sz w:val="1"/>
                <w:szCs w:val="1"/>
                <w:color w:val="auto"/>
              </w:rPr>
            </w:pPr>
          </w:p>
        </w:tc>
      </w:tr>
      <w:tr>
        <w:trPr>
          <w:trHeight w:val="167"/>
        </w:trPr>
        <w:tc>
          <w:tcPr>
            <w:tcW w:w="698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9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68,812</w:t>
            </w:r>
          </w:p>
        </w:tc>
        <w:tc>
          <w:tcPr>
            <w:tcW w:w="0" w:type="dxa"/>
            <w:vAlign w:val="bottom"/>
          </w:tcPr>
          <w:p>
            <w:pPr>
              <w:spacing w:after="0"/>
              <w:rPr>
                <w:sz w:val="1"/>
                <w:szCs w:val="1"/>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Write-off of deferred revenue and allowance on Amdocs books, net of</w:t>
            </w: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(33,666)</w:t>
            </w:r>
          </w:p>
        </w:tc>
        <w:tc>
          <w:tcPr>
            <w:tcW w:w="0" w:type="dxa"/>
            <w:vAlign w:val="bottom"/>
          </w:tcPr>
          <w:p>
            <w:pPr>
              <w:spacing w:after="0"/>
              <w:rPr>
                <w:sz w:val="1"/>
                <w:szCs w:val="1"/>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tax</w:t>
            </w: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8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Net amount for purchase price allocation</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980" w:type="dxa"/>
            <w:vAlign w:val="bottom"/>
            <w:vMerge w:val="continue"/>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35,146</w:t>
            </w:r>
          </w:p>
        </w:tc>
        <w:tc>
          <w:tcPr>
            <w:tcW w:w="0" w:type="dxa"/>
            <w:vAlign w:val="bottom"/>
          </w:tcPr>
          <w:p>
            <w:pPr>
              <w:spacing w:after="0"/>
              <w:rPr>
                <w:sz w:val="1"/>
                <w:szCs w:val="1"/>
                <w:color w:val="auto"/>
              </w:rPr>
            </w:pPr>
          </w:p>
        </w:tc>
      </w:tr>
      <w:tr>
        <w:trPr>
          <w:trHeight w:val="244"/>
        </w:trPr>
        <w:tc>
          <w:tcPr>
            <w:tcW w:w="6980" w:type="dxa"/>
            <w:vAlign w:val="bottom"/>
          </w:tcPr>
          <w:p>
            <w:pPr>
              <w:spacing w:after="0"/>
              <w:rPr>
                <w:sz w:val="21"/>
                <w:szCs w:val="21"/>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Allocation of purchase price:</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tangible assets acquired, net of capitalized Amdocs system on</w:t>
            </w:r>
          </w:p>
        </w:tc>
        <w:tc>
          <w:tcPr>
            <w:tcW w:w="4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80,929</w:t>
            </w:r>
          </w:p>
        </w:tc>
        <w:tc>
          <w:tcPr>
            <w:tcW w:w="0" w:type="dxa"/>
            <w:vAlign w:val="bottom"/>
          </w:tcPr>
          <w:p>
            <w:pPr>
              <w:spacing w:after="0"/>
              <w:rPr>
                <w:sz w:val="1"/>
                <w:szCs w:val="1"/>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Certen's books</w:t>
            </w:r>
          </w:p>
        </w:tc>
        <w:tc>
          <w:tcPr>
            <w:tcW w:w="4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liabilities assumed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(241,460)</w:t>
            </w:r>
          </w:p>
        </w:tc>
        <w:tc>
          <w:tcPr>
            <w:tcW w:w="0" w:type="dxa"/>
            <w:vAlign w:val="bottom"/>
          </w:tcPr>
          <w:p>
            <w:pPr>
              <w:spacing w:after="0"/>
              <w:rPr>
                <w:sz w:val="1"/>
                <w:szCs w:val="1"/>
                <w:color w:val="auto"/>
              </w:rPr>
            </w:pPr>
          </w:p>
        </w:tc>
      </w:tr>
      <w:tr>
        <w:trPr>
          <w:trHeight w:val="167"/>
        </w:trPr>
        <w:tc>
          <w:tcPr>
            <w:tcW w:w="698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Net liabilities acquired</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69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(160,531)</w:t>
            </w:r>
          </w:p>
        </w:tc>
        <w:tc>
          <w:tcPr>
            <w:tcW w:w="0" w:type="dxa"/>
            <w:vAlign w:val="bottom"/>
          </w:tcPr>
          <w:p>
            <w:pPr>
              <w:spacing w:after="0"/>
              <w:rPr>
                <w:sz w:val="1"/>
                <w:szCs w:val="1"/>
                <w:color w:val="auto"/>
              </w:rPr>
            </w:pPr>
          </w:p>
        </w:tc>
      </w:tr>
      <w:tr>
        <w:trPr>
          <w:trHeight w:val="256"/>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Customer arrangement</w:t>
            </w: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36,385</w:t>
            </w:r>
          </w:p>
        </w:tc>
        <w:tc>
          <w:tcPr>
            <w:tcW w:w="0" w:type="dxa"/>
            <w:vAlign w:val="bottom"/>
          </w:tcPr>
          <w:p>
            <w:pPr>
              <w:spacing w:after="0"/>
              <w:rPr>
                <w:sz w:val="1"/>
                <w:szCs w:val="1"/>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Adjustment to fair value of pension and other post-employment benefit</w:t>
            </w: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(12,605)</w:t>
            </w:r>
          </w:p>
        </w:tc>
        <w:tc>
          <w:tcPr>
            <w:tcW w:w="0" w:type="dxa"/>
            <w:vAlign w:val="bottom"/>
          </w:tcPr>
          <w:p>
            <w:pPr>
              <w:spacing w:after="0"/>
              <w:rPr>
                <w:sz w:val="1"/>
                <w:szCs w:val="1"/>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EITF 95-3 and other 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c>
          <w:tcPr>
            <w:tcW w:w="0" w:type="dxa"/>
            <w:vAlign w:val="bottom"/>
          </w:tcPr>
          <w:p>
            <w:pPr>
              <w:spacing w:after="0"/>
              <w:rPr>
                <w:sz w:val="1"/>
                <w:szCs w:val="1"/>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Deferred taxes resulting from the difference between the assigned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value of certain assets and liabilities and their respective tax</w:t>
            </w:r>
          </w:p>
        </w:tc>
        <w:tc>
          <w:tcPr>
            <w:tcW w:w="48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73,673</w:t>
            </w:r>
          </w:p>
        </w:tc>
        <w:tc>
          <w:tcPr>
            <w:tcW w:w="0" w:type="dxa"/>
            <w:vAlign w:val="bottom"/>
          </w:tcPr>
          <w:p>
            <w:pPr>
              <w:spacing w:after="0"/>
              <w:rPr>
                <w:sz w:val="1"/>
                <w:szCs w:val="1"/>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bases</w:t>
            </w: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8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Net fair value of liabilities acquired</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9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(65,935)</w:t>
            </w:r>
          </w:p>
        </w:tc>
        <w:tc>
          <w:tcPr>
            <w:tcW w:w="0" w:type="dxa"/>
            <w:vAlign w:val="bottom"/>
          </w:tcPr>
          <w:p>
            <w:pPr>
              <w:spacing w:after="0"/>
              <w:rPr>
                <w:sz w:val="1"/>
                <w:szCs w:val="1"/>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Goodwill</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101,081</w:t>
            </w:r>
          </w:p>
        </w:tc>
        <w:tc>
          <w:tcPr>
            <w:tcW w:w="0" w:type="dxa"/>
            <w:vAlign w:val="bottom"/>
          </w:tcPr>
          <w:p>
            <w:pPr>
              <w:spacing w:after="0"/>
              <w:rPr>
                <w:sz w:val="1"/>
                <w:szCs w:val="1"/>
                <w:color w:val="auto"/>
              </w:rPr>
            </w:pPr>
          </w:p>
        </w:tc>
      </w:tr>
      <w:tr>
        <w:trPr>
          <w:trHeight w:val="244"/>
        </w:trPr>
        <w:tc>
          <w:tcPr>
            <w:tcW w:w="6980" w:type="dxa"/>
            <w:vAlign w:val="bottom"/>
          </w:tcPr>
          <w:p>
            <w:pPr>
              <w:spacing w:after="0"/>
              <w:rPr>
                <w:sz w:val="21"/>
                <w:szCs w:val="21"/>
                <w:color w:val="auto"/>
              </w:rPr>
            </w:pP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6980" w:type="dxa"/>
            <w:vAlign w:val="bottom"/>
          </w:tcPr>
          <w:p>
            <w:pPr>
              <w:ind w:left="2960"/>
              <w:spacing w:after="0"/>
              <w:rPr>
                <w:sz w:val="20"/>
                <w:szCs w:val="20"/>
                <w:color w:val="auto"/>
              </w:rPr>
            </w:pPr>
            <w:r>
              <w:rPr>
                <w:rFonts w:ascii="Courier New" w:cs="Courier New" w:eastAsia="Courier New" w:hAnsi="Courier New"/>
                <w:sz w:val="14"/>
                <w:szCs w:val="14"/>
                <w:color w:val="auto"/>
              </w:rPr>
              <w:t>70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99"/>
          </w:cols>
          <w:pgMar w:left="660" w:top="427" w:right="1440" w:bottom="1440" w:gutter="0" w:footer="0" w:header="0"/>
        </w:sectPr>
      </w:pPr>
    </w:p>
    <w:bookmarkStart w:id="84" w:name="page85"/>
    <w:bookmarkEnd w:id="84"/>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379" w:firstLine="347"/>
        <w:spacing w:after="0" w:line="295" w:lineRule="auto"/>
        <w:rPr>
          <w:sz w:val="20"/>
          <w:szCs w:val="20"/>
          <w:color w:val="auto"/>
        </w:rPr>
      </w:pPr>
      <w:r>
        <w:rPr>
          <w:rFonts w:ascii="Courier New" w:cs="Courier New" w:eastAsia="Courier New" w:hAnsi="Courier New"/>
          <w:sz w:val="14"/>
          <w:szCs w:val="14"/>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389"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JUNE 30, 2003</w:t>
            </w:r>
          </w:p>
        </w:tc>
      </w:tr>
      <w:tr>
        <w:trPr>
          <w:trHeight w:val="244"/>
        </w:trPr>
        <w:tc>
          <w:tcPr>
            <w:tcW w:w="2900" w:type="dxa"/>
            <w:vAlign w:val="bottom"/>
          </w:tcPr>
          <w:p>
            <w:pPr>
              <w:spacing w:after="0"/>
              <w:rPr>
                <w:sz w:val="21"/>
                <w:szCs w:val="21"/>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$ 432,383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$ 1,210,198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51,727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129,381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104,107</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244"/>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bl>
    <w:p>
      <w:pPr>
        <w:spacing w:after="0" w:line="25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XACCT TECHNOLOGIES LIMITED</w:t>
      </w:r>
    </w:p>
    <w:p>
      <w:pPr>
        <w:spacing w:after="0" w:line="175" w:lineRule="exact"/>
        <w:rPr>
          <w:sz w:val="20"/>
          <w:szCs w:val="20"/>
          <w:color w:val="auto"/>
        </w:rPr>
      </w:pPr>
    </w:p>
    <w:p>
      <w:pPr>
        <w:ind w:right="3279" w:firstLine="347"/>
        <w:spacing w:after="0" w:line="260" w:lineRule="auto"/>
        <w:rPr>
          <w:sz w:val="20"/>
          <w:szCs w:val="20"/>
          <w:color w:val="auto"/>
        </w:rPr>
      </w:pPr>
      <w:r>
        <w:rPr>
          <w:rFonts w:ascii="Courier New" w:cs="Courier New" w:eastAsia="Courier New" w:hAnsi="Courier New"/>
          <w:sz w:val="14"/>
          <w:szCs w:val="14"/>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255" w:lineRule="exact"/>
        <w:rPr>
          <w:sz w:val="20"/>
          <w:szCs w:val="20"/>
          <w:color w:val="auto"/>
        </w:rPr>
      </w:pPr>
    </w:p>
    <w:p>
      <w:pPr>
        <w:ind w:right="3639" w:firstLine="347"/>
        <w:spacing w:after="0" w:line="382" w:lineRule="auto"/>
        <w:rPr>
          <w:sz w:val="20"/>
          <w:szCs w:val="20"/>
          <w:color w:val="auto"/>
        </w:rPr>
      </w:pPr>
      <w:r>
        <w:rPr>
          <w:rFonts w:ascii="Courier New" w:cs="Courier New" w:eastAsia="Courier New" w:hAnsi="Courier New"/>
          <w:sz w:val="14"/>
          <w:szCs w:val="14"/>
          <w:color w:val="auto"/>
        </w:rPr>
        <w:t>The following is the revised preliminary allocation of the purchase price and deferred tax assets: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assets acquired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9,209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Customer arrangements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10,187</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$29,175</w:t>
            </w:r>
          </w:p>
        </w:tc>
      </w:tr>
      <w:tr>
        <w:trPr>
          <w:trHeight w:val="244"/>
        </w:trPr>
        <w:tc>
          <w:tcPr>
            <w:tcW w:w="326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89" w:lineRule="exact"/>
        <w:rPr>
          <w:sz w:val="20"/>
          <w:szCs w:val="20"/>
          <w:color w:val="auto"/>
        </w:rPr>
      </w:pPr>
    </w:p>
    <w:p>
      <w:pPr>
        <w:ind w:right="3459" w:firstLine="347"/>
        <w:spacing w:after="0" w:line="285" w:lineRule="auto"/>
        <w:rPr>
          <w:sz w:val="20"/>
          <w:szCs w:val="20"/>
          <w:color w:val="auto"/>
        </w:rPr>
      </w:pPr>
      <w:r>
        <w:rPr>
          <w:rFonts w:ascii="Courier New" w:cs="Courier New" w:eastAsia="Courier New" w:hAnsi="Courier New"/>
          <w:sz w:val="14"/>
          <w:szCs w:val="14"/>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22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9799"/>
          </w:cols>
          <w:pgMar w:left="660" w:top="427" w:right="1440" w:bottom="1440" w:gutter="0" w:footer="0" w:header="0"/>
        </w:sectPr>
      </w:pPr>
    </w:p>
    <w:bookmarkStart w:id="85" w:name="page86"/>
    <w:bookmarkEnd w:id="85"/>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0.50% Convertible Senior Notes Due 2024</w:t>
      </w:r>
    </w:p>
    <w:p>
      <w:pPr>
        <w:spacing w:after="0" w:line="175" w:lineRule="exact"/>
        <w:rPr>
          <w:sz w:val="20"/>
          <w:szCs w:val="20"/>
          <w:color w:val="auto"/>
        </w:rPr>
      </w:pPr>
    </w:p>
    <w:p>
      <w:pPr>
        <w:ind w:left="440" w:right="3279" w:firstLine="347"/>
        <w:spacing w:after="0" w:line="255" w:lineRule="auto"/>
        <w:rPr>
          <w:sz w:val="20"/>
          <w:szCs w:val="20"/>
          <w:color w:val="auto"/>
        </w:rPr>
      </w:pPr>
      <w:r>
        <w:rPr>
          <w:rFonts w:ascii="Courier New" w:cs="Courier New" w:eastAsia="Courier New" w:hAnsi="Courier New"/>
          <w:sz w:val="14"/>
          <w:szCs w:val="14"/>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4" w:lineRule="exact"/>
        <w:rPr>
          <w:sz w:val="20"/>
          <w:szCs w:val="20"/>
          <w:color w:val="auto"/>
        </w:rPr>
      </w:pPr>
    </w:p>
    <w:p>
      <w:pPr>
        <w:ind w:left="440" w:right="3279" w:firstLine="3"/>
        <w:spacing w:after="0" w:line="257" w:lineRule="auto"/>
        <w:tabs>
          <w:tab w:leader="none" w:pos="874"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25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Efficiency and Cost Reduction Programs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Fiscal Year Ended September 30, 2003</w:t>
      </w:r>
    </w:p>
    <w:p>
      <w:pPr>
        <w:spacing w:after="0" w:line="175" w:lineRule="exact"/>
        <w:rPr>
          <w:sz w:val="20"/>
          <w:szCs w:val="20"/>
          <w:color w:val="auto"/>
        </w:rPr>
      </w:pPr>
    </w:p>
    <w:p>
      <w:pPr>
        <w:ind w:left="440" w:right="3279" w:firstLine="347"/>
        <w:spacing w:after="0" w:line="271" w:lineRule="auto"/>
        <w:rPr>
          <w:sz w:val="20"/>
          <w:szCs w:val="20"/>
          <w:color w:val="auto"/>
        </w:rPr>
      </w:pPr>
      <w:r>
        <w:rPr>
          <w:rFonts w:ascii="Courier New" w:cs="Courier New" w:eastAsia="Courier New" w:hAnsi="Courier New"/>
          <w:sz w:val="14"/>
          <w:szCs w:val="14"/>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70" w:lineRule="exact"/>
        <w:rPr>
          <w:sz w:val="20"/>
          <w:szCs w:val="20"/>
          <w:color w:val="auto"/>
        </w:rPr>
      </w:pPr>
    </w:p>
    <w:p>
      <w:pPr>
        <w:ind w:left="440" w:right="3379" w:firstLine="347"/>
        <w:spacing w:after="0" w:line="285"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Details of $9,956 Restructuring Charge:</w:t>
      </w:r>
    </w:p>
    <w:p>
      <w:pPr>
        <w:spacing w:after="0" w:line="175" w:lineRule="exact"/>
        <w:rPr>
          <w:sz w:val="20"/>
          <w:szCs w:val="20"/>
          <w:color w:val="auto"/>
        </w:rPr>
      </w:pPr>
    </w:p>
    <w:p>
      <w:pPr>
        <w:ind w:left="440" w:right="3279" w:firstLine="347"/>
        <w:spacing w:after="0" w:line="278" w:lineRule="auto"/>
        <w:rPr>
          <w:sz w:val="20"/>
          <w:szCs w:val="20"/>
          <w:color w:val="auto"/>
        </w:rPr>
      </w:pPr>
      <w:r>
        <w:rPr>
          <w:rFonts w:ascii="Courier New" w:cs="Courier New" w:eastAsia="Courier New" w:hAnsi="Courier New"/>
          <w:sz w:val="14"/>
          <w:szCs w:val="14"/>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761" w:right="1440" w:bottom="1440" w:gutter="0" w:footer="0" w:header="0"/>
        </w:sectPr>
      </w:pPr>
    </w:p>
    <w:bookmarkStart w:id="86" w:name="page87"/>
    <w:bookmarkEnd w:id="86"/>
    <w:p>
      <w:pPr>
        <w:jc w:val="center"/>
        <w:ind w:right="4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jc w:val="both"/>
        <w:spacing w:after="0" w:line="317" w:lineRule="auto"/>
        <w:rPr>
          <w:sz w:val="20"/>
          <w:szCs w:val="20"/>
          <w:color w:val="auto"/>
        </w:rPr>
      </w:pPr>
      <w:r>
        <w:rPr>
          <w:rFonts w:ascii="Courier New" w:cs="Courier New" w:eastAsia="Courier New" w:hAnsi="Courier New"/>
          <w:sz w:val="14"/>
          <w:szCs w:val="14"/>
          <w:color w:val="auto"/>
        </w:rPr>
        <w:t>Missouri. The Company also recorded a provision of $1,829 for asset write-offs, principally for leasehold improvements in Raanana, Israel and St. Louis, Missouri that were abandoned.</w:t>
      </w:r>
    </w:p>
    <w:p>
      <w:pPr>
        <w:spacing w:after="0" w:line="39" w:lineRule="exact"/>
        <w:rPr>
          <w:sz w:val="20"/>
          <w:szCs w:val="20"/>
          <w:color w:val="auto"/>
        </w:rPr>
      </w:pPr>
    </w:p>
    <w:p>
      <w:pPr>
        <w:ind w:right="180" w:firstLine="347"/>
        <w:spacing w:after="0" w:line="382" w:lineRule="auto"/>
        <w:rPr>
          <w:sz w:val="20"/>
          <w:szCs w:val="20"/>
          <w:color w:val="auto"/>
        </w:rPr>
      </w:pPr>
      <w:r>
        <w:rPr>
          <w:rFonts w:ascii="Courier New" w:cs="Courier New" w:eastAsia="Courier New" w:hAnsi="Courier New"/>
          <w:sz w:val="14"/>
          <w:szCs w:val="14"/>
          <w:color w:val="auto"/>
        </w:rPr>
        <w:t>The first quarter of fiscal 2003 restructuring charge is comprised of the following as of June 30, 2004:</w:t>
      </w:r>
    </w:p>
    <w:p>
      <w:pPr>
        <w:spacing w:after="0" w:line="330"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ASSET</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SEPARATION</w:t>
            </w:r>
          </w:p>
        </w:tc>
        <w:tc>
          <w:tcPr>
            <w:tcW w:w="26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FACILITIES</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WRITE-OFFS</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4,011</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September 30,</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7"/>
                <w:szCs w:val="7"/>
                <w:color w:val="auto"/>
              </w:rPr>
            </w:pPr>
          </w:p>
        </w:tc>
        <w:tc>
          <w:tcPr>
            <w:tcW w:w="10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3,102</w:t>
            </w:r>
          </w:p>
        </w:tc>
        <w:tc>
          <w:tcPr>
            <w:tcW w:w="260" w:type="dxa"/>
            <w:vAlign w:val="bottom"/>
          </w:tcPr>
          <w:p>
            <w:pPr>
              <w:spacing w:after="0"/>
              <w:rPr>
                <w:sz w:val="7"/>
                <w:szCs w:val="7"/>
                <w:color w:val="auto"/>
              </w:rPr>
            </w:pP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June 30, 2004</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vMerge w:val="continue"/>
          </w:tcPr>
          <w:p>
            <w:pPr>
              <w:spacing w:after="0"/>
              <w:rPr>
                <w:sz w:val="14"/>
                <w:szCs w:val="14"/>
                <w:color w:val="auto"/>
              </w:rPr>
            </w:pP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firstLine="347"/>
        <w:spacing w:after="0" w:line="278" w:lineRule="auto"/>
        <w:rPr>
          <w:sz w:val="20"/>
          <w:szCs w:val="20"/>
          <w:color w:val="auto"/>
        </w:rPr>
      </w:pPr>
      <w:r>
        <w:rPr>
          <w:rFonts w:ascii="Courier New" w:cs="Courier New" w:eastAsia="Courier New" w:hAnsi="Courier New"/>
          <w:sz w:val="14"/>
          <w:szCs w:val="14"/>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6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Fiscal Year Ended September 30, 2002</w:t>
      </w:r>
    </w:p>
    <w:p>
      <w:pPr>
        <w:spacing w:after="0" w:line="175" w:lineRule="exact"/>
        <w:rPr>
          <w:sz w:val="20"/>
          <w:szCs w:val="20"/>
          <w:color w:val="auto"/>
        </w:rPr>
      </w:pPr>
    </w:p>
    <w:p>
      <w:pPr>
        <w:ind w:right="100" w:firstLine="347"/>
        <w:spacing w:after="0" w:line="267" w:lineRule="auto"/>
        <w:rPr>
          <w:sz w:val="20"/>
          <w:szCs w:val="20"/>
          <w:color w:val="auto"/>
        </w:rPr>
      </w:pPr>
      <w:r>
        <w:rPr>
          <w:rFonts w:ascii="Courier New" w:cs="Courier New" w:eastAsia="Courier New" w:hAnsi="Courier New"/>
          <w:sz w:val="14"/>
          <w:szCs w:val="14"/>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72" w:lineRule="exact"/>
        <w:rPr>
          <w:sz w:val="20"/>
          <w:szCs w:val="20"/>
          <w:color w:val="auto"/>
        </w:rPr>
      </w:pPr>
    </w:p>
    <w:p>
      <w:pPr>
        <w:ind w:firstLine="347"/>
        <w:spacing w:after="0" w:line="285"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$20,919 Restructuring Charge:</w:t>
      </w:r>
    </w:p>
    <w:p>
      <w:pPr>
        <w:spacing w:after="0" w:line="175" w:lineRule="exact"/>
        <w:rPr>
          <w:sz w:val="20"/>
          <w:szCs w:val="20"/>
          <w:color w:val="auto"/>
        </w:rPr>
      </w:pPr>
    </w:p>
    <w:p>
      <w:pPr>
        <w:ind w:firstLine="347"/>
        <w:spacing w:after="0" w:line="265" w:lineRule="auto"/>
        <w:rPr>
          <w:sz w:val="20"/>
          <w:szCs w:val="20"/>
          <w:color w:val="auto"/>
        </w:rPr>
      </w:pPr>
      <w:r>
        <w:rPr>
          <w:rFonts w:ascii="Courier New" w:cs="Courier New" w:eastAsia="Courier New" w:hAnsi="Courier New"/>
          <w:sz w:val="14"/>
          <w:szCs w:val="14"/>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24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3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16" w:lineRule="exact"/>
        <w:rPr>
          <w:sz w:val="20"/>
          <w:szCs w:val="20"/>
          <w:color w:val="auto"/>
        </w:rPr>
      </w:pPr>
    </w:p>
    <w:p>
      <w:pPr>
        <w:spacing w:after="0"/>
        <w:tabs>
          <w:tab w:leader="none" w:pos="500" w:val="left"/>
          <w:tab w:leader="none" w:pos="1020" w:val="left"/>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9,956</w:t>
      </w:r>
    </w:p>
    <w:p>
      <w:pPr>
        <w:spacing w:after="0" w:line="8" w:lineRule="exact"/>
        <w:rPr>
          <w:sz w:val="20"/>
          <w:szCs w:val="20"/>
          <w:color w:val="auto"/>
        </w:rPr>
      </w:pPr>
    </w:p>
    <w:p>
      <w:pPr>
        <w:ind w:left="1220" w:hanging="786"/>
        <w:spacing w:after="0"/>
        <w:tabs>
          <w:tab w:leader="none" w:pos="12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(4,451)</w:t>
      </w:r>
    </w:p>
    <w:p>
      <w:pPr>
        <w:spacing w:after="0" w:line="8" w:lineRule="exact"/>
        <w:rPr>
          <w:sz w:val="20"/>
          <w:szCs w:val="20"/>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(1,829)</w:t>
      </w:r>
    </w:p>
    <w:p>
      <w:pPr>
        <w:spacing w:after="0" w:line="8" w:lineRule="exact"/>
        <w:rPr>
          <w:rFonts w:ascii="Courier New" w:cs="Courier New" w:eastAsia="Courier New" w:hAnsi="Courier New"/>
          <w:sz w:val="14"/>
          <w:szCs w:val="14"/>
          <w:color w:val="auto"/>
        </w:rPr>
      </w:pPr>
    </w:p>
    <w:p>
      <w:pPr>
        <w:ind w:left="1380" w:hanging="860"/>
        <w:spacing w:after="0"/>
        <w:tabs>
          <w:tab w:leader="none" w:pos="13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1300" w:hanging="780"/>
        <w:spacing w:after="0"/>
        <w:tabs>
          <w:tab w:leader="none" w:pos="13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3,261</w:t>
      </w:r>
    </w:p>
    <w:p>
      <w:pPr>
        <w:spacing w:after="0" w:line="34" w:lineRule="exact"/>
        <w:rPr>
          <w:rFonts w:ascii="Courier New" w:cs="Courier New" w:eastAsia="Courier New" w:hAnsi="Courier New"/>
          <w:sz w:val="14"/>
          <w:szCs w:val="14"/>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(1,365)</w:t>
      </w:r>
    </w:p>
    <w:p>
      <w:pPr>
        <w:spacing w:after="0" w:line="8" w:lineRule="exact"/>
        <w:rPr>
          <w:rFonts w:ascii="Courier New" w:cs="Courier New" w:eastAsia="Courier New" w:hAnsi="Courier New"/>
          <w:sz w:val="14"/>
          <w:szCs w:val="14"/>
          <w:color w:val="auto"/>
        </w:rPr>
      </w:pPr>
    </w:p>
    <w:p>
      <w:pPr>
        <w:ind w:left="1640" w:hanging="1120"/>
        <w:spacing w:after="0"/>
        <w:tabs>
          <w:tab w:leader="none" w:pos="16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hanging="520"/>
        <w:spacing w:after="0"/>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1,904</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520" w:space="340"/>
            <w:col w:w="2940"/>
          </w:cols>
          <w:pgMar w:left="660" w:top="427" w:right="1440" w:bottom="1440" w:gutter="0" w:footer="0" w:header="0"/>
        </w:sectPr>
      </w:pPr>
    </w:p>
    <w:bookmarkStart w:id="87" w:name="page88"/>
    <w:bookmarkEnd w:id="87"/>
    <w:p>
      <w:pPr>
        <w:jc w:val="center"/>
        <w:ind w:right="10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jc w:val="both"/>
        <w:ind w:right="600"/>
        <w:spacing w:after="0" w:line="317" w:lineRule="auto"/>
        <w:rPr>
          <w:sz w:val="20"/>
          <w:szCs w:val="20"/>
          <w:color w:val="auto"/>
        </w:rPr>
      </w:pPr>
      <w:r>
        <w:rPr>
          <w:rFonts w:ascii="Courier New" w:cs="Courier New" w:eastAsia="Courier New" w:hAnsi="Courier New"/>
          <w:sz w:val="14"/>
          <w:szCs w:val="14"/>
          <w:color w:val="auto"/>
        </w:rPr>
        <w:t>The Company also recorded a provision of $1,584 for asset write-offs, principally for leasehold improvements in Canada, Israel and the United States that were abandoned.</w:t>
      </w:r>
    </w:p>
    <w:p>
      <w:pPr>
        <w:spacing w:after="0" w:line="39" w:lineRule="exact"/>
        <w:rPr>
          <w:sz w:val="20"/>
          <w:szCs w:val="20"/>
          <w:color w:val="auto"/>
        </w:rPr>
      </w:pPr>
    </w:p>
    <w:p>
      <w:pPr>
        <w:ind w:right="700" w:firstLine="347"/>
        <w:spacing w:after="0" w:line="382" w:lineRule="auto"/>
        <w:rPr>
          <w:sz w:val="20"/>
          <w:szCs w:val="20"/>
          <w:color w:val="auto"/>
        </w:rPr>
      </w:pPr>
      <w:r>
        <w:rPr>
          <w:rFonts w:ascii="Courier New" w:cs="Courier New" w:eastAsia="Courier New" w:hAnsi="Courier New"/>
          <w:sz w:val="14"/>
          <w:szCs w:val="14"/>
          <w:color w:val="auto"/>
        </w:rPr>
        <w:t>The fourth quarter of fiscal 2002 restructuring charge is comprised of the following as of June 30, 2004:</w:t>
      </w:r>
    </w:p>
    <w:p>
      <w:pPr>
        <w:spacing w:after="0" w:line="330"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Employee</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Asset</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Separation</w:t>
            </w:r>
          </w:p>
        </w:tc>
        <w:tc>
          <w:tcPr>
            <w:tcW w:w="1480" w:type="dxa"/>
            <w:vAlign w:val="bottom"/>
            <w:gridSpan w:val="2"/>
            <w:vMerge w:val="restart"/>
          </w:tcPr>
          <w:p>
            <w:pPr>
              <w:ind w:left="260"/>
              <w:spacing w:after="0"/>
              <w:rPr>
                <w:sz w:val="20"/>
                <w:szCs w:val="20"/>
                <w:color w:val="auto"/>
              </w:rPr>
            </w:pPr>
            <w:r>
              <w:rPr>
                <w:rFonts w:ascii="Courier New" w:cs="Courier New" w:eastAsia="Courier New" w:hAnsi="Courier New"/>
                <w:sz w:val="14"/>
                <w:szCs w:val="14"/>
                <w:color w:val="auto"/>
              </w:rPr>
              <w:t>Facilities</w:t>
            </w: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Costs</w:t>
            </w:r>
          </w:p>
        </w:tc>
        <w:tc>
          <w:tcPr>
            <w:tcW w:w="14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Write-offs</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11,353</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7,880</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1,584</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(8,053)</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c>
          <w:tcPr>
            <w:tcW w:w="0" w:type="dxa"/>
            <w:vAlign w:val="bottom"/>
          </w:tcPr>
          <w:p>
            <w:pPr>
              <w:spacing w:after="0"/>
              <w:rPr>
                <w:sz w:val="1"/>
                <w:szCs w:val="1"/>
                <w:color w:val="auto"/>
              </w:rPr>
            </w:pPr>
          </w:p>
        </w:tc>
      </w:tr>
      <w:tr>
        <w:trPr>
          <w:trHeight w:val="244"/>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September 30,</w:t>
            </w: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3,300</w:t>
            </w:r>
          </w:p>
        </w:tc>
        <w:tc>
          <w:tcPr>
            <w:tcW w:w="400" w:type="dxa"/>
            <w:vAlign w:val="bottom"/>
          </w:tcPr>
          <w:p>
            <w:pPr>
              <w:spacing w:after="0"/>
              <w:rPr>
                <w:sz w:val="7"/>
                <w:szCs w:val="7"/>
                <w:color w:val="auto"/>
              </w:rPr>
            </w:pPr>
          </w:p>
        </w:tc>
        <w:tc>
          <w:tcPr>
            <w:tcW w:w="10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7,424</w:t>
            </w:r>
          </w:p>
        </w:tc>
        <w:tc>
          <w:tcPr>
            <w:tcW w:w="340" w:type="dxa"/>
            <w:vAlign w:val="bottom"/>
          </w:tcPr>
          <w:p>
            <w:pPr>
              <w:spacing w:after="0"/>
              <w:rPr>
                <w:sz w:val="7"/>
                <w:szCs w:val="7"/>
                <w:color w:val="auto"/>
              </w:rPr>
            </w:pP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(3,240)</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(4,082)</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September 30,</w:t>
            </w: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7"/>
                <w:szCs w:val="7"/>
                <w:color w:val="auto"/>
              </w:rPr>
            </w:pPr>
          </w:p>
        </w:tc>
        <w:tc>
          <w:tcPr>
            <w:tcW w:w="10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3,194</w:t>
            </w:r>
          </w:p>
        </w:tc>
        <w:tc>
          <w:tcPr>
            <w:tcW w:w="340" w:type="dxa"/>
            <w:vAlign w:val="bottom"/>
          </w:tcPr>
          <w:p>
            <w:pPr>
              <w:spacing w:after="0"/>
              <w:rPr>
                <w:sz w:val="7"/>
                <w:szCs w:val="7"/>
                <w:color w:val="auto"/>
              </w:rPr>
            </w:pP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June 30, 2004</w:t>
            </w: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vMerge w:val="continue"/>
          </w:tcPr>
          <w:p>
            <w:pPr>
              <w:spacing w:after="0"/>
              <w:rPr>
                <w:sz w:val="14"/>
                <w:szCs w:val="14"/>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600" w:firstLine="347"/>
        <w:spacing w:after="0" w:line="278" w:lineRule="auto"/>
        <w:rPr>
          <w:sz w:val="20"/>
          <w:szCs w:val="20"/>
          <w:color w:val="auto"/>
        </w:rPr>
      </w:pPr>
      <w:r>
        <w:rPr>
          <w:rFonts w:ascii="Courier New" w:cs="Courier New" w:eastAsia="Courier New" w:hAnsi="Courier New"/>
          <w:sz w:val="14"/>
          <w:szCs w:val="14"/>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66" w:lineRule="exact"/>
        <w:rPr>
          <w:sz w:val="20"/>
          <w:szCs w:val="20"/>
          <w:color w:val="auto"/>
        </w:rPr>
      </w:pPr>
    </w:p>
    <w:p>
      <w:pPr>
        <w:ind w:right="700" w:firstLine="347"/>
        <w:spacing w:after="0" w:line="295" w:lineRule="auto"/>
        <w:rPr>
          <w:sz w:val="20"/>
          <w:szCs w:val="20"/>
          <w:color w:val="auto"/>
        </w:rPr>
      </w:pPr>
      <w:r>
        <w:rPr>
          <w:rFonts w:ascii="Courier New" w:cs="Courier New" w:eastAsia="Courier New" w:hAnsi="Courier New"/>
          <w:sz w:val="14"/>
          <w:szCs w:val="14"/>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55" w:lineRule="exact"/>
        <w:rPr>
          <w:sz w:val="20"/>
          <w:szCs w:val="20"/>
          <w:color w:val="auto"/>
        </w:rPr>
      </w:pPr>
    </w:p>
    <w:p>
      <w:pPr>
        <w:ind w:right="780" w:firstLine="347"/>
        <w:spacing w:after="0" w:line="285" w:lineRule="auto"/>
        <w:rPr>
          <w:sz w:val="20"/>
          <w:szCs w:val="20"/>
          <w:color w:val="auto"/>
        </w:rPr>
      </w:pPr>
      <w:r>
        <w:rPr>
          <w:rFonts w:ascii="Courier New" w:cs="Courier New" w:eastAsia="Courier New" w:hAnsi="Courier New"/>
          <w:sz w:val="14"/>
          <w:szCs w:val="14"/>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$13,311 Restructuring charge:</w:t>
      </w:r>
    </w:p>
    <w:p>
      <w:pPr>
        <w:spacing w:after="0" w:line="175" w:lineRule="exact"/>
        <w:rPr>
          <w:sz w:val="20"/>
          <w:szCs w:val="20"/>
          <w:color w:val="auto"/>
        </w:rPr>
      </w:pPr>
    </w:p>
    <w:p>
      <w:pPr>
        <w:ind w:right="600" w:firstLine="347"/>
        <w:spacing w:after="0" w:line="274" w:lineRule="auto"/>
        <w:rPr>
          <w:sz w:val="20"/>
          <w:szCs w:val="20"/>
          <w:color w:val="auto"/>
        </w:rPr>
      </w:pPr>
      <w:r>
        <w:rPr>
          <w:rFonts w:ascii="Courier New" w:cs="Courier New" w:eastAsia="Courier New" w:hAnsi="Courier New"/>
          <w:sz w:val="14"/>
          <w:szCs w:val="14"/>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244"/>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423"/>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20,919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244"/>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256"/>
        </w:trPr>
        <w:tc>
          <w:tcPr>
            <w:tcW w:w="260" w:type="dxa"/>
            <w:vAlign w:val="bottom"/>
          </w:tcPr>
          <w:p>
            <w:pPr>
              <w:spacing w:after="0"/>
              <w:rPr>
                <w:sz w:val="22"/>
                <w:szCs w:val="22"/>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22"/>
                <w:szCs w:val="22"/>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10,769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(7,367)</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r>
      <w:tr>
        <w:trPr>
          <w:trHeight w:val="244"/>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bl>
    <w:p>
      <w:pPr>
        <w:spacing w:after="0" w:line="89" w:lineRule="exact"/>
        <w:rPr>
          <w:sz w:val="20"/>
          <w:szCs w:val="20"/>
          <w:color w:val="auto"/>
        </w:rPr>
      </w:pPr>
    </w:p>
    <w:p>
      <w:pPr>
        <w:ind w:left="1820" w:hanging="1119"/>
        <w:spacing w:after="0"/>
        <w:tabs>
          <w:tab w:leader="none" w:pos="18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3,276</w:t>
      </w:r>
    </w:p>
    <w:p>
      <w:pPr>
        <w:spacing w:after="0" w:line="34" w:lineRule="exact"/>
        <w:rPr>
          <w:rFonts w:ascii="Courier New" w:cs="Courier New" w:eastAsia="Courier New" w:hAnsi="Courier New"/>
          <w:sz w:val="14"/>
          <w:szCs w:val="14"/>
          <w:color w:val="auto"/>
        </w:rPr>
      </w:pPr>
    </w:p>
    <w:p>
      <w:pPr>
        <w:ind w:left="1740" w:hanging="1039"/>
        <w:spacing w:after="0"/>
        <w:tabs>
          <w:tab w:leader="none" w:pos="17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(1,024)</w:t>
      </w:r>
    </w:p>
    <w:p>
      <w:pPr>
        <w:spacing w:after="0" w:line="8" w:lineRule="exact"/>
        <w:rPr>
          <w:rFonts w:ascii="Courier New" w:cs="Courier New" w:eastAsia="Courier New" w:hAnsi="Courier New"/>
          <w:sz w:val="14"/>
          <w:szCs w:val="14"/>
          <w:color w:val="auto"/>
        </w:rPr>
      </w:pPr>
    </w:p>
    <w:p>
      <w:pPr>
        <w:ind w:left="2000" w:hanging="1299"/>
        <w:spacing w:after="0"/>
        <w:tabs>
          <w:tab w:leader="none" w:pos="20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680" w:val="left"/>
          <w:tab w:leader="none" w:pos="1540" w:val="left"/>
          <w:tab w:leader="none" w:pos="1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2,213</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120" w:space="340"/>
            <w:col w:w="2620"/>
          </w:cols>
          <w:pgMar w:left="660" w:top="594" w:right="1159" w:bottom="1440" w:gutter="0" w:footer="0" w:header="0"/>
        </w:sectPr>
      </w:pPr>
    </w:p>
    <w:bookmarkStart w:id="88" w:name="page89"/>
    <w:bookmarkEnd w:id="88"/>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right="3300" w:firstLine="347"/>
        <w:spacing w:after="0" w:line="382" w:lineRule="auto"/>
        <w:rPr>
          <w:sz w:val="20"/>
          <w:szCs w:val="20"/>
          <w:color w:val="auto"/>
        </w:rPr>
      </w:pPr>
      <w:r>
        <w:rPr>
          <w:rFonts w:ascii="Courier New" w:cs="Courier New" w:eastAsia="Courier New" w:hAnsi="Courier New"/>
          <w:sz w:val="14"/>
          <w:szCs w:val="14"/>
          <w:color w:val="auto"/>
        </w:rPr>
        <w:t>The restructuring charge related to the consolidation of the Stamford and Champaign facilities is comprised of the following as of June 30, 2004:</w:t>
      </w:r>
    </w:p>
    <w:p>
      <w:pPr>
        <w:spacing w:after="0" w:line="330"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Employee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w w:val="99"/>
              </w:rPr>
              <w:t>Asset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Separation</w:t>
            </w:r>
          </w:p>
        </w:tc>
        <w:tc>
          <w:tcPr>
            <w:tcW w:w="142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Facilities</w:t>
            </w:r>
          </w:p>
        </w:tc>
        <w:tc>
          <w:tcPr>
            <w:tcW w:w="5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6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Costs</w:t>
            </w:r>
          </w:p>
        </w:tc>
        <w:tc>
          <w:tcPr>
            <w:tcW w:w="1420" w:type="dxa"/>
            <w:vAlign w:val="bottom"/>
            <w:gridSpan w:val="2"/>
            <w:vMerge w:val="continue"/>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Write-offs</w:t>
            </w: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2,530</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13,311</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(2,473)</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(5,070)</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(4,126)</w:t>
            </w:r>
          </w:p>
        </w:tc>
        <w:tc>
          <w:tcPr>
            <w:tcW w:w="0" w:type="dxa"/>
            <w:vAlign w:val="bottom"/>
          </w:tcPr>
          <w:p>
            <w:pPr>
              <w:spacing w:after="0"/>
              <w:rPr>
                <w:sz w:val="1"/>
                <w:szCs w:val="1"/>
                <w:color w:val="auto"/>
              </w:rPr>
            </w:pPr>
          </w:p>
        </w:tc>
      </w:tr>
      <w:tr>
        <w:trPr>
          <w:trHeight w:val="244"/>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September 30,</w:t>
            </w: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7"/>
                <w:szCs w:val="7"/>
                <w:color w:val="auto"/>
              </w:rPr>
            </w:pPr>
          </w:p>
        </w:tc>
        <w:tc>
          <w:tcPr>
            <w:tcW w:w="9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3,663</w:t>
            </w:r>
          </w:p>
        </w:tc>
        <w:tc>
          <w:tcPr>
            <w:tcW w:w="520" w:type="dxa"/>
            <w:vAlign w:val="bottom"/>
          </w:tcPr>
          <w:p>
            <w:pPr>
              <w:spacing w:after="0"/>
              <w:rPr>
                <w:sz w:val="7"/>
                <w:szCs w:val="7"/>
                <w:color w:val="auto"/>
              </w:rPr>
            </w:pPr>
          </w:p>
        </w:tc>
        <w:tc>
          <w:tcPr>
            <w:tcW w:w="10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7"/>
                <w:szCs w:val="7"/>
                <w:color w:val="auto"/>
              </w:rPr>
            </w:pPr>
          </w:p>
        </w:tc>
        <w:tc>
          <w:tcPr>
            <w:tcW w:w="10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395</w:t>
            </w:r>
          </w:p>
        </w:tc>
        <w:tc>
          <w:tcPr>
            <w:tcW w:w="480" w:type="dxa"/>
            <w:vAlign w:val="bottom"/>
          </w:tcPr>
          <w:p>
            <w:pPr>
              <w:spacing w:after="0"/>
              <w:rPr>
                <w:sz w:val="7"/>
                <w:szCs w:val="7"/>
                <w:color w:val="auto"/>
              </w:rPr>
            </w:pPr>
          </w:p>
        </w:tc>
        <w:tc>
          <w:tcPr>
            <w:tcW w:w="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4,115</w:t>
            </w:r>
          </w:p>
        </w:tc>
        <w:tc>
          <w:tcPr>
            <w:tcW w:w="0" w:type="dxa"/>
            <w:vAlign w:val="bottom"/>
          </w:tcPr>
          <w:p>
            <w:pPr>
              <w:spacing w:after="0"/>
              <w:rPr>
                <w:sz w:val="1"/>
                <w:szCs w:val="1"/>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c>
          <w:tcPr>
            <w:tcW w:w="0" w:type="dxa"/>
            <w:vAlign w:val="bottom"/>
          </w:tcPr>
          <w:p>
            <w:pPr>
              <w:spacing w:after="0"/>
              <w:rPr>
                <w:sz w:val="1"/>
                <w:szCs w:val="1"/>
                <w:color w:val="auto"/>
              </w:rPr>
            </w:pPr>
          </w:p>
        </w:tc>
      </w:tr>
      <w:tr>
        <w:trPr>
          <w:trHeight w:val="244"/>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September 30,</w:t>
            </w: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7"/>
                <w:szCs w:val="7"/>
                <w:color w:val="auto"/>
              </w:rPr>
            </w:pPr>
          </w:p>
        </w:tc>
        <w:tc>
          <w:tcPr>
            <w:tcW w:w="9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2,710</w:t>
            </w:r>
          </w:p>
        </w:tc>
        <w:tc>
          <w:tcPr>
            <w:tcW w:w="520" w:type="dxa"/>
            <w:vAlign w:val="bottom"/>
          </w:tcPr>
          <w:p>
            <w:pPr>
              <w:spacing w:after="0"/>
              <w:rPr>
                <w:sz w:val="7"/>
                <w:szCs w:val="7"/>
                <w:color w:val="auto"/>
              </w:rPr>
            </w:pPr>
          </w:p>
        </w:tc>
        <w:tc>
          <w:tcPr>
            <w:tcW w:w="10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7"/>
                <w:szCs w:val="7"/>
                <w:color w:val="auto"/>
              </w:rPr>
            </w:pPr>
          </w:p>
        </w:tc>
        <w:tc>
          <w:tcPr>
            <w:tcW w:w="10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7"/>
                <w:szCs w:val="7"/>
                <w:color w:val="auto"/>
              </w:rPr>
            </w:pPr>
          </w:p>
        </w:tc>
        <w:tc>
          <w:tcPr>
            <w:tcW w:w="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2,710</w:t>
            </w:r>
          </w:p>
        </w:tc>
        <w:tc>
          <w:tcPr>
            <w:tcW w:w="0" w:type="dxa"/>
            <w:vAlign w:val="bottom"/>
          </w:tcPr>
          <w:p>
            <w:pPr>
              <w:spacing w:after="0"/>
              <w:rPr>
                <w:sz w:val="1"/>
                <w:szCs w:val="1"/>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c>
          <w:tcPr>
            <w:tcW w:w="0" w:type="dxa"/>
            <w:vAlign w:val="bottom"/>
          </w:tcPr>
          <w:p>
            <w:pPr>
              <w:spacing w:after="0"/>
              <w:rPr>
                <w:sz w:val="1"/>
                <w:szCs w:val="1"/>
                <w:color w:val="auto"/>
              </w:rPr>
            </w:pPr>
          </w:p>
        </w:tc>
      </w:tr>
      <w:tr>
        <w:trPr>
          <w:trHeight w:val="167"/>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June 30, 2004</w:t>
            </w: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600" w:type="dxa"/>
            <w:vAlign w:val="bottom"/>
            <w:vMerge w:val="continue"/>
          </w:tcPr>
          <w:p>
            <w:pPr>
              <w:spacing w:after="0"/>
              <w:rPr>
                <w:sz w:val="14"/>
                <w:szCs w:val="14"/>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1,917</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40" w:right="3400" w:firstLine="434"/>
        <w:spacing w:after="0" w:line="378" w:lineRule="auto"/>
        <w:rPr>
          <w:sz w:val="20"/>
          <w:szCs w:val="20"/>
          <w:color w:val="auto"/>
        </w:rPr>
      </w:pPr>
      <w:r>
        <w:rPr>
          <w:rFonts w:ascii="Courier New" w:cs="Courier New" w:eastAsia="Courier New" w:hAnsi="Courier New"/>
          <w:sz w:val="14"/>
          <w:szCs w:val="14"/>
          <w:color w:val="auto"/>
        </w:rPr>
        <w:t>The operating costs related to the Stamford site that were eliminated were approximately $8,500 in its last quarter of activity.</w:t>
      </w:r>
    </w:p>
    <w:p>
      <w:pPr>
        <w:spacing w:after="0" w:line="1"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left="440" w:right="3300" w:firstLine="347"/>
        <w:spacing w:after="0" w:line="288" w:lineRule="auto"/>
        <w:rPr>
          <w:sz w:val="20"/>
          <w:szCs w:val="20"/>
          <w:color w:val="auto"/>
        </w:rPr>
      </w:pPr>
      <w:r>
        <w:rPr>
          <w:rFonts w:ascii="Courier New" w:cs="Courier New" w:eastAsia="Courier New" w:hAnsi="Courier New"/>
          <w:sz w:val="14"/>
          <w:szCs w:val="14"/>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240" w:lineRule="exact"/>
        <w:rPr>
          <w:sz w:val="20"/>
          <w:szCs w:val="20"/>
          <w:color w:val="auto"/>
        </w:rPr>
      </w:pPr>
    </w:p>
    <w:p>
      <w:pPr>
        <w:ind w:left="440" w:right="3300" w:firstLine="347"/>
        <w:spacing w:after="0" w:line="267" w:lineRule="auto"/>
        <w:rPr>
          <w:sz w:val="20"/>
          <w:szCs w:val="20"/>
          <w:color w:val="auto"/>
        </w:rPr>
      </w:pPr>
      <w:r>
        <w:rPr>
          <w:rFonts w:ascii="Courier New" w:cs="Courier New" w:eastAsia="Courier New" w:hAnsi="Courier New"/>
          <w:sz w:val="14"/>
          <w:szCs w:val="14"/>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72" w:lineRule="exact"/>
        <w:rPr>
          <w:sz w:val="20"/>
          <w:szCs w:val="20"/>
          <w:color w:val="auto"/>
        </w:rPr>
      </w:pPr>
    </w:p>
    <w:p>
      <w:pPr>
        <w:ind w:left="440" w:right="3560" w:firstLine="347"/>
        <w:spacing w:after="0" w:line="382" w:lineRule="auto"/>
        <w:rPr>
          <w:sz w:val="20"/>
          <w:szCs w:val="20"/>
          <w:color w:val="auto"/>
        </w:rPr>
      </w:pPr>
      <w:r>
        <w:rPr>
          <w:rFonts w:ascii="Courier New" w:cs="Courier New" w:eastAsia="Courier New" w:hAnsi="Courier New"/>
          <w:sz w:val="14"/>
          <w:szCs w:val="14"/>
          <w:color w:val="auto"/>
        </w:rPr>
        <w:t>The net periodic benefit cost under these plans for the three months and nine months ended June 30, 2004, was as follows:</w:t>
      </w:r>
    </w:p>
    <w:p>
      <w:pPr>
        <w:spacing w:after="0" w:line="330"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 2004</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 2004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
                <w:szCs w:val="1"/>
                <w:color w:val="auto"/>
                <w:w w:val="88"/>
              </w:rPr>
              <w:t>------------------------------</w:t>
            </w:r>
          </w:p>
        </w:tc>
        <w:tc>
          <w:tcPr>
            <w:tcW w:w="1160" w:type="dxa"/>
            <w:vAlign w:val="bottom"/>
            <w:vMerge w:val="restart"/>
          </w:tcPr>
          <w:p>
            <w:pPr>
              <w:spacing w:after="0"/>
              <w:rPr>
                <w:sz w:val="20"/>
                <w:szCs w:val="20"/>
                <w:color w:val="auto"/>
              </w:rPr>
            </w:pPr>
            <w:r>
              <w:rPr>
                <w:rFonts w:ascii="Courier New" w:cs="Courier New" w:eastAsia="Courier New" w:hAnsi="Courier New"/>
                <w:sz w:val="14"/>
                <w:szCs w:val="14"/>
                <w:color w:val="auto"/>
              </w:rPr>
              <w:t>Pension</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Pension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Benefits</w:t>
            </w: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Benefits</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1"/>
                <w:szCs w:val="21"/>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271</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Interest on benefit obligations</w:t>
            </w:r>
          </w:p>
        </w:tc>
        <w:tc>
          <w:tcPr>
            <w:tcW w:w="3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673</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1,943</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279</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360" w:type="dxa"/>
            <w:vAlign w:val="bottom"/>
            <w:vMerge w:val="restart"/>
          </w:tcPr>
          <w:p>
            <w:pPr>
              <w:ind w:left="18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11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613</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550</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1"/>
                <w:szCs w:val="21"/>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right="3480" w:firstLine="347"/>
        <w:spacing w:after="0" w:line="295" w:lineRule="auto"/>
        <w:rPr>
          <w:sz w:val="20"/>
          <w:szCs w:val="20"/>
          <w:color w:val="auto"/>
        </w:rPr>
      </w:pPr>
      <w:r>
        <w:rPr>
          <w:rFonts w:ascii="Courier New" w:cs="Courier New" w:eastAsia="Courier New" w:hAnsi="Courier New"/>
          <w:sz w:val="14"/>
          <w:szCs w:val="14"/>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22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60"/>
          </w:cols>
          <w:pgMar w:left="220" w:top="427" w:right="1419" w:bottom="1440" w:gutter="0" w:footer="0" w:header="0"/>
        </w:sectPr>
      </w:pPr>
    </w:p>
    <w:bookmarkStart w:id="89" w:name="page90"/>
    <w:bookmarkEnd w:id="89"/>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left="440" w:right="3379" w:firstLine="347"/>
        <w:spacing w:after="0" w:line="264" w:lineRule="auto"/>
        <w:rPr>
          <w:sz w:val="20"/>
          <w:szCs w:val="20"/>
          <w:color w:val="auto"/>
        </w:rPr>
      </w:pPr>
      <w:r>
        <w:rPr>
          <w:rFonts w:ascii="Courier New" w:cs="Courier New" w:eastAsia="Courier New" w:hAnsi="Courier New"/>
          <w:sz w:val="14"/>
          <w:szCs w:val="14"/>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76" w:lineRule="exact"/>
        <w:rPr>
          <w:sz w:val="20"/>
          <w:szCs w:val="20"/>
          <w:color w:val="auto"/>
        </w:rPr>
      </w:pPr>
    </w:p>
    <w:p>
      <w:pPr>
        <w:ind w:left="440" w:right="3279" w:firstLine="347"/>
        <w:spacing w:after="0" w:line="285" w:lineRule="auto"/>
        <w:rPr>
          <w:sz w:val="20"/>
          <w:szCs w:val="20"/>
          <w:color w:val="auto"/>
        </w:rPr>
      </w:pPr>
      <w:r>
        <w:rPr>
          <w:rFonts w:ascii="Courier New" w:cs="Courier New" w:eastAsia="Courier New" w:hAnsi="Courier New"/>
          <w:sz w:val="14"/>
          <w:szCs w:val="14"/>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and Exchange Commission Investigation</w:t>
      </w:r>
    </w:p>
    <w:p>
      <w:pPr>
        <w:spacing w:after="0" w:line="175" w:lineRule="exact"/>
        <w:rPr>
          <w:sz w:val="20"/>
          <w:szCs w:val="20"/>
          <w:color w:val="auto"/>
        </w:rPr>
      </w:pPr>
    </w:p>
    <w:p>
      <w:pPr>
        <w:ind w:left="440" w:right="3279" w:firstLine="347"/>
        <w:spacing w:after="0" w:line="267" w:lineRule="auto"/>
        <w:rPr>
          <w:sz w:val="20"/>
          <w:szCs w:val="20"/>
          <w:color w:val="auto"/>
        </w:rPr>
      </w:pPr>
      <w:r>
        <w:rPr>
          <w:rFonts w:ascii="Courier New" w:cs="Courier New" w:eastAsia="Courier New" w:hAnsi="Courier New"/>
          <w:sz w:val="14"/>
          <w:szCs w:val="14"/>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7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Guarantor's Accounting and Disclosure Requirements for Guarantees</w:t>
      </w:r>
    </w:p>
    <w:p>
      <w:pPr>
        <w:spacing w:after="0" w:line="175" w:lineRule="exact"/>
        <w:rPr>
          <w:sz w:val="20"/>
          <w:szCs w:val="20"/>
          <w:color w:val="auto"/>
        </w:rPr>
      </w:pPr>
    </w:p>
    <w:p>
      <w:pPr>
        <w:ind w:left="360" w:right="3279" w:firstLine="434"/>
        <w:spacing w:after="0" w:line="267"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72" w:lineRule="exact"/>
        <w:rPr>
          <w:sz w:val="20"/>
          <w:szCs w:val="20"/>
          <w:color w:val="auto"/>
        </w:rPr>
      </w:pPr>
    </w:p>
    <w:p>
      <w:pPr>
        <w:ind w:left="360" w:right="3379" w:firstLine="434"/>
        <w:spacing w:after="0" w:line="275" w:lineRule="auto"/>
        <w:rPr>
          <w:sz w:val="20"/>
          <w:szCs w:val="20"/>
          <w:color w:val="auto"/>
        </w:rPr>
      </w:pPr>
      <w:r>
        <w:rPr>
          <w:rFonts w:ascii="Courier New" w:cs="Courier New" w:eastAsia="Courier New" w:hAnsi="Courier New"/>
          <w:sz w:val="14"/>
          <w:szCs w:val="14"/>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245" w:lineRule="exact"/>
        <w:rPr>
          <w:sz w:val="20"/>
          <w:szCs w:val="20"/>
          <w:color w:val="auto"/>
        </w:rPr>
      </w:pPr>
    </w:p>
    <w:p>
      <w:pPr>
        <w:ind w:left="440" w:right="3459" w:firstLine="347"/>
        <w:spacing w:after="0" w:line="278" w:lineRule="auto"/>
        <w:rPr>
          <w:sz w:val="20"/>
          <w:szCs w:val="20"/>
          <w:color w:val="auto"/>
        </w:rPr>
      </w:pPr>
      <w:r>
        <w:rPr>
          <w:rFonts w:ascii="Courier New" w:cs="Courier New" w:eastAsia="Courier New" w:hAnsi="Courier New"/>
          <w:sz w:val="14"/>
          <w:szCs w:val="14"/>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594" w:right="1440" w:bottom="1440" w:gutter="0" w:footer="0" w:header="0"/>
        </w:sectPr>
      </w:pPr>
    </w:p>
    <w:bookmarkStart w:id="90" w:name="page91"/>
    <w:bookmarkEnd w:id="90"/>
    <w:p>
      <w:pPr>
        <w:jc w:val="center"/>
        <w:ind w:right="3379"/>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MONTH PERIODS ENDED JUNE 30, 2004</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279" w:firstLine="434"/>
        <w:spacing w:after="0" w:line="378" w:lineRule="auto"/>
        <w:rPr>
          <w:sz w:val="20"/>
          <w:szCs w:val="20"/>
          <w:color w:val="auto"/>
        </w:rPr>
      </w:pPr>
      <w:r>
        <w:rPr>
          <w:rFonts w:ascii="Courier New" w:cs="Courier New" w:eastAsia="Courier New" w:hAnsi="Courier New"/>
          <w:sz w:val="14"/>
          <w:szCs w:val="14"/>
          <w:color w:val="auto"/>
        </w:rPr>
        <w:t>In this section, we discuss the general financial condition and the results of operations for Amdocs and its subsidiaries including:</w:t>
      </w:r>
    </w:p>
    <w:p>
      <w:pPr>
        <w:spacing w:after="0" w:line="1" w:lineRule="exact"/>
        <w:rPr>
          <w:sz w:val="20"/>
          <w:szCs w:val="20"/>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factors that affect our business,</w:t>
      </w:r>
    </w:p>
    <w:p>
      <w:pPr>
        <w:spacing w:after="0" w:line="175" w:lineRule="exact"/>
        <w:rPr>
          <w:rFonts w:ascii="Courier New" w:cs="Courier New" w:eastAsia="Courier New" w:hAnsi="Courier New"/>
          <w:sz w:val="14"/>
          <w:szCs w:val="14"/>
          <w:color w:val="auto"/>
        </w:rPr>
      </w:pPr>
    </w:p>
    <w:p>
      <w:pPr>
        <w:ind w:left="800" w:right="3279" w:hanging="444"/>
        <w:spacing w:after="0" w:line="37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revenue and costs for the nine months and three months ended June 30, 2004 and 2003,</w:t>
      </w:r>
    </w:p>
    <w:p>
      <w:pPr>
        <w:spacing w:after="0" w:line="1" w:lineRule="exact"/>
        <w:rPr>
          <w:rFonts w:ascii="Courier New" w:cs="Courier New" w:eastAsia="Courier New" w:hAnsi="Courier New"/>
          <w:sz w:val="14"/>
          <w:szCs w:val="14"/>
          <w:color w:val="auto"/>
        </w:rPr>
      </w:pPr>
    </w:p>
    <w:p>
      <w:pPr>
        <w:ind w:left="800" w:right="3899" w:hanging="444"/>
        <w:spacing w:after="0" w:line="37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reasons why such revenue and costs were different from period to period,</w:t>
      </w:r>
    </w:p>
    <w:p>
      <w:pPr>
        <w:spacing w:after="0" w:line="1"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revenue,</w:t>
      </w:r>
    </w:p>
    <w:p>
      <w:pPr>
        <w:spacing w:after="0" w:line="175"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all of this affects our overall financial condition,</w:t>
      </w:r>
    </w:p>
    <w:p>
      <w:pPr>
        <w:spacing w:after="0" w:line="175" w:lineRule="exact"/>
        <w:rPr>
          <w:rFonts w:ascii="Courier New" w:cs="Courier New" w:eastAsia="Courier New" w:hAnsi="Courier New"/>
          <w:sz w:val="14"/>
          <w:szCs w:val="14"/>
          <w:color w:val="auto"/>
        </w:rPr>
      </w:pPr>
    </w:p>
    <w:p>
      <w:pPr>
        <w:ind w:left="800" w:right="3379" w:hanging="444"/>
        <w:spacing w:after="0" w:line="37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expenditures for the nine months and three months ended June 30, 2004 and 2003, and</w:t>
      </w:r>
    </w:p>
    <w:p>
      <w:pPr>
        <w:spacing w:after="0" w:line="1" w:lineRule="exact"/>
        <w:rPr>
          <w:rFonts w:ascii="Courier New" w:cs="Courier New" w:eastAsia="Courier New" w:hAnsi="Courier New"/>
          <w:sz w:val="14"/>
          <w:szCs w:val="14"/>
          <w:color w:val="auto"/>
        </w:rPr>
      </w:pPr>
    </w:p>
    <w:p>
      <w:pPr>
        <w:ind w:left="800" w:right="3719" w:hanging="444"/>
        <w:spacing w:after="0" w:line="37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cash to pay for future capital expenditures and possible acquisitions.</w:t>
      </w:r>
    </w:p>
    <w:p>
      <w:pPr>
        <w:spacing w:after="0" w:line="1" w:lineRule="exact"/>
        <w:rPr>
          <w:sz w:val="20"/>
          <w:szCs w:val="20"/>
          <w:color w:val="auto"/>
        </w:rPr>
      </w:pPr>
    </w:p>
    <w:p>
      <w:pPr>
        <w:ind w:right="3459" w:firstLine="434"/>
        <w:spacing w:after="0" w:line="295" w:lineRule="auto"/>
        <w:rPr>
          <w:sz w:val="20"/>
          <w:szCs w:val="20"/>
          <w:color w:val="auto"/>
        </w:rPr>
      </w:pPr>
      <w:r>
        <w:rPr>
          <w:rFonts w:ascii="Courier New" w:cs="Courier New" w:eastAsia="Courier New" w:hAnsi="Courier New"/>
          <w:sz w:val="14"/>
          <w:szCs w:val="14"/>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22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594"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Overview of Business and Trend Information</w:t>
      </w:r>
    </w:p>
    <w:p>
      <w:pPr>
        <w:spacing w:after="0" w:line="175" w:lineRule="exact"/>
        <w:rPr>
          <w:sz w:val="20"/>
          <w:szCs w:val="20"/>
          <w:color w:val="auto"/>
        </w:rPr>
      </w:pPr>
    </w:p>
    <w:p>
      <w:pPr>
        <w:ind w:right="3379" w:firstLine="434"/>
        <w:spacing w:after="0" w:line="26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77"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253" w:lineRule="exact"/>
        <w:rPr>
          <w:sz w:val="20"/>
          <w:szCs w:val="20"/>
          <w:color w:val="auto"/>
        </w:rPr>
      </w:pPr>
    </w:p>
    <w:p>
      <w:pPr>
        <w:ind w:right="3459" w:firstLine="434"/>
        <w:spacing w:after="0" w:line="285" w:lineRule="auto"/>
        <w:rPr>
          <w:sz w:val="20"/>
          <w:szCs w:val="20"/>
          <w:color w:val="auto"/>
        </w:rPr>
      </w:pPr>
      <w:r>
        <w:rPr>
          <w:rFonts w:ascii="Courier New" w:cs="Courier New" w:eastAsia="Courier New" w:hAnsi="Courier New"/>
          <w:sz w:val="14"/>
          <w:szCs w:val="14"/>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60"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As part of our strategy, we may pursue acquisitions and other initiatives in order to offer new products or services or otherwise enhance our market position or strategic strengths.</w:t>
      </w:r>
    </w:p>
    <w:p>
      <w:pPr>
        <w:spacing w:after="0" w:line="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derive our revenue principally from:</w:t>
      </w:r>
    </w:p>
    <w:p>
      <w:pPr>
        <w:spacing w:after="0" w:line="175" w:lineRule="exact"/>
        <w:rPr>
          <w:sz w:val="20"/>
          <w:szCs w:val="20"/>
          <w:color w:val="auto"/>
        </w:rPr>
      </w:pPr>
    </w:p>
    <w:p>
      <w:pPr>
        <w:ind w:left="880" w:right="3539" w:hanging="437"/>
        <w:spacing w:after="0" w:line="317"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our products and related services, including license fees and modification, implementation and integration services,</w:t>
      </w:r>
    </w:p>
    <w:p>
      <w:pPr>
        <w:spacing w:after="0" w:line="39" w:lineRule="exact"/>
        <w:rPr>
          <w:rFonts w:ascii="Courier New" w:cs="Courier New" w:eastAsia="Courier New" w:hAnsi="Courier New"/>
          <w:sz w:val="14"/>
          <w:szCs w:val="14"/>
          <w:color w:val="auto"/>
        </w:rPr>
      </w:pPr>
    </w:p>
    <w:p>
      <w:pPr>
        <w:ind w:left="880" w:right="3799" w:hanging="437"/>
        <w:spacing w:after="0" w:line="378"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Managed Services and other related services for our solutions, and</w:t>
      </w:r>
    </w:p>
    <w:p>
      <w:pPr>
        <w:spacing w:after="0" w:line="1" w:lineRule="exact"/>
        <w:rPr>
          <w:rFonts w:ascii="Courier New" w:cs="Courier New" w:eastAsia="Courier New" w:hAnsi="Courier New"/>
          <w:sz w:val="14"/>
          <w:szCs w:val="14"/>
          <w:color w:val="auto"/>
        </w:rPr>
      </w:pPr>
    </w:p>
    <w:p>
      <w:pPr>
        <w:ind w:left="880" w:right="3279" w:hanging="437"/>
        <w:spacing w:after="0" w:line="317"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support and maintenance provided to our customers, and from incremental license fees resulting from increases in a customer's business volume.</w:t>
      </w:r>
    </w:p>
    <w:p>
      <w:pPr>
        <w:spacing w:after="0" w:line="39" w:lineRule="exact"/>
        <w:rPr>
          <w:sz w:val="20"/>
          <w:szCs w:val="20"/>
          <w:color w:val="auto"/>
        </w:rPr>
      </w:pPr>
    </w:p>
    <w:p>
      <w:pPr>
        <w:ind w:right="3379" w:firstLine="434"/>
        <w:spacing w:after="0" w:line="268" w:lineRule="auto"/>
        <w:rPr>
          <w:sz w:val="20"/>
          <w:szCs w:val="20"/>
          <w:color w:val="auto"/>
        </w:rPr>
      </w:pPr>
      <w:r>
        <w:rPr>
          <w:rFonts w:ascii="Courier New" w:cs="Courier New" w:eastAsia="Courier New" w:hAnsi="Courier New"/>
          <w:sz w:val="14"/>
          <w:szCs w:val="14"/>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2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594" w:right="1440" w:bottom="1440" w:gutter="0" w:footer="0" w:header="0"/>
        </w:sectPr>
      </w:pPr>
    </w:p>
    <w:bookmarkStart w:id="92" w:name="page93"/>
    <w:bookmarkEnd w:id="92"/>
    <w:p>
      <w:pPr>
        <w:ind w:right="3279"/>
        <w:spacing w:after="0" w:line="259" w:lineRule="auto"/>
        <w:rPr>
          <w:sz w:val="20"/>
          <w:szCs w:val="20"/>
          <w:color w:val="auto"/>
        </w:rPr>
      </w:pPr>
      <w:r>
        <w:rPr>
          <w:rFonts w:ascii="Courier New" w:cs="Courier New" w:eastAsia="Courier New" w:hAnsi="Courier New"/>
          <w:sz w:val="14"/>
          <w:szCs w:val="14"/>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253"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259" w:lineRule="exact"/>
        <w:rPr>
          <w:sz w:val="20"/>
          <w:szCs w:val="20"/>
          <w:color w:val="auto"/>
        </w:rPr>
      </w:pPr>
    </w:p>
    <w:p>
      <w:pPr>
        <w:ind w:right="3379" w:firstLine="434"/>
        <w:spacing w:after="0" w:line="382" w:lineRule="auto"/>
        <w:rPr>
          <w:sz w:val="20"/>
          <w:szCs w:val="20"/>
          <w:color w:val="auto"/>
        </w:rPr>
      </w:pPr>
      <w:r>
        <w:rPr>
          <w:rFonts w:ascii="Courier New" w:cs="Courier New" w:eastAsia="Courier New" w:hAnsi="Courier New"/>
          <w:sz w:val="14"/>
          <w:szCs w:val="14"/>
          <w:color w:val="auto"/>
        </w:rPr>
        <w:t>Our quarterly revenue for the last eleven quarters is summarized below (in millions):</w:t>
      </w:r>
    </w:p>
    <w:p>
      <w:pPr>
        <w:spacing w:after="0" w:line="200" w:lineRule="exact"/>
        <w:rPr>
          <w:sz w:val="20"/>
          <w:szCs w:val="20"/>
          <w:color w:val="auto"/>
        </w:rPr>
      </w:pP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67"/>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83"/>
              </w:rPr>
              <w:t>Q1</w:t>
            </w:r>
          </w:p>
        </w:tc>
        <w:tc>
          <w:tcPr>
            <w:tcW w:w="86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Q2</w:t>
            </w:r>
          </w:p>
        </w:tc>
        <w:tc>
          <w:tcPr>
            <w:tcW w:w="70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Q3</w:t>
            </w:r>
          </w:p>
        </w:tc>
        <w:tc>
          <w:tcPr>
            <w:tcW w:w="660" w:type="dxa"/>
            <w:vAlign w:val="bottom"/>
          </w:tcPr>
          <w:p>
            <w:pPr>
              <w:spacing w:after="0"/>
              <w:rPr>
                <w:sz w:val="14"/>
                <w:szCs w:val="14"/>
                <w:color w:val="auto"/>
              </w:rPr>
            </w:pP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Q4</w:t>
            </w:r>
          </w:p>
        </w:tc>
      </w:tr>
      <w:tr>
        <w:trPr>
          <w:trHeight w:val="244"/>
        </w:trPr>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Fiscal 2004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450.2</w:t>
            </w:r>
          </w:p>
        </w:tc>
        <w:tc>
          <w:tcPr>
            <w:tcW w:w="6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411.7</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355.5</w:t>
            </w:r>
          </w:p>
        </w:tc>
      </w:tr>
    </w:tbl>
    <w:p>
      <w:pPr>
        <w:spacing w:after="0" w:line="256" w:lineRule="exact"/>
        <w:rPr>
          <w:sz w:val="20"/>
          <w:szCs w:val="20"/>
          <w:color w:val="auto"/>
        </w:rPr>
      </w:pPr>
    </w:p>
    <w:p>
      <w:pPr>
        <w:ind w:right="3379" w:firstLine="434"/>
        <w:spacing w:after="0" w:line="278" w:lineRule="auto"/>
        <w:rPr>
          <w:sz w:val="20"/>
          <w:szCs w:val="20"/>
          <w:color w:val="auto"/>
        </w:rPr>
      </w:pPr>
      <w:r>
        <w:rPr>
          <w:rFonts w:ascii="Courier New" w:cs="Courier New" w:eastAsia="Courier New" w:hAnsi="Courier New"/>
          <w:sz w:val="14"/>
          <w:szCs w:val="14"/>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66"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We believe that we are a leading global provider of CC&amp;B Systems. We provide a broad set of billing and CRM products, with proven functionality and scalability, accompanied by a comprehensive range of support services.</w:t>
      </w:r>
    </w:p>
    <w:p>
      <w:pPr>
        <w:spacing w:after="0" w:line="39" w:lineRule="exact"/>
        <w:rPr>
          <w:sz w:val="20"/>
          <w:szCs w:val="20"/>
          <w:color w:val="auto"/>
        </w:rPr>
      </w:pPr>
    </w:p>
    <w:p>
      <w:pPr>
        <w:ind w:left="440" w:right="3459"/>
        <w:spacing w:after="0" w:line="378" w:lineRule="auto"/>
        <w:rPr>
          <w:sz w:val="20"/>
          <w:szCs w:val="20"/>
          <w:color w:val="auto"/>
        </w:rPr>
      </w:pPr>
      <w:r>
        <w:rPr>
          <w:rFonts w:ascii="Courier New" w:cs="Courier New" w:eastAsia="Courier New" w:hAnsi="Courier New"/>
          <w:sz w:val="14"/>
          <w:szCs w:val="14"/>
          <w:color w:val="auto"/>
        </w:rPr>
        <w:t>We believe that demand for our CC&amp;B Systems is driven by, among other key factors:</w:t>
      </w:r>
    </w:p>
    <w:p>
      <w:pPr>
        <w:spacing w:after="0" w:line="1" w:lineRule="exact"/>
        <w:rPr>
          <w:sz w:val="20"/>
          <w:szCs w:val="20"/>
          <w:color w:val="auto"/>
        </w:rPr>
      </w:pPr>
    </w:p>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penetration of communications service providers,</w:t>
      </w:r>
    </w:p>
    <w:p>
      <w:pPr>
        <w:spacing w:after="0" w:line="175" w:lineRule="exact"/>
        <w:rPr>
          <w:rFonts w:ascii="Courier New" w:cs="Courier New" w:eastAsia="Courier New" w:hAnsi="Courier New"/>
          <w:sz w:val="14"/>
          <w:szCs w:val="14"/>
          <w:color w:val="auto"/>
        </w:rPr>
      </w:pPr>
    </w:p>
    <w:p>
      <w:pPr>
        <w:ind w:left="800" w:right="3459" w:hanging="357"/>
        <w:spacing w:after="0" w:line="378"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emergence of new communications products and services, especially IP, data and content services,</w:t>
      </w:r>
    </w:p>
    <w:p>
      <w:pPr>
        <w:spacing w:after="0" w:line="1" w:lineRule="exact"/>
        <w:rPr>
          <w:rFonts w:ascii="Courier New" w:cs="Courier New" w:eastAsia="Courier New" w:hAnsi="Courier New"/>
          <w:sz w:val="14"/>
          <w:szCs w:val="14"/>
          <w:color w:val="auto"/>
        </w:rPr>
      </w:pPr>
    </w:p>
    <w:p>
      <w:pPr>
        <w:ind w:left="800" w:right="3459" w:hanging="357"/>
        <w:spacing w:after="0" w:line="317"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761" w:right="1440" w:bottom="1440" w:gutter="0" w:footer="0" w:header="0"/>
        </w:sectPr>
      </w:pPr>
    </w:p>
    <w:bookmarkStart w:id="93" w:name="page94"/>
    <w:bookmarkEnd w:id="93"/>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consolidation within the communications industry,</w:t>
      </w:r>
    </w:p>
    <w:p>
      <w:pPr>
        <w:spacing w:after="0" w:line="175" w:lineRule="exact"/>
        <w:rPr>
          <w:rFonts w:ascii="Courier New" w:cs="Courier New" w:eastAsia="Courier New" w:hAnsi="Courier New"/>
          <w:sz w:val="14"/>
          <w:szCs w:val="14"/>
          <w:color w:val="auto"/>
        </w:rPr>
      </w:pPr>
    </w:p>
    <w:p>
      <w:pPr>
        <w:ind w:left="800" w:right="3279" w:hanging="357"/>
        <w:spacing w:after="0" w:line="378" w:lineRule="auto"/>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needs of communications service providers to reduce costs and retain high value customers, and</w:t>
      </w:r>
    </w:p>
    <w:p>
      <w:pPr>
        <w:spacing w:after="0" w:line="1"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w:t>
      </w:r>
    </w:p>
    <w:p>
      <w:pPr>
        <w:spacing w:after="0" w:line="175"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60"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960" w:type="dxa"/>
            <w:vAlign w:val="bottom"/>
          </w:tcPr>
          <w:p>
            <w:pPr>
              <w:spacing w:after="0"/>
              <w:rPr>
                <w:sz w:val="14"/>
                <w:szCs w:val="14"/>
                <w:color w:val="auto"/>
              </w:rPr>
            </w:pPr>
          </w:p>
        </w:tc>
        <w:tc>
          <w:tcPr>
            <w:tcW w:w="1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1520" w:type="dxa"/>
            <w:vAlign w:val="bottom"/>
            <w:vMerge w:val="restart"/>
          </w:tcPr>
          <w:p>
            <w:pPr>
              <w:ind w:left="40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2004</w:t>
            </w:r>
          </w:p>
        </w:tc>
        <w:tc>
          <w:tcPr>
            <w:tcW w:w="9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3260" w:type="dxa"/>
            <w:vAlign w:val="bottom"/>
          </w:tcPr>
          <w:p>
            <w:pPr>
              <w:spacing w:after="0"/>
              <w:rPr>
                <w:sz w:val="21"/>
                <w:szCs w:val="21"/>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5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9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11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4.8%</w:t>
            </w: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License ..........................</w:t>
            </w:r>
          </w:p>
        </w:tc>
        <w:tc>
          <w:tcPr>
            <w:tcW w:w="1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15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w w:val="84"/>
              </w:rPr>
              <w:t>------</w:t>
            </w:r>
            <w:r>
              <w:rPr>
                <w:rFonts w:ascii="Courier New" w:cs="Courier New" w:eastAsia="Courier New" w:hAnsi="Courier New"/>
                <w:sz w:val="28"/>
                <w:szCs w:val="28"/>
                <w:color w:val="auto"/>
                <w:w w:val="84"/>
                <w:vertAlign w:val="subscript"/>
              </w:rPr>
              <w:t>100.0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244"/>
        </w:trPr>
        <w:tc>
          <w:tcPr>
            <w:tcW w:w="326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expenses:</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3260" w:type="dxa"/>
            <w:vAlign w:val="bottom"/>
            <w:vMerge w:val="continue"/>
          </w:tcPr>
          <w:p>
            <w:pPr>
              <w:spacing w:after="0"/>
              <w:rPr>
                <w:sz w:val="7"/>
                <w:szCs w:val="7"/>
                <w:color w:val="auto"/>
              </w:rPr>
            </w:pPr>
          </w:p>
        </w:tc>
        <w:tc>
          <w:tcPr>
            <w:tcW w:w="15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9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license ..................</w:t>
            </w:r>
          </w:p>
        </w:tc>
        <w:tc>
          <w:tcPr>
            <w:tcW w:w="1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Research and development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c>
          <w:tcPr>
            <w:tcW w:w="0" w:type="dxa"/>
            <w:vAlign w:val="bottom"/>
          </w:tcPr>
          <w:p>
            <w:pPr>
              <w:spacing w:after="0"/>
              <w:rPr>
                <w:sz w:val="1"/>
                <w:szCs w:val="1"/>
                <w:color w:val="auto"/>
              </w:rPr>
            </w:pP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5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14.3</w:t>
            </w: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administrative .................</w:t>
            </w:r>
          </w:p>
        </w:tc>
        <w:tc>
          <w:tcPr>
            <w:tcW w:w="1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w:t>
            </w:r>
          </w:p>
        </w:tc>
        <w:tc>
          <w:tcPr>
            <w:tcW w:w="15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intangible assets ..............</w:t>
            </w:r>
          </w:p>
        </w:tc>
        <w:tc>
          <w:tcPr>
            <w:tcW w:w="1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Restructuring charges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15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w w:val="94"/>
              </w:rPr>
              <w:t>------</w:t>
            </w:r>
            <w:r>
              <w:rPr>
                <w:rFonts w:ascii="Courier New" w:cs="Courier New" w:eastAsia="Courier New" w:hAnsi="Courier New"/>
                <w:sz w:val="28"/>
                <w:szCs w:val="28"/>
                <w:color w:val="auto"/>
                <w:w w:val="94"/>
                <w:vertAlign w:val="subscript"/>
              </w:rPr>
              <w:t>82.9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c>
          <w:tcPr>
            <w:tcW w:w="0" w:type="dxa"/>
            <w:vAlign w:val="bottom"/>
          </w:tcPr>
          <w:p>
            <w:pPr>
              <w:spacing w:after="0"/>
              <w:rPr>
                <w:sz w:val="1"/>
                <w:szCs w:val="1"/>
                <w:color w:val="auto"/>
              </w:rPr>
            </w:pPr>
          </w:p>
        </w:tc>
      </w:tr>
      <w:tr>
        <w:trPr>
          <w:trHeight w:val="167"/>
        </w:trPr>
        <w:tc>
          <w:tcPr>
            <w:tcW w:w="3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Operating income ...................</w:t>
            </w:r>
          </w:p>
        </w:tc>
        <w:tc>
          <w:tcPr>
            <w:tcW w:w="15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w w:val="94"/>
              </w:rPr>
              <w:t>------</w:t>
            </w:r>
            <w:r>
              <w:rPr>
                <w:rFonts w:ascii="Courier New" w:cs="Courier New" w:eastAsia="Courier New" w:hAnsi="Courier New"/>
                <w:sz w:val="28"/>
                <w:szCs w:val="28"/>
                <w:color w:val="auto"/>
                <w:w w:val="94"/>
                <w:vertAlign w:val="subscript"/>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and other, net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7"/>
        </w:trPr>
        <w:tc>
          <w:tcPr>
            <w:tcW w:w="3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Income before income taxes .........</w:t>
            </w:r>
          </w:p>
        </w:tc>
        <w:tc>
          <w:tcPr>
            <w:tcW w:w="152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w w:val="94"/>
              </w:rPr>
              <w:t>------</w:t>
            </w:r>
            <w:r>
              <w:rPr>
                <w:rFonts w:ascii="Courier New" w:cs="Courier New" w:eastAsia="Courier New" w:hAnsi="Courier New"/>
                <w:sz w:val="28"/>
                <w:szCs w:val="28"/>
                <w:color w:val="auto"/>
                <w:w w:val="94"/>
                <w:vertAlign w:val="subscript"/>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c>
          <w:tcPr>
            <w:tcW w:w="0" w:type="dxa"/>
            <w:vAlign w:val="bottom"/>
          </w:tcPr>
          <w:p>
            <w:pPr>
              <w:spacing w:after="0"/>
              <w:rPr>
                <w:sz w:val="1"/>
                <w:szCs w:val="1"/>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c>
          <w:tcPr>
            <w:tcW w:w="0" w:type="dxa"/>
            <w:vAlign w:val="bottom"/>
          </w:tcPr>
          <w:p>
            <w:pPr>
              <w:spacing w:after="0"/>
              <w:rPr>
                <w:sz w:val="1"/>
                <w:szCs w:val="1"/>
                <w:color w:val="auto"/>
              </w:rPr>
            </w:pPr>
          </w:p>
        </w:tc>
      </w:tr>
      <w:tr>
        <w:trPr>
          <w:trHeight w:val="167"/>
        </w:trPr>
        <w:tc>
          <w:tcPr>
            <w:tcW w:w="3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20" w:type="dxa"/>
            <w:vAlign w:val="bottom"/>
            <w:vMerge w:val="restart"/>
          </w:tcPr>
          <w:p>
            <w:pPr>
              <w:ind w:left="400"/>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13.3%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0" w:type="dxa"/>
            <w:vAlign w:val="bottom"/>
          </w:tcPr>
          <w:p>
            <w:pPr>
              <w:spacing w:after="0"/>
              <w:rPr>
                <w:sz w:val="1"/>
                <w:szCs w:val="1"/>
                <w:color w:val="auto"/>
              </w:rPr>
            </w:pPr>
          </w:p>
        </w:tc>
      </w:tr>
      <w:tr>
        <w:trPr>
          <w:trHeight w:val="244"/>
        </w:trPr>
        <w:tc>
          <w:tcPr>
            <w:tcW w:w="3260" w:type="dxa"/>
            <w:vAlign w:val="bottom"/>
          </w:tcPr>
          <w:p>
            <w:pPr>
              <w:spacing w:after="0"/>
              <w:rPr>
                <w:sz w:val="21"/>
                <w:szCs w:val="21"/>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68"/>
        </w:trPr>
        <w:tc>
          <w:tcPr>
            <w:tcW w:w="3260" w:type="dxa"/>
            <w:vAlign w:val="bottom"/>
          </w:tcPr>
          <w:p>
            <w:pPr>
              <w:spacing w:after="0"/>
              <w:rPr>
                <w:sz w:val="24"/>
                <w:szCs w:val="24"/>
                <w:color w:val="auto"/>
              </w:rPr>
            </w:pPr>
          </w:p>
        </w:tc>
        <w:tc>
          <w:tcPr>
            <w:tcW w:w="15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80</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61" w:right="1440" w:bottom="1440" w:gutter="0" w:footer="0" w:header="0"/>
        </w:sectPr>
      </w:pPr>
    </w:p>
    <w:bookmarkStart w:id="94" w:name="page95"/>
    <w:bookmarkEnd w:id="94"/>
    <w:p>
      <w:pPr>
        <w:ind w:left="440"/>
        <w:spacing w:after="0"/>
        <w:rPr>
          <w:sz w:val="20"/>
          <w:szCs w:val="20"/>
          <w:color w:val="auto"/>
        </w:rPr>
      </w:pPr>
      <w:r>
        <w:rPr>
          <w:rFonts w:ascii="Courier New" w:cs="Courier New" w:eastAsia="Courier New" w:hAnsi="Courier New"/>
          <w:sz w:val="14"/>
          <w:szCs w:val="14"/>
          <w:color w:val="auto"/>
        </w:rPr>
        <w:t>NINE MONTHS ENDED JUNE 30, 2004 AND 2003</w:t>
      </w:r>
    </w:p>
    <w:p>
      <w:pPr>
        <w:spacing w:after="0" w:line="175" w:lineRule="exact"/>
        <w:rPr>
          <w:sz w:val="20"/>
          <w:szCs w:val="20"/>
          <w:color w:val="auto"/>
        </w:rPr>
      </w:pPr>
    </w:p>
    <w:p>
      <w:pPr>
        <w:ind w:right="3459" w:firstLine="434"/>
        <w:spacing w:after="0" w:line="295"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184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INCREASE (DECREASE)</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JUNE 30,</w:t>
            </w:r>
          </w:p>
        </w:tc>
        <w:tc>
          <w:tcPr>
            <w:tcW w:w="1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2"/>
                <w:szCs w:val="2"/>
                <w:color w:val="auto"/>
                <w:w w:val="83"/>
              </w:rPr>
              <w:t>------------------------</w:t>
            </w:r>
          </w:p>
        </w:tc>
        <w:tc>
          <w:tcPr>
            <w:tcW w:w="8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0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3520" w:type="dxa"/>
            <w:vAlign w:val="bottom"/>
            <w:gridSpan w:val="6"/>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51,176</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256"/>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w:t>
            </w: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1,269,251</w:t>
            </w:r>
          </w:p>
        </w:tc>
        <w:tc>
          <w:tcPr>
            <w:tcW w:w="260" w:type="dxa"/>
            <w:vAlign w:val="bottom"/>
          </w:tcPr>
          <w:p>
            <w:pPr>
              <w:spacing w:after="0"/>
              <w:rPr>
                <w:sz w:val="22"/>
                <w:szCs w:val="22"/>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1,020,392</w:t>
            </w:r>
          </w:p>
        </w:tc>
        <w:tc>
          <w:tcPr>
            <w:tcW w:w="14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248,859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1,321,277</w:t>
            </w:r>
          </w:p>
        </w:tc>
        <w:tc>
          <w:tcPr>
            <w:tcW w:w="260" w:type="dxa"/>
            <w:vAlign w:val="bottom"/>
          </w:tcPr>
          <w:p>
            <w:pPr>
              <w:spacing w:after="0"/>
              <w:rPr>
                <w:sz w:val="22"/>
                <w:szCs w:val="22"/>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1,071,568</w:t>
            </w:r>
          </w:p>
        </w:tc>
        <w:tc>
          <w:tcPr>
            <w:tcW w:w="14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249,709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license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4,137</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c>
          <w:tcPr>
            <w:tcW w:w="0" w:type="dxa"/>
            <w:vAlign w:val="bottom"/>
          </w:tcPr>
          <w:p>
            <w:pPr>
              <w:spacing w:after="0"/>
              <w:rPr>
                <w:sz w:val="1"/>
                <w:szCs w:val="1"/>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833,470</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646,389</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187,081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c>
          <w:tcPr>
            <w:tcW w:w="0" w:type="dxa"/>
            <w:vAlign w:val="bottom"/>
          </w:tcPr>
          <w:p>
            <w:pPr>
              <w:spacing w:after="0"/>
              <w:rPr>
                <w:sz w:val="1"/>
                <w:szCs w:val="1"/>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92,247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88,888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256"/>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2"/>
                <w:szCs w:val="22"/>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159,078</w:t>
            </w:r>
          </w:p>
        </w:tc>
        <w:tc>
          <w:tcPr>
            <w:tcW w:w="260" w:type="dxa"/>
            <w:vAlign w:val="bottom"/>
          </w:tcPr>
          <w:p>
            <w:pPr>
              <w:spacing w:after="0"/>
              <w:rPr>
                <w:sz w:val="22"/>
                <w:szCs w:val="22"/>
                <w:color w:val="auto"/>
              </w:rPr>
            </w:pPr>
          </w:p>
        </w:tc>
        <w:tc>
          <w:tcPr>
            <w:tcW w:w="10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153,644</w:t>
            </w:r>
          </w:p>
        </w:tc>
        <w:tc>
          <w:tcPr>
            <w:tcW w:w="140" w:type="dxa"/>
            <w:vAlign w:val="bottom"/>
          </w:tcPr>
          <w:p>
            <w:pPr>
              <w:spacing w:after="0"/>
              <w:rPr>
                <w:sz w:val="22"/>
                <w:szCs w:val="22"/>
                <w:color w:val="auto"/>
              </w:rPr>
            </w:pPr>
          </w:p>
        </w:tc>
        <w:tc>
          <w:tcPr>
            <w:tcW w:w="9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5,434</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24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 ..........</w:t>
            </w: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260" w:type="dxa"/>
            <w:vAlign w:val="bottom"/>
          </w:tcPr>
          <w:p>
            <w:pPr>
              <w:spacing w:after="0"/>
              <w:rPr>
                <w:sz w:val="22"/>
                <w:szCs w:val="22"/>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13,423</w:t>
            </w:r>
          </w:p>
        </w:tc>
        <w:tc>
          <w:tcPr>
            <w:tcW w:w="260" w:type="dxa"/>
            <w:vAlign w:val="bottom"/>
          </w:tcPr>
          <w:p>
            <w:pPr>
              <w:spacing w:after="0"/>
              <w:rPr>
                <w:sz w:val="22"/>
                <w:szCs w:val="22"/>
                <w:color w:val="auto"/>
              </w:rPr>
            </w:pPr>
          </w:p>
        </w:tc>
        <w:tc>
          <w:tcPr>
            <w:tcW w:w="10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14,303</w:t>
            </w:r>
          </w:p>
        </w:tc>
        <w:tc>
          <w:tcPr>
            <w:tcW w:w="140" w:type="dxa"/>
            <w:vAlign w:val="bottom"/>
          </w:tcPr>
          <w:p>
            <w:pPr>
              <w:spacing w:after="0"/>
              <w:rPr>
                <w:sz w:val="22"/>
                <w:szCs w:val="22"/>
                <w:color w:val="auto"/>
              </w:rPr>
            </w:pP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(880)</w:t>
            </w: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(6.2)</w:t>
            </w:r>
          </w:p>
        </w:tc>
        <w:tc>
          <w:tcPr>
            <w:tcW w:w="0" w:type="dxa"/>
            <w:vAlign w:val="bottom"/>
          </w:tcPr>
          <w:p>
            <w:pPr>
              <w:spacing w:after="0"/>
              <w:rPr>
                <w:sz w:val="1"/>
                <w:szCs w:val="1"/>
                <w:color w:val="auto"/>
              </w:rPr>
            </w:pPr>
          </w:p>
        </w:tc>
      </w:tr>
      <w:tr>
        <w:trPr>
          <w:trHeight w:val="24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w:t>
            </w: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charges .....</w:t>
            </w:r>
          </w:p>
        </w:tc>
        <w:tc>
          <w:tcPr>
            <w:tcW w:w="260" w:type="dxa"/>
            <w:vAlign w:val="bottom"/>
          </w:tcPr>
          <w:p>
            <w:pPr>
              <w:spacing w:after="0"/>
              <w:rPr>
                <w:sz w:val="22"/>
                <w:szCs w:val="22"/>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2"/>
                <w:szCs w:val="22"/>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9,956</w:t>
            </w:r>
          </w:p>
        </w:tc>
        <w:tc>
          <w:tcPr>
            <w:tcW w:w="1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1,102,025</w:t>
            </w:r>
          </w:p>
        </w:tc>
        <w:tc>
          <w:tcPr>
            <w:tcW w:w="260" w:type="dxa"/>
            <w:vAlign w:val="bottom"/>
          </w:tcPr>
          <w:p>
            <w:pPr>
              <w:spacing w:after="0"/>
              <w:rPr>
                <w:sz w:val="22"/>
                <w:szCs w:val="22"/>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917,317</w:t>
            </w:r>
          </w:p>
        </w:tc>
        <w:tc>
          <w:tcPr>
            <w:tcW w:w="14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219,252</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154,251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65,001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c>
          <w:tcPr>
            <w:tcW w:w="0" w:type="dxa"/>
            <w:vAlign w:val="bottom"/>
          </w:tcPr>
          <w:p>
            <w:pPr>
              <w:spacing w:after="0"/>
              <w:rPr>
                <w:sz w:val="1"/>
                <w:szCs w:val="1"/>
                <w:color w:val="auto"/>
              </w:rPr>
            </w:pPr>
          </w:p>
        </w:tc>
      </w:tr>
      <w:tr>
        <w:trPr>
          <w:trHeight w:val="256"/>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and other, net</w:t>
            </w: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2,899</w:t>
            </w:r>
          </w:p>
        </w:tc>
        <w:tc>
          <w:tcPr>
            <w:tcW w:w="260" w:type="dxa"/>
            <w:vAlign w:val="bottom"/>
          </w:tcPr>
          <w:p>
            <w:pPr>
              <w:spacing w:after="0"/>
              <w:rPr>
                <w:sz w:val="22"/>
                <w:szCs w:val="22"/>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1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(9,533)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166,683</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55,468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c>
          <w:tcPr>
            <w:tcW w:w="0" w:type="dxa"/>
            <w:vAlign w:val="bottom"/>
          </w:tcPr>
          <w:p>
            <w:pPr>
              <w:spacing w:after="0"/>
              <w:rPr>
                <w:sz w:val="1"/>
                <w:szCs w:val="1"/>
                <w:color w:val="auto"/>
              </w:rPr>
            </w:pPr>
          </w:p>
        </w:tc>
      </w:tr>
      <w:tr>
        <w:trPr>
          <w:trHeight w:val="256"/>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w:t>
            </w:r>
          </w:p>
        </w:tc>
        <w:tc>
          <w:tcPr>
            <w:tcW w:w="2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48,873</w:t>
            </w:r>
          </w:p>
        </w:tc>
        <w:tc>
          <w:tcPr>
            <w:tcW w:w="260" w:type="dxa"/>
            <w:vAlign w:val="bottom"/>
          </w:tcPr>
          <w:p>
            <w:pPr>
              <w:spacing w:after="0"/>
              <w:rPr>
                <w:sz w:val="22"/>
                <w:szCs w:val="22"/>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41,671</w:t>
            </w:r>
          </w:p>
        </w:tc>
        <w:tc>
          <w:tcPr>
            <w:tcW w:w="14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125,012</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48,266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38.6%</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75" w:lineRule="exact"/>
        <w:rPr>
          <w:sz w:val="20"/>
          <w:szCs w:val="20"/>
          <w:color w:val="auto"/>
        </w:rPr>
      </w:pPr>
    </w:p>
    <w:p>
      <w:pPr>
        <w:ind w:right="3379" w:firstLine="434"/>
        <w:spacing w:after="0" w:line="285" w:lineRule="auto"/>
        <w:rPr>
          <w:sz w:val="20"/>
          <w:szCs w:val="20"/>
          <w:color w:val="auto"/>
        </w:rPr>
      </w:pPr>
      <w:r>
        <w:rPr>
          <w:rFonts w:ascii="Courier New" w:cs="Courier New" w:eastAsia="Courier New" w:hAnsi="Courier New"/>
          <w:sz w:val="14"/>
          <w:szCs w:val="14"/>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60" w:lineRule="exact"/>
        <w:rPr>
          <w:sz w:val="20"/>
          <w:szCs w:val="20"/>
          <w:color w:val="auto"/>
        </w:rPr>
      </w:pPr>
    </w:p>
    <w:p>
      <w:pPr>
        <w:ind w:right="3379" w:firstLine="434"/>
        <w:spacing w:after="0" w:line="261" w:lineRule="auto"/>
        <w:rPr>
          <w:sz w:val="20"/>
          <w:szCs w:val="20"/>
          <w:color w:val="auto"/>
        </w:rPr>
      </w:pPr>
      <w:r>
        <w:rPr>
          <w:rFonts w:ascii="Courier New" w:cs="Courier New" w:eastAsia="Courier New" w:hAnsi="Courier New"/>
          <w:sz w:val="14"/>
          <w:szCs w:val="14"/>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pacing w:after="0" w:line="25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427" w:right="1440" w:bottom="0" w:gutter="0" w:footer="0" w:header="0"/>
        </w:sectPr>
      </w:pPr>
    </w:p>
    <w:bookmarkStart w:id="95" w:name="page96"/>
    <w:bookmarkEnd w:id="95"/>
    <w:p>
      <w:pPr>
        <w:ind w:right="3279" w:firstLine="521"/>
        <w:spacing w:after="0" w:line="264" w:lineRule="auto"/>
        <w:rPr>
          <w:sz w:val="20"/>
          <w:szCs w:val="20"/>
          <w:color w:val="auto"/>
        </w:rPr>
      </w:pPr>
      <w:r>
        <w:rPr>
          <w:rFonts w:ascii="Courier New" w:cs="Courier New" w:eastAsia="Courier New" w:hAnsi="Courier New"/>
          <w:sz w:val="14"/>
          <w:szCs w:val="14"/>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76"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80"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249"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68" w:lineRule="exact"/>
        <w:rPr>
          <w:sz w:val="20"/>
          <w:szCs w:val="20"/>
          <w:color w:val="auto"/>
        </w:rPr>
      </w:pPr>
    </w:p>
    <w:p>
      <w:pPr>
        <w:ind w:right="3279" w:firstLine="434"/>
        <w:spacing w:after="0" w:line="259"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257"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23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594" w:right="1440" w:bottom="1440" w:gutter="0" w:footer="0" w:header="0"/>
        </w:sectPr>
      </w:pPr>
    </w:p>
    <w:bookmarkStart w:id="96" w:name="page97"/>
    <w:bookmarkEnd w:id="96"/>
    <w:p>
      <w:pPr>
        <w:ind w:right="3379" w:firstLine="434"/>
        <w:spacing w:after="0" w:line="317" w:lineRule="auto"/>
        <w:rPr>
          <w:sz w:val="20"/>
          <w:szCs w:val="20"/>
          <w:color w:val="auto"/>
        </w:rPr>
      </w:pPr>
      <w:r>
        <w:rPr>
          <w:rFonts w:ascii="Courier New" w:cs="Courier New" w:eastAsia="Courier New" w:hAnsi="Courier New"/>
          <w:sz w:val="14"/>
          <w:szCs w:val="14"/>
          <w:color w:val="auto"/>
        </w:rPr>
        <w:t>Restructuring Charges. The restructuring charge in the nine months ended June 30, 2003 consisted of the cost reduction program we implemented during the first quarter of fiscal 2003.</w:t>
      </w:r>
    </w:p>
    <w:p>
      <w:pPr>
        <w:spacing w:after="0" w:line="39"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66"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68"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68" w:lineRule="exact"/>
        <w:rPr>
          <w:sz w:val="20"/>
          <w:szCs w:val="20"/>
          <w:color w:val="auto"/>
        </w:rPr>
      </w:pPr>
    </w:p>
    <w:p>
      <w:pPr>
        <w:ind w:right="3459" w:firstLine="434"/>
        <w:spacing w:after="0" w:line="278" w:lineRule="auto"/>
        <w:rPr>
          <w:sz w:val="20"/>
          <w:szCs w:val="20"/>
          <w:color w:val="auto"/>
        </w:rPr>
      </w:pPr>
      <w:r>
        <w:rPr>
          <w:rFonts w:ascii="Courier New" w:cs="Courier New" w:eastAsia="Courier New" w:hAnsi="Courier New"/>
          <w:sz w:val="14"/>
          <w:szCs w:val="14"/>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66" w:lineRule="exact"/>
        <w:rPr>
          <w:sz w:val="20"/>
          <w:szCs w:val="20"/>
          <w:color w:val="auto"/>
        </w:rPr>
      </w:pPr>
    </w:p>
    <w:p>
      <w:pPr>
        <w:ind w:right="3279" w:firstLine="434"/>
        <w:spacing w:after="0" w:line="317" w:lineRule="auto"/>
        <w:rPr>
          <w:sz w:val="20"/>
          <w:szCs w:val="20"/>
          <w:color w:val="auto"/>
        </w:rPr>
      </w:pPr>
      <w:r>
        <w:rPr>
          <w:rFonts w:ascii="Courier New" w:cs="Courier New" w:eastAsia="Courier New" w:hAnsi="Courier New"/>
          <w:sz w:val="14"/>
          <w:szCs w:val="14"/>
          <w:color w:val="auto"/>
        </w:rPr>
        <w:t>Diluted Earnings Per Share. Diluted earnings per share were $0.80 for the nine months ended June 30, 2004, compared to $0.57 in the nine months ended June 30, 2003.</w:t>
      </w: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594" w:right="1440" w:bottom="1440" w:gutter="0" w:footer="0" w:header="0"/>
        </w:sectPr>
      </w:pPr>
    </w:p>
    <w:bookmarkStart w:id="97" w:name="page98"/>
    <w:bookmarkEnd w:id="97"/>
    <w:p>
      <w:pPr>
        <w:ind w:left="440"/>
        <w:spacing w:after="0"/>
        <w:rPr>
          <w:sz w:val="20"/>
          <w:szCs w:val="20"/>
          <w:color w:val="auto"/>
        </w:rPr>
      </w:pPr>
      <w:r>
        <w:rPr>
          <w:rFonts w:ascii="Courier New" w:cs="Courier New" w:eastAsia="Courier New" w:hAnsi="Courier New"/>
          <w:sz w:val="14"/>
          <w:szCs w:val="14"/>
          <w:color w:val="auto"/>
        </w:rPr>
        <w:t>THREE MONTHS ENDED JUNE 30, 2004 AND 2003</w:t>
      </w:r>
    </w:p>
    <w:p>
      <w:pPr>
        <w:spacing w:after="0" w:line="175" w:lineRule="exact"/>
        <w:rPr>
          <w:sz w:val="20"/>
          <w:szCs w:val="20"/>
          <w:color w:val="auto"/>
        </w:rPr>
      </w:pPr>
    </w:p>
    <w:p>
      <w:pPr>
        <w:ind w:right="3279" w:firstLine="434"/>
        <w:spacing w:after="0" w:line="272"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three months ended June 30, 2004 compared to the three months ended June 30,</w:t>
      </w:r>
    </w:p>
    <w:tbl>
      <w:tblPr>
        <w:tblLayout w:type="fixed"/>
        <w:tblInd w:w="0" w:type="dxa"/>
        <w:tblCellMar>
          <w:top w:w="0" w:type="dxa"/>
          <w:left w:w="0" w:type="dxa"/>
          <w:bottom w:w="0" w:type="dxa"/>
          <w:right w:w="0" w:type="dxa"/>
        </w:tblCellMar>
      </w:tblPr>
      <w:tr>
        <w:trPr>
          <w:trHeight w:val="141"/>
        </w:trPr>
        <w:tc>
          <w:tcPr>
            <w:tcW w:w="5400" w:type="dxa"/>
            <w:vAlign w:val="bottom"/>
            <w:gridSpan w:val="4"/>
          </w:tcPr>
          <w:p>
            <w:pPr>
              <w:spacing w:after="0" w:line="141" w:lineRule="exact"/>
              <w:rPr>
                <w:sz w:val="20"/>
                <w:szCs w:val="20"/>
                <w:color w:val="auto"/>
              </w:rPr>
            </w:pPr>
            <w:r>
              <w:rPr>
                <w:rFonts w:ascii="Courier New" w:cs="Courier New" w:eastAsia="Courier New" w:hAnsi="Courier New"/>
                <w:sz w:val="14"/>
                <w:szCs w:val="14"/>
                <w:color w:val="auto"/>
              </w:rPr>
              <w:t>2003. Following the table is a discussion and analysis of our</w:t>
            </w:r>
          </w:p>
        </w:tc>
        <w:tc>
          <w:tcPr>
            <w:tcW w:w="780" w:type="dxa"/>
            <w:vAlign w:val="bottom"/>
          </w:tcPr>
          <w:p>
            <w:pPr>
              <w:jc w:val="center"/>
              <w:ind w:right="28"/>
              <w:spacing w:after="0" w:line="141" w:lineRule="exact"/>
              <w:rPr>
                <w:sz w:val="20"/>
                <w:szCs w:val="20"/>
                <w:color w:val="auto"/>
              </w:rPr>
            </w:pPr>
            <w:r>
              <w:rPr>
                <w:rFonts w:ascii="Courier New" w:cs="Courier New" w:eastAsia="Courier New" w:hAnsi="Courier New"/>
                <w:sz w:val="14"/>
                <w:szCs w:val="14"/>
                <w:color w:val="auto"/>
              </w:rPr>
              <w:t>business</w:t>
            </w:r>
          </w:p>
        </w:tc>
        <w:tc>
          <w:tcPr>
            <w:tcW w:w="860" w:type="dxa"/>
            <w:vAlign w:val="bottom"/>
          </w:tcPr>
          <w:p>
            <w:pPr>
              <w:spacing w:after="0" w:line="141" w:lineRule="exact"/>
              <w:rPr>
                <w:sz w:val="20"/>
                <w:szCs w:val="20"/>
                <w:color w:val="auto"/>
              </w:rPr>
            </w:pPr>
            <w:r>
              <w:rPr>
                <w:rFonts w:ascii="Courier New" w:cs="Courier New" w:eastAsia="Courier New" w:hAnsi="Courier New"/>
                <w:sz w:val="14"/>
                <w:szCs w:val="14"/>
                <w:color w:val="auto"/>
              </w:rPr>
              <w:t>and</w:t>
            </w: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results of operations for such periods.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vMerge w:val="restart"/>
          </w:tcPr>
          <w:p>
            <w:pPr>
              <w:jc w:val="center"/>
              <w:ind w:right="28"/>
              <w:spacing w:after="0"/>
              <w:rPr>
                <w:sz w:val="20"/>
                <w:szCs w:val="20"/>
                <w:color w:val="auto"/>
              </w:rPr>
            </w:pPr>
            <w:r>
              <w:rPr>
                <w:rFonts w:ascii="Courier New" w:cs="Courier New" w:eastAsia="Courier New" w:hAnsi="Courier New"/>
                <w:sz w:val="14"/>
                <w:szCs w:val="14"/>
                <w:color w:val="auto"/>
              </w:rPr>
              <w:t>INCREASE</w:t>
            </w:r>
          </w:p>
        </w:tc>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(DECREASE)</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
                <w:szCs w:val="1"/>
                <w:color w:val="auto"/>
                <w:w w:val="87"/>
              </w:rPr>
              <w:t>-------------------</w:t>
            </w:r>
          </w:p>
        </w:tc>
        <w:tc>
          <w:tcPr>
            <w:tcW w:w="6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12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2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License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17,298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$ 11,491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5,807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c>
          <w:tcPr>
            <w:tcW w:w="0" w:type="dxa"/>
            <w:vAlign w:val="bottom"/>
          </w:tcPr>
          <w:p>
            <w:pPr>
              <w:spacing w:after="0"/>
              <w:rPr>
                <w:sz w:val="1"/>
                <w:szCs w:val="1"/>
                <w:color w:val="auto"/>
              </w:rPr>
            </w:pPr>
          </w:p>
        </w:tc>
      </w:tr>
      <w:tr>
        <w:trPr>
          <w:trHeight w:val="256"/>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Service ..........................</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432,926</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365,677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67,249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450,224</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377,168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license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1,455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0" w:type="dxa"/>
            <w:vAlign w:val="bottom"/>
          </w:tcPr>
          <w:p>
            <w:pPr>
              <w:spacing w:after="0"/>
              <w:rPr>
                <w:sz w:val="1"/>
                <w:szCs w:val="1"/>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283,109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230,323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52,786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c>
          <w:tcPr>
            <w:tcW w:w="0" w:type="dxa"/>
            <w:vAlign w:val="bottom"/>
          </w:tcPr>
          <w:p>
            <w:pPr>
              <w:spacing w:after="0"/>
              <w:rPr>
                <w:sz w:val="1"/>
                <w:szCs w:val="1"/>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31,665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29,941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c>
          <w:tcPr>
            <w:tcW w:w="0" w:type="dxa"/>
            <w:vAlign w:val="bottom"/>
          </w:tcPr>
          <w:p>
            <w:pPr>
              <w:spacing w:after="0"/>
              <w:rPr>
                <w:sz w:val="1"/>
                <w:szCs w:val="1"/>
                <w:color w:val="auto"/>
              </w:rPr>
            </w:pPr>
          </w:p>
        </w:tc>
      </w:tr>
      <w:tr>
        <w:trPr>
          <w:trHeight w:val="256"/>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12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52,745</w:t>
            </w:r>
          </w:p>
        </w:tc>
        <w:tc>
          <w:tcPr>
            <w:tcW w:w="1220" w:type="dxa"/>
            <w:vAlign w:val="bottom"/>
            <w:vMerge w:val="restart"/>
          </w:tcPr>
          <w:p>
            <w:pPr>
              <w:jc w:val="right"/>
              <w:ind w:right="208"/>
              <w:spacing w:after="0"/>
              <w:rPr>
                <w:sz w:val="20"/>
                <w:szCs w:val="20"/>
                <w:color w:val="auto"/>
              </w:rPr>
            </w:pPr>
            <w:r>
              <w:rPr>
                <w:rFonts w:ascii="Courier New" w:cs="Courier New" w:eastAsia="Courier New" w:hAnsi="Courier New"/>
                <w:sz w:val="14"/>
                <w:szCs w:val="14"/>
                <w:color w:val="auto"/>
              </w:rPr>
              <w:t>50,943</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1,802</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24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administrative .................</w:t>
            </w:r>
          </w:p>
        </w:tc>
        <w:tc>
          <w:tcPr>
            <w:tcW w:w="1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12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4,558</w:t>
            </w:r>
          </w:p>
        </w:tc>
        <w:tc>
          <w:tcPr>
            <w:tcW w:w="1220" w:type="dxa"/>
            <w:vAlign w:val="bottom"/>
            <w:vMerge w:val="restart"/>
          </w:tcPr>
          <w:p>
            <w:pPr>
              <w:jc w:val="right"/>
              <w:ind w:right="208"/>
              <w:spacing w:after="0"/>
              <w:rPr>
                <w:sz w:val="20"/>
                <w:szCs w:val="20"/>
                <w:color w:val="auto"/>
              </w:rPr>
            </w:pPr>
            <w:r>
              <w:rPr>
                <w:rFonts w:ascii="Courier New" w:cs="Courier New" w:eastAsia="Courier New" w:hAnsi="Courier New"/>
                <w:sz w:val="14"/>
                <w:szCs w:val="14"/>
                <w:color w:val="auto"/>
              </w:rPr>
              <w:t>4,524</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0.8</w:t>
            </w:r>
          </w:p>
        </w:tc>
        <w:tc>
          <w:tcPr>
            <w:tcW w:w="0" w:type="dxa"/>
            <w:vAlign w:val="bottom"/>
          </w:tcPr>
          <w:p>
            <w:pPr>
              <w:spacing w:after="0"/>
              <w:rPr>
                <w:sz w:val="1"/>
                <w:szCs w:val="1"/>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intangible assets ..............</w:t>
            </w: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373,525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317,186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76,699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59,982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c>
          <w:tcPr>
            <w:tcW w:w="0" w:type="dxa"/>
            <w:vAlign w:val="bottom"/>
          </w:tcPr>
          <w:p>
            <w:pPr>
              <w:spacing w:after="0"/>
              <w:rPr>
                <w:sz w:val="1"/>
                <w:szCs w:val="1"/>
                <w:color w:val="auto"/>
              </w:rPr>
            </w:pPr>
          </w:p>
        </w:tc>
      </w:tr>
      <w:tr>
        <w:trPr>
          <w:trHeight w:val="256"/>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and other, net ......</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76,820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63,251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c>
          <w:tcPr>
            <w:tcW w:w="0" w:type="dxa"/>
            <w:vAlign w:val="bottom"/>
          </w:tcPr>
          <w:p>
            <w:pPr>
              <w:spacing w:after="0"/>
              <w:rPr>
                <w:sz w:val="1"/>
                <w:szCs w:val="1"/>
                <w:color w:val="auto"/>
              </w:rPr>
            </w:pPr>
          </w:p>
        </w:tc>
      </w:tr>
      <w:tr>
        <w:trPr>
          <w:trHeight w:val="256"/>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15,813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59,920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$ 47,438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$ 12,482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75" w:lineRule="exact"/>
        <w:rPr>
          <w:sz w:val="20"/>
          <w:szCs w:val="20"/>
          <w:color w:val="auto"/>
        </w:rPr>
      </w:pPr>
    </w:p>
    <w:p>
      <w:pPr>
        <w:ind w:right="3379" w:firstLine="434"/>
        <w:spacing w:after="0" w:line="317" w:lineRule="auto"/>
        <w:rPr>
          <w:sz w:val="20"/>
          <w:szCs w:val="20"/>
          <w:color w:val="auto"/>
        </w:rPr>
      </w:pPr>
      <w:r>
        <w:rPr>
          <w:rFonts w:ascii="Courier New" w:cs="Courier New" w:eastAsia="Courier New" w:hAnsi="Courier New"/>
          <w:sz w:val="14"/>
          <w:szCs w:val="14"/>
          <w:color w:val="auto"/>
        </w:rPr>
        <w:t>License revenue in the three months ended June 30, 2004 increased compared to the three months ended June 30, 2003, as a result of new contracts that we obtained from new and existing customers during fiscal 2004.</w:t>
      </w:r>
    </w:p>
    <w:p>
      <w:pPr>
        <w:spacing w:after="0" w:line="39"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83" w:lineRule="exact"/>
        <w:rPr>
          <w:sz w:val="20"/>
          <w:szCs w:val="20"/>
          <w:color w:val="auto"/>
        </w:rPr>
      </w:pPr>
    </w:p>
    <w:p>
      <w:pPr>
        <w:ind w:right="3379" w:firstLine="521"/>
        <w:spacing w:after="0" w:line="295" w:lineRule="auto"/>
        <w:rPr>
          <w:sz w:val="20"/>
          <w:szCs w:val="20"/>
          <w:color w:val="auto"/>
        </w:rPr>
      </w:pPr>
      <w:r>
        <w:rPr>
          <w:rFonts w:ascii="Courier New" w:cs="Courier New" w:eastAsia="Courier New" w:hAnsi="Courier New"/>
          <w:sz w:val="14"/>
          <w:szCs w:val="14"/>
          <w:color w:val="auto"/>
        </w:rPr>
        <w:t>License and service revenue from the sale of Directory Systems was $62.2 million for the three months ended June 30, 2004, an increase of $7.2 million, or 13.1%, over the three months ended June 30, 2003. Approximately $15 million of the increase in Directory Systems revenue in the three months ended June 30,</w:t>
      </w:r>
    </w:p>
    <w:p>
      <w:pPr>
        <w:spacing w:after="0" w:line="5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427" w:right="1440" w:bottom="0" w:gutter="0" w:footer="0" w:header="0"/>
        </w:sectPr>
      </w:pPr>
    </w:p>
    <w:bookmarkStart w:id="98" w:name="page99"/>
    <w:bookmarkEnd w:id="98"/>
    <w:p>
      <w:pPr>
        <w:ind w:right="3279"/>
        <w:spacing w:after="0" w:line="271" w:lineRule="auto"/>
        <w:rPr>
          <w:sz w:val="20"/>
          <w:szCs w:val="20"/>
          <w:color w:val="auto"/>
        </w:rPr>
      </w:pPr>
      <w:r>
        <w:rPr>
          <w:rFonts w:ascii="Courier New" w:cs="Courier New" w:eastAsia="Courier New" w:hAnsi="Courier New"/>
          <w:sz w:val="14"/>
          <w:szCs w:val="14"/>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70"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80"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249"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66" w:lineRule="exact"/>
        <w:rPr>
          <w:sz w:val="20"/>
          <w:szCs w:val="20"/>
          <w:color w:val="auto"/>
        </w:rPr>
      </w:pPr>
    </w:p>
    <w:p>
      <w:pPr>
        <w:ind w:right="3279" w:firstLine="434"/>
        <w:spacing w:after="0" w:line="260"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79"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68"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sectPr>
      <w:pgSz w:w="11900" w:h="16838" w:orient="portrait"/>
      <w:cols w:equalWidth="0" w:num="1">
        <w:col w:w="10239"/>
      </w:cols>
      <w:pgMar w:left="220" w:top="5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amp;"/>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decimal"/>
      <w:start w:val="1"/>
    </w:lvl>
    <w:lvl w:ilvl="1">
      <w:lvlJc w:val="left"/>
      <w:lvlText w:val="(%2)"/>
      <w:numFmt w:val="decimal"/>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amp;"/>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lvl w:ilvl="1">
      <w:lvlJc w:val="left"/>
      <w:lvlText w:val="*"/>
      <w:numFmt w:val="bullet"/>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1"/>
    </w:lvl>
    <w:lvl w:ilvl="1">
      <w:lvlJc w:val="left"/>
      <w:lvlText w:val="-"/>
      <w:numFmt w:val="bullet"/>
      <w:start w:val="1"/>
    </w:lvl>
  </w:abstractNum>
  <w:abstractNum w:abstractNumId="57">
    <w:nsid w:val="799D0247"/>
    <w:multiLevelType w:val="hybridMultilevel"/>
    <w:lvl w:ilvl="0">
      <w:lvlJc w:val="left"/>
      <w:lvlText w:val="%1."/>
      <w:numFmt w:val="decimal"/>
      <w:start w:val="1"/>
    </w:lvl>
    <w:lvl w:ilvl="1">
      <w:lvlJc w:val="left"/>
      <w:lvlText w:val="-"/>
      <w:numFmt w:val="bullet"/>
      <w:start w:val="1"/>
    </w:lvl>
  </w:abstractNum>
  <w:abstractNum w:abstractNumId="58">
    <w:nsid w:val="6B94764"/>
    <w:multiLevelType w:val="hybridMultilevel"/>
    <w:lvl w:ilvl="0">
      <w:lvlJc w:val="left"/>
      <w:lvlText w:val="o"/>
      <w:numFmt w:val="bullet"/>
      <w:start w:val="1"/>
    </w:lvl>
  </w:abstractNum>
  <w:abstractNum w:abstractNumId="59">
    <w:nsid w:val="42C296BD"/>
    <w:multiLevelType w:val="hybridMultilevel"/>
    <w:lvl w:ilvl="0">
      <w:lvlJc w:val="left"/>
      <w:lvlText w:val="(%1)"/>
      <w:numFmt w:val="decimal"/>
      <w:start w:val="2"/>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decimal"/>
      <w:start w:val="2"/>
    </w:lvl>
  </w:abstractNum>
  <w:abstractNum w:abstractNumId="62">
    <w:nsid w:val="661E3F1E"/>
    <w:multiLevelType w:val="hybridMultilevel"/>
    <w:lvl w:ilvl="0">
      <w:lvlJc w:val="left"/>
      <w:lvlText w:val="%1."/>
      <w:numFmt w:val="decimal"/>
      <w:start w:val="3"/>
    </w:lvl>
  </w:abstractNum>
  <w:abstractNum w:abstractNumId="63">
    <w:nsid w:val="5DC79EA8"/>
    <w:multiLevelType w:val="hybridMultilevel"/>
    <w:lvl w:ilvl="0">
      <w:lvlJc w:val="left"/>
      <w:lvlText w:val="%1."/>
      <w:numFmt w:val="decimal"/>
      <w:start w:val="4"/>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5"/>
    </w:lvl>
  </w:abstractNum>
  <w:abstractNum w:abstractNumId="66">
    <w:nsid w:val="51D9C564"/>
    <w:multiLevelType w:val="hybridMultilevel"/>
    <w:lvl w:ilvl="0">
      <w:lvlJc w:val="left"/>
      <w:lvlText w:val="%1."/>
      <w:numFmt w:val="decimal"/>
      <w:start w:val="6"/>
    </w:lvl>
  </w:abstractNum>
  <w:abstractNum w:abstractNumId="67">
    <w:nsid w:val="613EFDC5"/>
    <w:multiLevelType w:val="hybridMultilevel"/>
    <w:lvl w:ilvl="0">
      <w:lvlJc w:val="left"/>
      <w:lvlText w:val="%1."/>
      <w:numFmt w:val="decimal"/>
      <w:start w:val="7"/>
    </w:lvl>
  </w:abstractNum>
  <w:abstractNum w:abstractNumId="68">
    <w:nsid w:val="BF72B14"/>
    <w:multiLevelType w:val="hybridMultilevel"/>
    <w:lvl w:ilvl="0">
      <w:lvlJc w:val="left"/>
      <w:lvlText w:val="%1."/>
      <w:numFmt w:val="decimal"/>
      <w:start w:val="8"/>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9"/>
    </w:lvl>
  </w:abstractNum>
  <w:abstractNum w:abstractNumId="71">
    <w:nsid w:val="A0382C5"/>
    <w:multiLevelType w:val="hybridMultilevel"/>
    <w:lvl w:ilvl="0">
      <w:lvlJc w:val="left"/>
      <w:lvlText w:val="%1."/>
      <w:numFmt w:val="decimal"/>
      <w:start w:val="11"/>
    </w:lvl>
  </w:abstractNum>
  <w:abstractNum w:abstractNumId="72">
    <w:nsid w:val="8F2B15E"/>
    <w:multiLevelType w:val="hybridMultilevel"/>
    <w:lvl w:ilvl="0">
      <w:lvlJc w:val="left"/>
      <w:lvlText w:val="%1"/>
      <w:numFmt w:val="decimal"/>
      <w:start w:val="1"/>
    </w:lvl>
    <w:lvl w:ilvl="1">
      <w:lvlJc w:val="left"/>
      <w:lvlText w:val="(%2)"/>
      <w:numFmt w:val="lowerRoman"/>
      <w:start w:val="2"/>
    </w:lvl>
  </w:abstractNum>
  <w:abstractNum w:abstractNumId="73">
    <w:nsid w:val="1A32234B"/>
    <w:multiLevelType w:val="hybridMultilevel"/>
    <w:lvl w:ilvl="0">
      <w:lvlJc w:val="left"/>
      <w:lvlText w:val="%1."/>
      <w:numFmt w:val="decimal"/>
      <w:start w:val="12"/>
    </w:lvl>
    <w:lvl w:ilvl="1">
      <w:lvlJc w:val="left"/>
      <w:lvlText w:val="%2"/>
      <w:numFmt w:val="lowerRoman"/>
      <w:start w:val="1"/>
    </w:lvl>
  </w:abstractNum>
  <w:abstractNum w:abstractNumId="74">
    <w:nsid w:val="3B0FD379"/>
    <w:multiLevelType w:val="hybridMultilevel"/>
    <w:lvl w:ilvl="0">
      <w:lvlJc w:val="left"/>
      <w:lvlText w:val="(%1)"/>
      <w:numFmt w:val="decimal"/>
      <w:start w:val="94"/>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1."/>
      <w:numFmt w:val="decimal"/>
      <w:start w:val="13"/>
    </w:lvl>
  </w:abstractNum>
  <w:abstractNum w:abstractNumId="79">
    <w:nsid w:val="14330624"/>
    <w:multiLevelType w:val="hybridMultilevel"/>
    <w:lvl w:ilvl="0">
      <w:lvlJc w:val="left"/>
      <w:lvlText w:val="%1."/>
      <w:numFmt w:val="decimal"/>
      <w:start w:val="14"/>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2019-12-14T21:14:04Z</dcterms:created>
  <dcterms:modified xsi:type="dcterms:W3CDTF">2019-12-14T21:14:04Z</dcterms:modified>
</cp:coreProperties>
</file>