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333-67572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860" w:type="dxa"/>
            <w:vAlign w:val="bottom"/>
          </w:tcPr>
          <w:p>
            <w:pPr>
              <w:jc w:val="center"/>
              <w:ind w:right="2046"/>
              <w:spacing w:after="0"/>
              <w:rPr>
                <w:sz w:val="20"/>
                <w:szCs w:val="20"/>
                <w:color w:val="auto"/>
              </w:rPr>
            </w:pPr>
            <w:r>
              <w:rPr>
                <w:rFonts w:ascii="Arial" w:cs="Arial" w:eastAsia="Arial" w:hAnsi="Arial"/>
                <w:sz w:val="18"/>
                <w:szCs w:val="18"/>
                <w:b w:val="1"/>
                <w:bCs w:val="1"/>
                <w:color w:val="auto"/>
                <w:w w:val="87"/>
              </w:rPr>
              <w:t>Island of Guernsey</w:t>
            </w:r>
          </w:p>
        </w:tc>
        <w:tc>
          <w:tcPr>
            <w:tcW w:w="3440" w:type="dxa"/>
            <w:vAlign w:val="bottom"/>
          </w:tcPr>
          <w:p>
            <w:pPr>
              <w:jc w:val="center"/>
              <w:ind w:left="202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86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40" w:type="dxa"/>
            <w:vAlign w:val="bottom"/>
          </w:tcPr>
          <w:p>
            <w:pPr>
              <w:jc w:val="center"/>
              <w:ind w:left="2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6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440" w:type="dxa"/>
            <w:vAlign w:val="bottom"/>
          </w:tcPr>
          <w:p>
            <w:pPr>
              <w:jc w:val="center"/>
              <w:ind w:left="2026"/>
              <w:spacing w:after="0"/>
              <w:rPr>
                <w:sz w:val="20"/>
                <w:szCs w:val="20"/>
                <w:color w:val="auto"/>
              </w:rPr>
            </w:pPr>
            <w:r>
              <w:rPr>
                <w:rFonts w:ascii="Arial" w:cs="Arial" w:eastAsia="Arial" w:hAnsi="Arial"/>
                <w:sz w:val="14"/>
                <w:szCs w:val="14"/>
                <w:b w:val="1"/>
                <w:bCs w:val="1"/>
                <w:color w:val="auto"/>
                <w:w w:val="90"/>
              </w:rPr>
              <w:t>Identification Number)</w:t>
            </w:r>
          </w:p>
        </w:tc>
      </w:tr>
    </w:tbl>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177"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184" w:lineRule="exact"/>
        <w:tabs>
          <w:tab w:leader="none" w:pos="8920" w:val="left"/>
        </w:tabs>
        <w:rPr>
          <w:sz w:val="20"/>
          <w:szCs w:val="20"/>
          <w:color w:val="auto"/>
        </w:rPr>
      </w:pPr>
      <w:r>
        <w:rPr>
          <w:rFonts w:ascii="Arial" w:cs="Arial" w:eastAsia="Arial" w:hAnsi="Arial"/>
          <w:sz w:val="16"/>
          <w:szCs w:val="16"/>
          <w:color w:val="auto"/>
        </w:rPr>
        <w:t xml:space="preserve">the Securities Act 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5338445</wp:posOffset>
            </wp:positionH>
            <wp:positionV relativeFrom="paragraph">
              <wp:posOffset>-3175</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184" w:lineRule="exact"/>
        <w:tabs>
          <w:tab w:leader="none" w:pos="7620" w:val="left"/>
        </w:tabs>
        <w:rPr>
          <w:sz w:val="20"/>
          <w:szCs w:val="20"/>
          <w:color w:val="auto"/>
        </w:rPr>
      </w:pPr>
      <w:r>
        <w:rPr>
          <w:rFonts w:ascii="Arial" w:cs="Arial" w:eastAsia="Arial" w:hAnsi="Arial"/>
          <w:sz w:val="16"/>
          <w:szCs w:val="16"/>
          <w:color w:val="auto"/>
        </w:rPr>
        <w:t xml:space="preserve">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-3175</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25, 2001, the Securities and Exchange Commission declared effective the registration statement on Form F-3 (File No. 333-67572) (the “Registration Statement”) filed by Amdocs Limited (the “Company”) with respect to the resale on a continuous or delayed basis of $500,000,000 aggregate principal amount of 2% Convertible Notes due 2008 (the “Notes”) and 5,429,350 ordinary shares, £0.01 par value, of the Company, issuable upon conversion of the Notes (collectively with the Notes, the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holders of the Securities (the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agreed with the initial purchasers of the Notes to use its reasonable efforts to keep the Registration Statement effective until the earliest of:</w:t>
      </w:r>
    </w:p>
    <w:p>
      <w:pPr>
        <w:spacing w:after="0" w:line="50" w:lineRule="exact"/>
        <w:rPr>
          <w:sz w:val="20"/>
          <w:szCs w:val="20"/>
          <w:color w:val="auto"/>
        </w:rPr>
      </w:pPr>
    </w:p>
    <w:p>
      <w:pPr>
        <w:ind w:firstLine="8"/>
        <w:spacing w:after="0" w:line="323" w:lineRule="auto"/>
        <w:tabs>
          <w:tab w:leader="none" w:pos="24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sale of all registrable securities under the Registration Statement; (2) the expiration of the Securities Act Rule 144(k) period with respect to all registrable securities held by non-affiliates of the Company; and (3) two years from the effective date of the Registration Statement.</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1 to the Registration Statement to remove from registration all Securities not sold by the Holders pursuant to the Registration Statement. Accordingly, the Company hereby requests that upon the effectiveness of this Post-Effective Amendment No. 1, such Securities be removed from registration.</w:t>
      </w:r>
    </w:p>
    <w:p>
      <w:pPr>
        <w:sectPr>
          <w:pgSz w:w="11900" w:h="16838" w:orient="portrait"/>
          <w:cols w:equalWidth="0" w:num="1">
            <w:col w:w="11300"/>
          </w:cols>
          <w:pgMar w:left="240" w:top="274"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1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17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36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2140" w:type="dxa"/>
            <w:vAlign w:val="bottom"/>
          </w:tcPr>
          <w:p>
            <w:pPr>
              <w:ind w:left="98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4360" w:type="dxa"/>
            <w:vAlign w:val="bottom"/>
          </w:tcPr>
          <w:p>
            <w:pPr>
              <w:ind w:left="340"/>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Robert A. Minicucci</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 Principal Executive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Eli Gelman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436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Tamar Rapaport-Dagim</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Bruce K. Anderson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Adrian Gardner</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James S. Kahan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Simon Olswang</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Zohar Zisapel</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Julian A. Brodsky</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John T. McLennan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Giora Yaron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14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3360" w:type="dxa"/>
            <w:vAlign w:val="bottom"/>
          </w:tcPr>
          <w:p>
            <w:pPr>
              <w:ind w:left="220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Nehmeia Lemelbaum</w:t>
            </w:r>
          </w:p>
        </w:tc>
        <w:tc>
          <w:tcPr>
            <w:tcW w:w="3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Pr>
          <w:p>
            <w:pPr>
              <w:ind w:left="220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Nehmeia Lemelbaum</w:t>
            </w:r>
          </w:p>
        </w:tc>
        <w:tc>
          <w:tcPr>
            <w:tcW w:w="31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Pr>
          <w:p>
            <w:pPr>
              <w:ind w:left="220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Richard T.C. LeFave</w:t>
            </w:r>
          </w:p>
        </w:tc>
        <w:tc>
          <w:tcPr>
            <w:tcW w:w="31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1" w:lineRule="exact"/>
        <w:rPr>
          <w:sz w:val="20"/>
          <w:szCs w:val="20"/>
          <w:color w:val="auto"/>
        </w:rPr>
      </w:pPr>
    </w:p>
    <w:p>
      <w:pPr>
        <w:ind w:left="22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the signature set forth below, the undersigned, pursuant to the duly authorized powers of attorney filed with the Securities and Exchange Commission, has signed this Post-Effective Amendment No. 1 to the Registration Statement on behalf of the persons indicated.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300"/>
      </w:cols>
      <w:pgMar w:left="240" w:top="2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2019-12-09T14:13:15Z</dcterms:created>
  <dcterms:modified xsi:type="dcterms:W3CDTF">2019-12-09T14:13:15Z</dcterms:modified>
</cp:coreProperties>
</file>