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71"/>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166370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208915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SECURITIES AND EXCHANGE COMMISSION</w:t>
      </w:r>
    </w:p>
    <w:p>
      <w:pPr>
        <w:spacing w:after="0" w:line="34" w:lineRule="exact"/>
        <w:rPr>
          <w:sz w:val="24"/>
          <w:szCs w:val="24"/>
          <w:color w:val="auto"/>
        </w:rPr>
      </w:pPr>
    </w:p>
    <w:p>
      <w:pPr>
        <w:jc w:val="center"/>
        <w:ind w:right="-291"/>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2864485</wp:posOffset>
            </wp:positionH>
            <wp:positionV relativeFrom="paragraph">
              <wp:posOffset>227330</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27" w:lineRule="exact"/>
        <w:rPr>
          <w:sz w:val="24"/>
          <w:szCs w:val="24"/>
          <w:color w:val="auto"/>
        </w:rPr>
      </w:pPr>
    </w:p>
    <w:p>
      <w:pPr>
        <w:jc w:val="center"/>
        <w:ind w:right="-291"/>
        <w:spacing w:after="0"/>
        <w:rPr>
          <w:sz w:val="20"/>
          <w:szCs w:val="20"/>
          <w:color w:val="auto"/>
        </w:rPr>
      </w:pPr>
      <w:r>
        <w:rPr>
          <w:rFonts w:ascii="Arial" w:cs="Arial" w:eastAsia="Arial" w:hAnsi="Arial"/>
          <w:sz w:val="32"/>
          <w:szCs w:val="32"/>
          <w:b w:val="1"/>
          <w:bCs w:val="1"/>
          <w:color w:val="auto"/>
        </w:rPr>
        <w:t>SCHEDULE TO</w:t>
      </w:r>
    </w:p>
    <w:p>
      <w:pPr>
        <w:spacing w:after="0" w:line="226" w:lineRule="exact"/>
        <w:rPr>
          <w:sz w:val="24"/>
          <w:szCs w:val="24"/>
          <w:color w:val="auto"/>
        </w:rPr>
      </w:pPr>
    </w:p>
    <w:p>
      <w:pPr>
        <w:jc w:val="center"/>
        <w:ind w:left="540" w:right="2000"/>
        <w:spacing w:after="0" w:line="243" w:lineRule="auto"/>
        <w:rPr>
          <w:sz w:val="20"/>
          <w:szCs w:val="20"/>
          <w:color w:val="auto"/>
        </w:rPr>
      </w:pPr>
      <w:r>
        <w:rPr>
          <w:rFonts w:ascii="Arial" w:cs="Arial" w:eastAsia="Arial" w:hAnsi="Arial"/>
          <w:sz w:val="22"/>
          <w:szCs w:val="22"/>
          <w:b w:val="1"/>
          <w:bCs w:val="1"/>
          <w:color w:val="auto"/>
        </w:rPr>
        <w:t>TENDER OFFER STATEMENT UNDER SECTION 14(d)(1) OR 13(e)(1) OF THE SECURITIES EXCHANGE ACT OF 1934 (Amendment No. 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2864485</wp:posOffset>
            </wp:positionH>
            <wp:positionV relativeFrom="paragraph">
              <wp:posOffset>215265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01" w:lineRule="exact"/>
        <w:rPr>
          <w:sz w:val="24"/>
          <w:szCs w:val="24"/>
          <w:color w:val="auto"/>
        </w:rPr>
      </w:pPr>
    </w:p>
    <w:p>
      <w:pPr>
        <w:jc w:val="center"/>
        <w:ind w:right="-291"/>
        <w:spacing w:after="0"/>
        <w:rPr>
          <w:sz w:val="20"/>
          <w:szCs w:val="20"/>
          <w:color w:val="auto"/>
        </w:rPr>
      </w:pPr>
      <w:r>
        <w:rPr>
          <w:rFonts w:ascii="Arial" w:cs="Arial" w:eastAsia="Arial" w:hAnsi="Arial"/>
          <w:sz w:val="40"/>
          <w:szCs w:val="40"/>
          <w:b w:val="1"/>
          <w:bCs w:val="1"/>
          <w:color w:val="auto"/>
        </w:rPr>
        <w:t>AMDOCS LIMITED</w:t>
      </w:r>
    </w:p>
    <w:p>
      <w:pPr>
        <w:spacing w:after="0" w:line="35" w:lineRule="exact"/>
        <w:rPr>
          <w:sz w:val="24"/>
          <w:szCs w:val="24"/>
          <w:color w:val="auto"/>
        </w:rPr>
      </w:pPr>
    </w:p>
    <w:p>
      <w:pPr>
        <w:jc w:val="center"/>
        <w:ind w:right="-291"/>
        <w:spacing w:after="0"/>
        <w:rPr>
          <w:sz w:val="20"/>
          <w:szCs w:val="20"/>
          <w:color w:val="auto"/>
        </w:rPr>
      </w:pPr>
      <w:r>
        <w:rPr>
          <w:rFonts w:ascii="Arial" w:cs="Arial" w:eastAsia="Arial" w:hAnsi="Arial"/>
          <w:sz w:val="18"/>
          <w:szCs w:val="18"/>
          <w:b w:val="1"/>
          <w:bCs w:val="1"/>
          <w:color w:val="auto"/>
        </w:rPr>
        <w:t>(Name of Subject Company (Issuer))</w:t>
      </w:r>
    </w:p>
    <w:p>
      <w:pPr>
        <w:spacing w:after="0" w:line="205" w:lineRule="exact"/>
        <w:rPr>
          <w:sz w:val="24"/>
          <w:szCs w:val="24"/>
          <w:color w:val="auto"/>
        </w:rPr>
      </w:pPr>
    </w:p>
    <w:p>
      <w:pPr>
        <w:jc w:val="center"/>
        <w:ind w:right="-291"/>
        <w:spacing w:after="0"/>
        <w:rPr>
          <w:sz w:val="20"/>
          <w:szCs w:val="20"/>
          <w:color w:val="auto"/>
        </w:rPr>
      </w:pPr>
      <w:r>
        <w:rPr>
          <w:rFonts w:ascii="Arial" w:cs="Arial" w:eastAsia="Arial" w:hAnsi="Arial"/>
          <w:sz w:val="18"/>
          <w:szCs w:val="18"/>
          <w:b w:val="1"/>
          <w:bCs w:val="1"/>
          <w:color w:val="auto"/>
        </w:rPr>
        <w:t>Amdocs Limited</w:t>
      </w:r>
    </w:p>
    <w:p>
      <w:pPr>
        <w:spacing w:after="0" w:line="21" w:lineRule="exact"/>
        <w:rPr>
          <w:sz w:val="24"/>
          <w:szCs w:val="24"/>
          <w:color w:val="auto"/>
        </w:rPr>
      </w:pPr>
    </w:p>
    <w:p>
      <w:pPr>
        <w:jc w:val="center"/>
        <w:ind w:right="-291"/>
        <w:spacing w:after="0"/>
        <w:rPr>
          <w:sz w:val="20"/>
          <w:szCs w:val="20"/>
          <w:color w:val="auto"/>
        </w:rPr>
      </w:pPr>
      <w:r>
        <w:rPr>
          <w:rFonts w:ascii="Arial" w:cs="Arial" w:eastAsia="Arial" w:hAnsi="Arial"/>
          <w:sz w:val="14"/>
          <w:szCs w:val="14"/>
          <w:b w:val="1"/>
          <w:bCs w:val="1"/>
          <w:color w:val="auto"/>
        </w:rPr>
        <w:t>(Name of Filing Persons (Offeror))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2864485</wp:posOffset>
            </wp:positionH>
            <wp:positionV relativeFrom="paragraph">
              <wp:posOffset>219075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37" w:lineRule="exact"/>
        <w:rPr>
          <w:sz w:val="24"/>
          <w:szCs w:val="24"/>
          <w:color w:val="auto"/>
        </w:rPr>
      </w:pPr>
    </w:p>
    <w:p>
      <w:pPr>
        <w:jc w:val="center"/>
        <w:ind w:right="-291"/>
        <w:spacing w:after="0"/>
        <w:rPr>
          <w:sz w:val="20"/>
          <w:szCs w:val="20"/>
          <w:color w:val="auto"/>
        </w:rPr>
      </w:pPr>
      <w:r>
        <w:rPr>
          <w:rFonts w:ascii="Arial" w:cs="Arial" w:eastAsia="Arial" w:hAnsi="Arial"/>
          <w:sz w:val="18"/>
          <w:szCs w:val="18"/>
          <w:b w:val="1"/>
          <w:bCs w:val="1"/>
          <w:color w:val="auto"/>
        </w:rPr>
        <w:t>0.50% Convertible Senior Notes due 2024</w:t>
      </w:r>
    </w:p>
    <w:p>
      <w:pPr>
        <w:spacing w:after="0" w:line="21" w:lineRule="exact"/>
        <w:rPr>
          <w:sz w:val="24"/>
          <w:szCs w:val="24"/>
          <w:color w:val="auto"/>
        </w:rPr>
      </w:pPr>
    </w:p>
    <w:p>
      <w:pPr>
        <w:jc w:val="center"/>
        <w:ind w:right="-291"/>
        <w:spacing w:after="0"/>
        <w:rPr>
          <w:sz w:val="20"/>
          <w:szCs w:val="20"/>
          <w:color w:val="auto"/>
        </w:rPr>
      </w:pPr>
      <w:r>
        <w:rPr>
          <w:rFonts w:ascii="Arial" w:cs="Arial" w:eastAsia="Arial" w:hAnsi="Arial"/>
          <w:sz w:val="14"/>
          <w:szCs w:val="14"/>
          <w:b w:val="1"/>
          <w:bCs w:val="1"/>
          <w:color w:val="auto"/>
        </w:rPr>
        <w:t>(Title of Class of Securities)</w:t>
      </w:r>
    </w:p>
    <w:p>
      <w:pPr>
        <w:spacing w:after="0" w:line="192" w:lineRule="exact"/>
        <w:rPr>
          <w:sz w:val="24"/>
          <w:szCs w:val="24"/>
          <w:color w:val="auto"/>
        </w:rPr>
      </w:pPr>
    </w:p>
    <w:p>
      <w:pPr>
        <w:ind w:left="5252"/>
        <w:spacing w:after="0"/>
        <w:rPr>
          <w:sz w:val="20"/>
          <w:szCs w:val="20"/>
          <w:color w:val="auto"/>
        </w:rPr>
      </w:pPr>
      <w:r>
        <w:rPr>
          <w:rFonts w:ascii="Arial" w:cs="Arial" w:eastAsia="Arial" w:hAnsi="Arial"/>
          <w:sz w:val="18"/>
          <w:szCs w:val="18"/>
          <w:b w:val="1"/>
          <w:bCs w:val="1"/>
          <w:color w:val="auto"/>
        </w:rPr>
        <w:t>02342TAC3</w:t>
      </w:r>
    </w:p>
    <w:p>
      <w:pPr>
        <w:spacing w:after="0" w:line="27" w:lineRule="exact"/>
        <w:rPr>
          <w:sz w:val="24"/>
          <w:szCs w:val="24"/>
          <w:color w:val="auto"/>
        </w:rPr>
      </w:pPr>
    </w:p>
    <w:p>
      <w:pPr>
        <w:ind w:left="5252"/>
        <w:spacing w:after="0"/>
        <w:rPr>
          <w:sz w:val="20"/>
          <w:szCs w:val="20"/>
          <w:color w:val="auto"/>
        </w:rPr>
      </w:pPr>
      <w:r>
        <w:rPr>
          <w:rFonts w:ascii="Arial" w:cs="Arial" w:eastAsia="Arial" w:hAnsi="Arial"/>
          <w:sz w:val="18"/>
          <w:szCs w:val="18"/>
          <w:b w:val="1"/>
          <w:bCs w:val="1"/>
          <w:color w:val="auto"/>
        </w:rPr>
        <w:t>02342TAD1</w:t>
      </w:r>
    </w:p>
    <w:p>
      <w:pPr>
        <w:spacing w:after="0" w:line="2" w:lineRule="exact"/>
        <w:rPr>
          <w:sz w:val="24"/>
          <w:szCs w:val="24"/>
          <w:color w:val="auto"/>
        </w:rPr>
      </w:pPr>
    </w:p>
    <w:p>
      <w:pPr>
        <w:jc w:val="center"/>
        <w:ind w:right="-291"/>
        <w:spacing w:after="0"/>
        <w:rPr>
          <w:sz w:val="20"/>
          <w:szCs w:val="20"/>
          <w:color w:val="auto"/>
        </w:rPr>
      </w:pPr>
      <w:r>
        <w:rPr>
          <w:rFonts w:ascii="Arial" w:cs="Arial" w:eastAsia="Arial" w:hAnsi="Arial"/>
          <w:sz w:val="14"/>
          <w:szCs w:val="14"/>
          <w:b w:val="1"/>
          <w:bCs w:val="1"/>
          <w:color w:val="auto"/>
        </w:rPr>
        <w:t>(CUSIP Number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2864485</wp:posOffset>
            </wp:positionH>
            <wp:positionV relativeFrom="paragraph">
              <wp:posOffset>227965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50" w:lineRule="exact"/>
        <w:rPr>
          <w:sz w:val="24"/>
          <w:szCs w:val="24"/>
          <w:color w:val="auto"/>
        </w:rPr>
      </w:pPr>
    </w:p>
    <w:p>
      <w:pPr>
        <w:jc w:val="center"/>
        <w:ind w:right="-291"/>
        <w:spacing w:after="0"/>
        <w:rPr>
          <w:sz w:val="20"/>
          <w:szCs w:val="20"/>
          <w:color w:val="auto"/>
        </w:rPr>
      </w:pPr>
      <w:r>
        <w:rPr>
          <w:rFonts w:ascii="Arial" w:cs="Arial" w:eastAsia="Arial" w:hAnsi="Arial"/>
          <w:sz w:val="18"/>
          <w:szCs w:val="18"/>
          <w:b w:val="1"/>
          <w:bCs w:val="1"/>
          <w:color w:val="auto"/>
        </w:rPr>
        <w:t>Elizabeth W. McDermon</w:t>
      </w:r>
    </w:p>
    <w:p>
      <w:pPr>
        <w:spacing w:after="0" w:line="27" w:lineRule="exact"/>
        <w:rPr>
          <w:sz w:val="24"/>
          <w:szCs w:val="24"/>
          <w:color w:val="auto"/>
        </w:rPr>
      </w:pPr>
    </w:p>
    <w:p>
      <w:pPr>
        <w:jc w:val="center"/>
        <w:ind w:right="-291"/>
        <w:spacing w:after="0"/>
        <w:rPr>
          <w:sz w:val="20"/>
          <w:szCs w:val="20"/>
          <w:color w:val="auto"/>
        </w:rPr>
      </w:pPr>
      <w:r>
        <w:rPr>
          <w:rFonts w:ascii="Arial" w:cs="Arial" w:eastAsia="Arial" w:hAnsi="Arial"/>
          <w:sz w:val="18"/>
          <w:szCs w:val="18"/>
          <w:b w:val="1"/>
          <w:bCs w:val="1"/>
          <w:color w:val="auto"/>
        </w:rPr>
        <w:t>Amdocs, Inc.</w:t>
      </w:r>
    </w:p>
    <w:p>
      <w:pPr>
        <w:spacing w:after="0" w:line="9" w:lineRule="exact"/>
        <w:rPr>
          <w:sz w:val="24"/>
          <w:szCs w:val="24"/>
          <w:color w:val="auto"/>
        </w:rPr>
      </w:pPr>
    </w:p>
    <w:p>
      <w:pPr>
        <w:jc w:val="center"/>
        <w:ind w:right="-291"/>
        <w:spacing w:after="0"/>
        <w:rPr>
          <w:sz w:val="20"/>
          <w:szCs w:val="20"/>
          <w:color w:val="auto"/>
        </w:rPr>
      </w:pPr>
      <w:r>
        <w:rPr>
          <w:rFonts w:ascii="Arial" w:cs="Arial" w:eastAsia="Arial" w:hAnsi="Arial"/>
          <w:sz w:val="18"/>
          <w:szCs w:val="18"/>
          <w:b w:val="1"/>
          <w:bCs w:val="1"/>
          <w:color w:val="auto"/>
        </w:rPr>
        <w:t>1390 Timberlake Manor Parkway, Chesterfield, Missouri 63017</w:t>
      </w:r>
    </w:p>
    <w:p>
      <w:pPr>
        <w:spacing w:after="0" w:line="9" w:lineRule="exact"/>
        <w:rPr>
          <w:sz w:val="24"/>
          <w:szCs w:val="24"/>
          <w:color w:val="auto"/>
        </w:rPr>
      </w:pPr>
    </w:p>
    <w:p>
      <w:pPr>
        <w:jc w:val="center"/>
        <w:ind w:right="-291"/>
        <w:spacing w:after="0"/>
        <w:rPr>
          <w:sz w:val="20"/>
          <w:szCs w:val="20"/>
          <w:color w:val="auto"/>
        </w:rPr>
      </w:pPr>
      <w:r>
        <w:rPr>
          <w:rFonts w:ascii="Arial" w:cs="Arial" w:eastAsia="Arial" w:hAnsi="Arial"/>
          <w:sz w:val="18"/>
          <w:szCs w:val="18"/>
          <w:b w:val="1"/>
          <w:bCs w:val="1"/>
          <w:color w:val="auto"/>
        </w:rPr>
        <w:t>Telephone: (314) 212-8328</w:t>
      </w:r>
    </w:p>
    <w:p>
      <w:pPr>
        <w:spacing w:after="0" w:line="2" w:lineRule="exact"/>
        <w:rPr>
          <w:sz w:val="24"/>
          <w:szCs w:val="24"/>
          <w:color w:val="auto"/>
        </w:rPr>
      </w:pPr>
    </w:p>
    <w:p>
      <w:pPr>
        <w:ind w:left="1812"/>
        <w:spacing w:after="0"/>
        <w:rPr>
          <w:sz w:val="20"/>
          <w:szCs w:val="20"/>
          <w:color w:val="auto"/>
        </w:rPr>
      </w:pPr>
      <w:r>
        <w:rPr>
          <w:rFonts w:ascii="Arial" w:cs="Arial" w:eastAsia="Arial" w:hAnsi="Arial"/>
          <w:sz w:val="14"/>
          <w:szCs w:val="14"/>
          <w:b w:val="1"/>
          <w:bCs w:val="1"/>
          <w:color w:val="auto"/>
        </w:rPr>
        <w:t>(Name, address and telephone numbers of person authorized to receive notices and communications on behalf of filing persons)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2864485</wp:posOffset>
            </wp:positionH>
            <wp:positionV relativeFrom="paragraph">
              <wp:posOffset>219075</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41" w:lineRule="exact"/>
        <w:rPr>
          <w:sz w:val="24"/>
          <w:szCs w:val="24"/>
          <w:color w:val="auto"/>
        </w:rPr>
      </w:pPr>
    </w:p>
    <w:p>
      <w:pPr>
        <w:jc w:val="center"/>
        <w:ind w:right="-291"/>
        <w:spacing w:after="0"/>
        <w:rPr>
          <w:sz w:val="20"/>
          <w:szCs w:val="20"/>
          <w:color w:val="auto"/>
        </w:rPr>
      </w:pPr>
      <w:r>
        <w:rPr>
          <w:rFonts w:ascii="Arial" w:cs="Arial" w:eastAsia="Arial" w:hAnsi="Arial"/>
          <w:sz w:val="18"/>
          <w:szCs w:val="18"/>
          <w:b w:val="1"/>
          <w:bCs w:val="1"/>
          <w:i w:val="1"/>
          <w:iCs w:val="1"/>
          <w:color w:val="auto"/>
        </w:rPr>
        <w:t>The Commission is requested to send copies of all communications to:</w:t>
      </w:r>
    </w:p>
    <w:p>
      <w:pPr>
        <w:spacing w:after="0" w:line="113" w:lineRule="exact"/>
        <w:rPr>
          <w:sz w:val="24"/>
          <w:szCs w:val="24"/>
          <w:color w:val="auto"/>
        </w:rPr>
      </w:pPr>
    </w:p>
    <w:p>
      <w:pPr>
        <w:jc w:val="center"/>
        <w:ind w:right="-291"/>
        <w:spacing w:after="0"/>
        <w:rPr>
          <w:sz w:val="20"/>
          <w:szCs w:val="20"/>
          <w:color w:val="auto"/>
        </w:rPr>
      </w:pPr>
      <w:r>
        <w:rPr>
          <w:rFonts w:ascii="Arial" w:cs="Arial" w:eastAsia="Arial" w:hAnsi="Arial"/>
          <w:sz w:val="18"/>
          <w:szCs w:val="18"/>
          <w:b w:val="1"/>
          <w:bCs w:val="1"/>
          <w:color w:val="auto"/>
        </w:rPr>
        <w:t>Robert A. Schwed, Esq.</w:t>
      </w:r>
    </w:p>
    <w:p>
      <w:pPr>
        <w:spacing w:after="0" w:line="27" w:lineRule="exact"/>
        <w:rPr>
          <w:sz w:val="24"/>
          <w:szCs w:val="24"/>
          <w:color w:val="auto"/>
        </w:rPr>
      </w:pPr>
    </w:p>
    <w:p>
      <w:pPr>
        <w:jc w:val="center"/>
        <w:ind w:right="-291"/>
        <w:spacing w:after="0"/>
        <w:rPr>
          <w:sz w:val="20"/>
          <w:szCs w:val="20"/>
          <w:color w:val="auto"/>
        </w:rPr>
      </w:pPr>
      <w:r>
        <w:rPr>
          <w:rFonts w:ascii="Arial" w:cs="Arial" w:eastAsia="Arial" w:hAnsi="Arial"/>
          <w:sz w:val="18"/>
          <w:szCs w:val="18"/>
          <w:b w:val="1"/>
          <w:bCs w:val="1"/>
          <w:color w:val="auto"/>
        </w:rPr>
        <w:t>Jason L. Kropp, Esq.</w:t>
      </w:r>
    </w:p>
    <w:p>
      <w:pPr>
        <w:spacing w:after="0" w:line="9" w:lineRule="exact"/>
        <w:rPr>
          <w:sz w:val="24"/>
          <w:szCs w:val="24"/>
          <w:color w:val="auto"/>
        </w:rPr>
      </w:pPr>
    </w:p>
    <w:p>
      <w:pPr>
        <w:jc w:val="center"/>
        <w:ind w:right="-291"/>
        <w:spacing w:after="0"/>
        <w:rPr>
          <w:sz w:val="20"/>
          <w:szCs w:val="20"/>
          <w:color w:val="auto"/>
        </w:rPr>
      </w:pPr>
      <w:r>
        <w:rPr>
          <w:rFonts w:ascii="Arial" w:cs="Arial" w:eastAsia="Arial" w:hAnsi="Arial"/>
          <w:sz w:val="18"/>
          <w:szCs w:val="18"/>
          <w:b w:val="1"/>
          <w:bCs w:val="1"/>
          <w:color w:val="auto"/>
        </w:rPr>
        <w:t>Wilmer Cutler Pickering Hale and Dorr LLP</w:t>
      </w:r>
    </w:p>
    <w:p>
      <w:pPr>
        <w:spacing w:after="0" w:line="9" w:lineRule="exact"/>
        <w:rPr>
          <w:sz w:val="24"/>
          <w:szCs w:val="24"/>
          <w:color w:val="auto"/>
        </w:rPr>
      </w:pPr>
    </w:p>
    <w:p>
      <w:pPr>
        <w:jc w:val="center"/>
        <w:ind w:right="-291"/>
        <w:spacing w:after="0"/>
        <w:rPr>
          <w:sz w:val="20"/>
          <w:szCs w:val="20"/>
          <w:color w:val="auto"/>
        </w:rPr>
      </w:pPr>
      <w:r>
        <w:rPr>
          <w:rFonts w:ascii="Arial" w:cs="Arial" w:eastAsia="Arial" w:hAnsi="Arial"/>
          <w:sz w:val="18"/>
          <w:szCs w:val="18"/>
          <w:b w:val="1"/>
          <w:bCs w:val="1"/>
          <w:color w:val="auto"/>
        </w:rPr>
        <w:t>7 World Trade Center,</w:t>
      </w:r>
    </w:p>
    <w:p>
      <w:pPr>
        <w:spacing w:after="0" w:line="9" w:lineRule="exact"/>
        <w:rPr>
          <w:sz w:val="24"/>
          <w:szCs w:val="24"/>
          <w:color w:val="auto"/>
        </w:rPr>
      </w:pPr>
    </w:p>
    <w:p>
      <w:pPr>
        <w:jc w:val="center"/>
        <w:ind w:right="-291"/>
        <w:spacing w:after="0"/>
        <w:rPr>
          <w:sz w:val="20"/>
          <w:szCs w:val="20"/>
          <w:color w:val="auto"/>
        </w:rPr>
      </w:pPr>
      <w:r>
        <w:rPr>
          <w:rFonts w:ascii="Arial" w:cs="Arial" w:eastAsia="Arial" w:hAnsi="Arial"/>
          <w:sz w:val="18"/>
          <w:szCs w:val="18"/>
          <w:b w:val="1"/>
          <w:bCs w:val="1"/>
          <w:color w:val="auto"/>
        </w:rPr>
        <w:t>250 Greenwich Street New York, New York 10007</w:t>
      </w:r>
    </w:p>
    <w:p>
      <w:pPr>
        <w:spacing w:after="0" w:line="9" w:lineRule="exact"/>
        <w:rPr>
          <w:sz w:val="24"/>
          <w:szCs w:val="24"/>
          <w:color w:val="auto"/>
        </w:rPr>
      </w:pPr>
    </w:p>
    <w:p>
      <w:pPr>
        <w:ind w:left="5572" w:hanging="428"/>
        <w:spacing w:after="0"/>
        <w:tabs>
          <w:tab w:leader="none" w:pos="5572" w:val="left"/>
        </w:tabs>
        <w:numPr>
          <w:ilvl w:val="1"/>
          <w:numId w:val="1"/>
        </w:numPr>
        <w:rPr>
          <w:rFonts w:ascii="Arial" w:cs="Arial" w:eastAsia="Arial" w:hAnsi="Arial"/>
          <w:sz w:val="18"/>
          <w:szCs w:val="18"/>
          <w:b w:val="1"/>
          <w:bCs w:val="1"/>
          <w:color w:val="auto"/>
        </w:rPr>
      </w:pPr>
      <w:r>
        <w:rPr>
          <w:rFonts w:ascii="Arial" w:cs="Arial" w:eastAsia="Arial" w:hAnsi="Arial"/>
          <w:sz w:val="18"/>
          <w:szCs w:val="18"/>
          <w:b w:val="1"/>
          <w:bCs w:val="1"/>
          <w:color w:val="auto"/>
        </w:rPr>
        <w:t>230-8800</w:t>
      </w:r>
    </w:p>
    <w:p>
      <w:pPr>
        <w:spacing w:after="0" w:line="200" w:lineRule="exact"/>
        <w:rPr>
          <w:rFonts w:ascii="Arial" w:cs="Arial" w:eastAsia="Arial" w:hAnsi="Arial"/>
          <w:sz w:val="18"/>
          <w:szCs w:val="18"/>
          <w:b w:val="1"/>
          <w:bCs w:val="1"/>
          <w:color w:val="auto"/>
        </w:rPr>
      </w:pPr>
    </w:p>
    <w:p>
      <w:pPr>
        <w:spacing w:after="0" w:line="200" w:lineRule="exact"/>
        <w:rPr>
          <w:rFonts w:ascii="Arial" w:cs="Arial" w:eastAsia="Arial" w:hAnsi="Arial"/>
          <w:sz w:val="18"/>
          <w:szCs w:val="18"/>
          <w:b w:val="1"/>
          <w:bCs w:val="1"/>
          <w:color w:val="auto"/>
        </w:rPr>
      </w:pPr>
    </w:p>
    <w:p>
      <w:pPr>
        <w:spacing w:after="0" w:line="243" w:lineRule="exact"/>
        <w:rPr>
          <w:rFonts w:ascii="Arial" w:cs="Arial" w:eastAsia="Arial" w:hAnsi="Arial"/>
          <w:sz w:val="18"/>
          <w:szCs w:val="18"/>
          <w:b w:val="1"/>
          <w:bCs w:val="1"/>
          <w:color w:val="auto"/>
        </w:rPr>
      </w:pPr>
    </w:p>
    <w:p>
      <w:pPr>
        <w:ind w:left="452" w:hanging="452"/>
        <w:spacing w:after="0" w:line="277" w:lineRule="auto"/>
        <w:tabs>
          <w:tab w:leader="none" w:pos="452"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Check the box if any part of the fee is offset as provided by Rule 0-11(a)(2) and identify the filing with which the offsetting fee was previously paid. Identify the previous filing by registration statement number, or the Form or Schedule and the date of its filing.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2864485</wp:posOffset>
            </wp:positionH>
            <wp:positionV relativeFrom="paragraph">
              <wp:posOffset>-482600</wp:posOffset>
            </wp:positionV>
            <wp:extent cx="151765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1132"/>
          </w:cols>
          <w:pgMar w:left="248" w:top="368" w:right="519" w:bottom="1042" w:gutter="0" w:footer="0" w:header="0"/>
        </w:sectPr>
      </w:pPr>
    </w:p>
    <w:p>
      <w:pPr>
        <w:spacing w:after="0" w:line="197" w:lineRule="exact"/>
        <w:rPr>
          <w:sz w:val="24"/>
          <w:szCs w:val="24"/>
          <w:color w:val="auto"/>
        </w:rPr>
      </w:pPr>
    </w:p>
    <w:p>
      <w:pPr>
        <w:ind w:left="912"/>
        <w:spacing w:after="0"/>
        <w:rPr>
          <w:sz w:val="20"/>
          <w:szCs w:val="20"/>
          <w:color w:val="auto"/>
        </w:rPr>
      </w:pPr>
      <w:r>
        <w:rPr>
          <w:rFonts w:ascii="Arial" w:cs="Arial" w:eastAsia="Arial" w:hAnsi="Arial"/>
          <w:sz w:val="18"/>
          <w:szCs w:val="18"/>
          <w:color w:val="auto"/>
        </w:rPr>
        <w:t>Amount Previously Paid: $132.00</w:t>
      </w:r>
    </w:p>
    <w:p>
      <w:pPr>
        <w:spacing w:after="0" w:line="23" w:lineRule="exact"/>
        <w:rPr>
          <w:sz w:val="24"/>
          <w:szCs w:val="24"/>
          <w:color w:val="auto"/>
        </w:rPr>
      </w:pPr>
    </w:p>
    <w:p>
      <w:pPr>
        <w:ind w:left="912"/>
        <w:spacing w:after="0"/>
        <w:rPr>
          <w:sz w:val="20"/>
          <w:szCs w:val="20"/>
          <w:color w:val="auto"/>
        </w:rPr>
      </w:pPr>
      <w:r>
        <w:rPr>
          <w:rFonts w:ascii="Arial" w:cs="Arial" w:eastAsia="Arial" w:hAnsi="Arial"/>
          <w:sz w:val="16"/>
          <w:szCs w:val="16"/>
          <w:color w:val="auto"/>
        </w:rPr>
        <w:t>Form or Registration No.: Schedule TO-I</w:t>
      </w:r>
    </w:p>
    <w:p>
      <w:pPr>
        <w:spacing w:after="0" w:line="20" w:lineRule="exact"/>
        <w:rPr>
          <w:sz w:val="24"/>
          <w:szCs w:val="24"/>
          <w:color w:val="auto"/>
        </w:rPr>
      </w:pPr>
      <w:r>
        <w:rPr>
          <w:sz w:val="24"/>
          <w:szCs w:val="24"/>
          <w:color w:val="auto"/>
        </w:rPr>
        <w:br w:type="column"/>
      </w:r>
    </w:p>
    <w:p>
      <w:pPr>
        <w:spacing w:after="0" w:line="177" w:lineRule="exact"/>
        <w:rPr>
          <w:sz w:val="24"/>
          <w:szCs w:val="24"/>
          <w:color w:val="auto"/>
        </w:rPr>
      </w:pPr>
    </w:p>
    <w:p>
      <w:pPr>
        <w:spacing w:after="0"/>
        <w:rPr>
          <w:sz w:val="20"/>
          <w:szCs w:val="20"/>
          <w:color w:val="auto"/>
        </w:rPr>
      </w:pPr>
      <w:r>
        <w:rPr>
          <w:rFonts w:ascii="Arial" w:cs="Arial" w:eastAsia="Arial" w:hAnsi="Arial"/>
          <w:sz w:val="17"/>
          <w:szCs w:val="17"/>
          <w:color w:val="auto"/>
        </w:rPr>
        <w:t>Filing party: Amdocs Limited</w:t>
      </w:r>
    </w:p>
    <w:p>
      <w:pPr>
        <w:spacing w:after="0" w:line="35" w:lineRule="exact"/>
        <w:rPr>
          <w:sz w:val="24"/>
          <w:szCs w:val="24"/>
          <w:color w:val="auto"/>
        </w:rPr>
      </w:pPr>
    </w:p>
    <w:p>
      <w:pPr>
        <w:spacing w:after="0"/>
        <w:rPr>
          <w:sz w:val="20"/>
          <w:szCs w:val="20"/>
          <w:color w:val="auto"/>
        </w:rPr>
      </w:pPr>
      <w:r>
        <w:rPr>
          <w:rFonts w:ascii="Arial" w:cs="Arial" w:eastAsia="Arial" w:hAnsi="Arial"/>
          <w:sz w:val="18"/>
          <w:szCs w:val="18"/>
          <w:color w:val="auto"/>
        </w:rPr>
        <w:t>Date filed: 3/14/2014</w:t>
      </w:r>
    </w:p>
    <w:p>
      <w:pPr>
        <w:spacing w:after="0" w:line="200" w:lineRule="exact"/>
        <w:rPr>
          <w:sz w:val="24"/>
          <w:szCs w:val="24"/>
          <w:color w:val="auto"/>
        </w:rPr>
      </w:pPr>
    </w:p>
    <w:p>
      <w:pPr>
        <w:sectPr>
          <w:pgSz w:w="11900" w:h="16838" w:orient="portrait"/>
          <w:cols w:equalWidth="0" w:num="2">
            <w:col w:w="6332" w:space="720"/>
            <w:col w:w="4080"/>
          </w:cols>
          <w:pgMar w:left="248" w:top="368" w:right="519" w:bottom="1042" w:gutter="0" w:footer="0" w:header="0"/>
          <w:type w:val="continuous"/>
        </w:sectPr>
      </w:pPr>
    </w:p>
    <w:p>
      <w:pPr>
        <w:spacing w:after="0" w:line="38" w:lineRule="exact"/>
        <w:rPr>
          <w:sz w:val="24"/>
          <w:szCs w:val="24"/>
          <w:color w:val="auto"/>
        </w:rPr>
      </w:pPr>
    </w:p>
    <w:p>
      <w:pPr>
        <w:ind w:left="452" w:hanging="452"/>
        <w:spacing w:after="0"/>
        <w:tabs>
          <w:tab w:leader="none" w:pos="452" w:val="left"/>
        </w:tabs>
        <w:numPr>
          <w:ilvl w:val="0"/>
          <w:numId w:val="2"/>
        </w:numPr>
        <w:rPr>
          <w:rFonts w:ascii="MS PGothic" w:cs="MS PGothic" w:eastAsia="MS PGothic" w:hAnsi="MS PGothic"/>
          <w:sz w:val="16"/>
          <w:szCs w:val="16"/>
          <w:color w:val="auto"/>
        </w:rPr>
      </w:pPr>
      <w:r>
        <w:rPr>
          <w:rFonts w:ascii="Arial" w:cs="Arial" w:eastAsia="Arial" w:hAnsi="Arial"/>
          <w:sz w:val="16"/>
          <w:szCs w:val="16"/>
          <w:color w:val="auto"/>
        </w:rPr>
        <w:t>Check the box if the filing relates solely to preliminary communications made before the commencement of a tender offer.</w:t>
      </w:r>
    </w:p>
    <w:p>
      <w:pPr>
        <w:spacing w:after="0" w:line="248" w:lineRule="exact"/>
        <w:rPr>
          <w:sz w:val="24"/>
          <w:szCs w:val="24"/>
          <w:color w:val="auto"/>
        </w:rPr>
      </w:pPr>
    </w:p>
    <w:p>
      <w:pPr>
        <w:ind w:left="912"/>
        <w:spacing w:after="0"/>
        <w:rPr>
          <w:sz w:val="20"/>
          <w:szCs w:val="20"/>
          <w:color w:val="auto"/>
        </w:rPr>
      </w:pPr>
      <w:r>
        <w:rPr>
          <w:rFonts w:ascii="Arial" w:cs="Arial" w:eastAsia="Arial" w:hAnsi="Arial"/>
          <w:sz w:val="18"/>
          <w:szCs w:val="18"/>
          <w:color w:val="auto"/>
        </w:rPr>
        <w:t>Check the appropriate boxes below to designate any transactions to which the statement relates:</w:t>
      </w:r>
    </w:p>
    <w:p>
      <w:pPr>
        <w:spacing w:after="0" w:line="131" w:lineRule="exact"/>
        <w:rPr>
          <w:sz w:val="24"/>
          <w:szCs w:val="24"/>
          <w:color w:val="auto"/>
        </w:rPr>
      </w:pPr>
    </w:p>
    <w:p>
      <w:pPr>
        <w:ind w:left="1472" w:right="5940"/>
        <w:spacing w:after="0" w:line="224" w:lineRule="exact"/>
        <w:tabs>
          <w:tab w:leader="none" w:pos="1918" w:val="left"/>
        </w:tabs>
        <w:numPr>
          <w:ilvl w:val="0"/>
          <w:numId w:val="3"/>
        </w:numPr>
        <w:rPr>
          <w:rFonts w:ascii="MS PGothic" w:cs="MS PGothic" w:eastAsia="MS PGothic" w:hAnsi="MS PGothic"/>
          <w:sz w:val="17"/>
          <w:szCs w:val="17"/>
          <w:color w:val="auto"/>
        </w:rPr>
      </w:pPr>
      <w:r>
        <w:rPr>
          <w:rFonts w:ascii="Arial" w:cs="Arial" w:eastAsia="Arial" w:hAnsi="Arial"/>
          <w:sz w:val="17"/>
          <w:szCs w:val="17"/>
          <w:color w:val="auto"/>
        </w:rPr>
        <w:t xml:space="preserve">third party tender offer subject to Rule 14d-1. </w:t>
      </w:r>
      <w:r>
        <w:rPr>
          <w:rFonts w:ascii="MS PGothic" w:cs="MS PGothic" w:eastAsia="MS PGothic" w:hAnsi="MS PGothic"/>
          <w:sz w:val="17"/>
          <w:szCs w:val="17"/>
          <w:color w:val="auto"/>
        </w:rPr>
        <w:t>☒</w:t>
      </w:r>
      <w:r>
        <w:rPr>
          <w:rFonts w:ascii="Arial" w:cs="Arial" w:eastAsia="Arial" w:hAnsi="Arial"/>
          <w:sz w:val="17"/>
          <w:szCs w:val="17"/>
          <w:color w:val="auto"/>
        </w:rPr>
        <w:t xml:space="preserve"> issuer tender offer subject to Rule 13e-4.</w:t>
      </w:r>
    </w:p>
    <w:p>
      <w:pPr>
        <w:ind w:left="1912" w:hanging="440"/>
        <w:spacing w:after="0"/>
        <w:tabs>
          <w:tab w:leader="none" w:pos="1912"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going-private transaction subject to Rule 13e-3.</w:t>
      </w:r>
    </w:p>
    <w:p>
      <w:pPr>
        <w:spacing w:after="0" w:line="9" w:lineRule="exact"/>
        <w:rPr>
          <w:rFonts w:ascii="MS PGothic" w:cs="MS PGothic" w:eastAsia="MS PGothic" w:hAnsi="MS PGothic"/>
          <w:sz w:val="18"/>
          <w:szCs w:val="18"/>
          <w:color w:val="auto"/>
        </w:rPr>
      </w:pPr>
    </w:p>
    <w:p>
      <w:pPr>
        <w:ind w:left="1912" w:hanging="440"/>
        <w:spacing w:after="0"/>
        <w:tabs>
          <w:tab w:leader="none" w:pos="1912"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amendment to Schedule 13D under Rule 13d-2.</w:t>
      </w:r>
    </w:p>
    <w:p>
      <w:pPr>
        <w:spacing w:after="0" w:line="68" w:lineRule="exact"/>
        <w:rPr>
          <w:sz w:val="24"/>
          <w:szCs w:val="24"/>
          <w:color w:val="auto"/>
        </w:rPr>
      </w:pPr>
    </w:p>
    <w:p>
      <w:pPr>
        <w:ind w:left="912"/>
        <w:spacing w:after="0" w:line="207" w:lineRule="exact"/>
        <w:rPr>
          <w:sz w:val="20"/>
          <w:szCs w:val="20"/>
          <w:color w:val="auto"/>
        </w:rPr>
      </w:pPr>
      <w:r>
        <w:rPr>
          <w:rFonts w:ascii="Arial" w:cs="Arial" w:eastAsia="Arial" w:hAnsi="Arial"/>
          <w:sz w:val="18"/>
          <w:szCs w:val="18"/>
          <w:color w:val="auto"/>
        </w:rPr>
        <w:t xml:space="preserve">Check the following box if the filing is a final amendment reporting the results of the tender offer: </w:t>
      </w:r>
      <w:r>
        <w:rPr>
          <w:rFonts w:ascii="MS PGothic" w:cs="MS PGothic" w:eastAsia="MS PGothic" w:hAnsi="MS PGothic"/>
          <w:sz w:val="18"/>
          <w:szCs w:val="18"/>
          <w:color w:val="auto"/>
        </w:rPr>
        <w:t>☒</w:t>
      </w:r>
    </w:p>
    <w:p>
      <w:pPr>
        <w:spacing w:after="0" w:line="258" w:lineRule="exact"/>
        <w:rPr>
          <w:sz w:val="24"/>
          <w:szCs w:val="24"/>
          <w:color w:val="auto"/>
        </w:rPr>
      </w:pPr>
    </w:p>
    <w:p>
      <w:pPr>
        <w:ind w:left="912"/>
        <w:spacing w:after="0"/>
        <w:rPr>
          <w:sz w:val="20"/>
          <w:szCs w:val="20"/>
          <w:color w:val="auto"/>
        </w:rPr>
      </w:pPr>
      <w:r>
        <w:rPr>
          <w:rFonts w:ascii="Arial" w:cs="Arial" w:eastAsia="Arial" w:hAnsi="Arial"/>
          <w:sz w:val="17"/>
          <w:szCs w:val="17"/>
          <w:color w:val="auto"/>
        </w:rPr>
        <w:t>If applicable, check the appropriate box(es) below to designate the appropriate rule provision(s) relied upon:</w:t>
      </w:r>
    </w:p>
    <w:p>
      <w:pPr>
        <w:spacing w:after="0" w:line="142" w:lineRule="exact"/>
        <w:rPr>
          <w:sz w:val="24"/>
          <w:szCs w:val="24"/>
          <w:color w:val="auto"/>
        </w:rPr>
      </w:pPr>
    </w:p>
    <w:p>
      <w:pPr>
        <w:ind w:left="1912" w:hanging="440"/>
        <w:spacing w:after="0"/>
        <w:tabs>
          <w:tab w:leader="none" w:pos="1912"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Rule 13e-4(i) (Cross-Border Issuer Tender Offer)</w:t>
      </w:r>
    </w:p>
    <w:p>
      <w:pPr>
        <w:spacing w:after="0" w:line="25" w:lineRule="exact"/>
        <w:rPr>
          <w:rFonts w:ascii="MS PGothic" w:cs="MS PGothic" w:eastAsia="MS PGothic" w:hAnsi="MS PGothic"/>
          <w:sz w:val="18"/>
          <w:szCs w:val="18"/>
          <w:color w:val="auto"/>
        </w:rPr>
      </w:pPr>
    </w:p>
    <w:p>
      <w:pPr>
        <w:ind w:left="1912" w:hanging="440"/>
        <w:spacing w:after="0"/>
        <w:tabs>
          <w:tab w:leader="none" w:pos="1912"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Rule 14d-1(d) (Cross-Border Third-Party Tender Offer)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167640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210820</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132"/>
          </w:cols>
          <w:pgMar w:left="248" w:top="368" w:right="519" w:bottom="1042" w:gutter="0" w:footer="0" w:header="0"/>
          <w:type w:val="continuous"/>
        </w:sectPr>
      </w:pPr>
    </w:p>
    <w:bookmarkStart w:id="1" w:name="page2"/>
    <w:bookmarkEnd w:id="1"/>
    <w:p>
      <w:pPr>
        <w:jc w:val="center"/>
        <w:ind w:right="-9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INTRODUCTORY STATEMENT TO AMENDMENT NO. 2</w:t>
      </w:r>
    </w:p>
    <w:p>
      <w:pPr>
        <w:spacing w:after="0" w:line="229"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This Amendment No. 2 amends and supplements the Tender Offer Statement on Schedule TO-I filed by Amdocs Limited, a company organized under the laws of the Island of Guernsey (“Amdocs”), with the Securities and Exchange Commission on March 14, 2014, as amended and supplemented on March 28, 2014 (the “Schedule TO”), relating to an offer to purchase for cash, on the terms and subject to the conditions set forth in the Notice of Put Right and Offer to Purchase, dated March 14, 2014 (as it may be supplemented or amended from time to time, the “Offer to Purchase”), and the related Letter of Transmittal (as it may be supplemented or amended from time to time, the “Letter of Transmittal”), any and all of its outstanding 0.50% Convertible Senior Notes due 2024 (the “Notes”). Copies of the Offer to Purchase and the Letter of Transmittal were previously filed as Exhibits (a)(1)(i) and (a)(1)(ii), respectively, to the Schedule TO.</w:t>
      </w:r>
    </w:p>
    <w:p>
      <w:pPr>
        <w:spacing w:after="0" w:line="189" w:lineRule="exact"/>
        <w:rPr>
          <w:sz w:val="20"/>
          <w:szCs w:val="20"/>
          <w:color w:val="auto"/>
        </w:rPr>
      </w:pPr>
    </w:p>
    <w:p>
      <w:pPr>
        <w:ind w:left="460"/>
        <w:spacing w:after="0"/>
        <w:rPr>
          <w:sz w:val="20"/>
          <w:szCs w:val="20"/>
          <w:color w:val="auto"/>
        </w:rPr>
      </w:pPr>
      <w:r>
        <w:rPr>
          <w:rFonts w:ascii="Arial" w:cs="Arial" w:eastAsia="Arial" w:hAnsi="Arial"/>
          <w:sz w:val="16"/>
          <w:szCs w:val="16"/>
          <w:color w:val="auto"/>
        </w:rPr>
        <w:t>Capitalized terms used in this amendment and not otherwise defined herein have the meanings given to them in the Offer to Purchase and the Schedule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TO.</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w:t>
      </w:r>
      <w:r>
        <w:rPr>
          <w:rFonts w:ascii="Arial" w:cs="Arial" w:eastAsia="Arial" w:hAnsi="Arial"/>
          <w:sz w:val="18"/>
          <w:szCs w:val="18"/>
          <w:b w:val="1"/>
          <w:bCs w:val="1"/>
          <w:i w:val="1"/>
          <w:iCs w:val="1"/>
          <w:color w:val="auto"/>
        </w:rPr>
        <w:t>Summary Term Sheet</w:t>
      </w:r>
      <w:r>
        <w:rPr>
          <w:rFonts w:ascii="Arial" w:cs="Arial" w:eastAsia="Arial" w:hAnsi="Arial"/>
          <w:sz w:val="18"/>
          <w:szCs w:val="18"/>
          <w:b w:val="1"/>
          <w:bCs w:val="1"/>
          <w:color w:val="auto"/>
        </w:rPr>
        <w:t xml:space="preserve">, Item 4 – </w:t>
      </w:r>
      <w:r>
        <w:rPr>
          <w:rFonts w:ascii="Arial" w:cs="Arial" w:eastAsia="Arial" w:hAnsi="Arial"/>
          <w:sz w:val="18"/>
          <w:szCs w:val="18"/>
          <w:b w:val="1"/>
          <w:bCs w:val="1"/>
          <w:i w:val="1"/>
          <w:iCs w:val="1"/>
          <w:color w:val="auto"/>
        </w:rPr>
        <w:t>Terms of the Transaction</w:t>
      </w:r>
      <w:r>
        <w:rPr>
          <w:rFonts w:ascii="Arial" w:cs="Arial" w:eastAsia="Arial" w:hAnsi="Arial"/>
          <w:sz w:val="18"/>
          <w:szCs w:val="18"/>
          <w:b w:val="1"/>
          <w:bCs w:val="1"/>
          <w:color w:val="auto"/>
        </w:rPr>
        <w:t xml:space="preserve"> and Item 11 – </w:t>
      </w:r>
      <w:r>
        <w:rPr>
          <w:rFonts w:ascii="Arial" w:cs="Arial" w:eastAsia="Arial" w:hAnsi="Arial"/>
          <w:sz w:val="18"/>
          <w:szCs w:val="18"/>
          <w:b w:val="1"/>
          <w:bCs w:val="1"/>
          <w:i w:val="1"/>
          <w:iCs w:val="1"/>
          <w:color w:val="auto"/>
        </w:rPr>
        <w:t>Additional Information</w:t>
      </w:r>
      <w:r>
        <w:rPr>
          <w:rFonts w:ascii="Arial" w:cs="Arial" w:eastAsia="Arial" w:hAnsi="Arial"/>
          <w:sz w:val="18"/>
          <w:szCs w:val="18"/>
          <w:b w:val="1"/>
          <w:bCs w:val="1"/>
          <w:color w:val="auto"/>
        </w:rPr>
        <w:t>.</w:t>
      </w:r>
    </w:p>
    <w:p>
      <w:pPr>
        <w:spacing w:after="0" w:line="121" w:lineRule="exact"/>
        <w:rPr>
          <w:sz w:val="20"/>
          <w:szCs w:val="20"/>
          <w:color w:val="auto"/>
        </w:rPr>
      </w:pPr>
    </w:p>
    <w:p>
      <w:pPr>
        <w:ind w:right="360" w:firstLine="456"/>
        <w:spacing w:after="0" w:line="277" w:lineRule="auto"/>
        <w:rPr>
          <w:sz w:val="20"/>
          <w:szCs w:val="20"/>
          <w:color w:val="auto"/>
        </w:rPr>
      </w:pPr>
      <w:r>
        <w:rPr>
          <w:rFonts w:ascii="Arial" w:cs="Arial" w:eastAsia="Arial" w:hAnsi="Arial"/>
          <w:sz w:val="18"/>
          <w:szCs w:val="18"/>
          <w:color w:val="auto"/>
        </w:rPr>
        <w:t>Items 1, 4 and 11 of the Schedule TO and the sections of the Offer to Purchase referred to in such Items are hereby amended and supplemented by adding the following:</w:t>
      </w:r>
    </w:p>
    <w:p>
      <w:pPr>
        <w:spacing w:after="0" w:line="170" w:lineRule="exact"/>
        <w:rPr>
          <w:sz w:val="20"/>
          <w:szCs w:val="20"/>
          <w:color w:val="auto"/>
        </w:rPr>
      </w:pPr>
    </w:p>
    <w:p>
      <w:pPr>
        <w:ind w:right="20" w:firstLine="456"/>
        <w:spacing w:after="0" w:line="342" w:lineRule="auto"/>
        <w:rPr>
          <w:sz w:val="20"/>
          <w:szCs w:val="20"/>
          <w:color w:val="auto"/>
        </w:rPr>
      </w:pPr>
      <w:r>
        <w:rPr>
          <w:rFonts w:ascii="Arial" w:cs="Arial" w:eastAsia="Arial" w:hAnsi="Arial"/>
          <w:sz w:val="16"/>
          <w:szCs w:val="16"/>
          <w:color w:val="auto"/>
        </w:rPr>
        <w:t>“On April 11, 2014, Amdocs issued a press release announcing that it had extended the tender offer until 5:00 p.m., Eastern time, on April 14, 2014. A copy of this press release is filed as Exhibit (a)(5)(ii) to Amendment No. 2 to the Schedule TO and is incorporated by reference into the Schedule TO.”</w:t>
      </w:r>
    </w:p>
    <w:p>
      <w:pPr>
        <w:spacing w:after="0" w:line="268"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12.</w:t>
      </w:r>
      <w:r>
        <w:rPr>
          <w:sz w:val="20"/>
          <w:szCs w:val="20"/>
          <w:color w:val="auto"/>
        </w:rPr>
        <w:tab/>
      </w:r>
      <w:r>
        <w:rPr>
          <w:rFonts w:ascii="Arial" w:cs="Arial" w:eastAsia="Arial" w:hAnsi="Arial"/>
          <w:sz w:val="15"/>
          <w:szCs w:val="15"/>
          <w:b w:val="1"/>
          <w:bCs w:val="1"/>
          <w:i w:val="1"/>
          <w:iCs w:val="1"/>
          <w:color w:val="auto"/>
        </w:rPr>
        <w:t>Exhibits.</w:t>
      </w:r>
    </w:p>
    <w:p>
      <w:pPr>
        <w:spacing w:after="0" w:line="121" w:lineRule="exact"/>
        <w:rPr>
          <w:sz w:val="20"/>
          <w:szCs w:val="20"/>
          <w:color w:val="auto"/>
        </w:rPr>
      </w:pPr>
    </w:p>
    <w:p>
      <w:pPr>
        <w:ind w:right="460" w:firstLine="456"/>
        <w:spacing w:after="0" w:line="277" w:lineRule="auto"/>
        <w:rPr>
          <w:sz w:val="20"/>
          <w:szCs w:val="20"/>
          <w:color w:val="auto"/>
        </w:rPr>
      </w:pPr>
      <w:r>
        <w:rPr>
          <w:rFonts w:ascii="Arial" w:cs="Arial" w:eastAsia="Arial" w:hAnsi="Arial"/>
          <w:sz w:val="18"/>
          <w:szCs w:val="18"/>
          <w:color w:val="auto"/>
        </w:rPr>
        <w:t>The information set forth in Item 12 is hereby amended and supplemented by adding immediately following the reference to Exhibit (a)(5)(i) the following:</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“(a)(5)(ii) Press Release Regarding Extension of Offer, dated April 11, 2014.”</w:t>
      </w:r>
    </w:p>
    <w:p>
      <w:pPr>
        <w:spacing w:after="0" w:line="158"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40"/>
          </w:cols>
          <w:pgMar w:left="240" w:top="270" w:right="319" w:bottom="1440" w:gutter="0" w:footer="0" w:header="0"/>
        </w:sectPr>
      </w:pPr>
    </w:p>
    <w:bookmarkStart w:id="2" w:name="page3"/>
    <w:bookmarkEnd w:id="2"/>
    <w:p>
      <w:pPr>
        <w:jc w:val="center"/>
        <w:ind w:right="-39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After due inquiry and to the best of my knowledge and belief, I certify that the information set forth in this Statement is true, complete and correct.</w:t>
      </w:r>
    </w:p>
    <w:p>
      <w:pPr>
        <w:spacing w:after="0" w:line="27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w:t>
      </w:r>
      <w:r>
        <w:rPr>
          <w:rFonts w:ascii="Arial" w:cs="Arial" w:eastAsia="Arial" w:hAnsi="Arial"/>
          <w:sz w:val="15"/>
          <w:szCs w:val="15"/>
          <w:color w:val="auto"/>
        </w:rPr>
        <w:t>MDOCS</w:t>
      </w:r>
      <w:r>
        <w:rPr>
          <w:rFonts w:ascii="Arial" w:cs="Arial" w:eastAsia="Arial" w:hAnsi="Arial"/>
          <w:sz w:val="18"/>
          <w:szCs w:val="18"/>
          <w:color w:val="auto"/>
        </w:rPr>
        <w:t xml:space="preserve"> L</w:t>
      </w:r>
      <w:r>
        <w:rPr>
          <w:rFonts w:ascii="Arial" w:cs="Arial" w:eastAsia="Arial" w:hAnsi="Arial"/>
          <w:sz w:val="15"/>
          <w:szCs w:val="15"/>
          <w:color w:val="auto"/>
        </w:rPr>
        <w:t>IMITED</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Elizabeth W. McDermon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4558665</wp:posOffset>
            </wp:positionH>
            <wp:positionV relativeFrom="paragraph">
              <wp:posOffset>14605</wp:posOffset>
            </wp:positionV>
            <wp:extent cx="269303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16" w:lineRule="exact"/>
        <w:rPr>
          <w:sz w:val="20"/>
          <w:szCs w:val="20"/>
          <w:color w:val="auto"/>
        </w:rPr>
      </w:pPr>
    </w:p>
    <w:p>
      <w:pPr>
        <w:ind w:left="7180"/>
        <w:spacing w:after="0"/>
        <w:rPr>
          <w:sz w:val="20"/>
          <w:szCs w:val="20"/>
          <w:color w:val="auto"/>
        </w:rPr>
      </w:pPr>
      <w:r>
        <w:rPr>
          <w:rFonts w:ascii="Arial" w:cs="Arial" w:eastAsia="Arial" w:hAnsi="Arial"/>
          <w:sz w:val="18"/>
          <w:szCs w:val="18"/>
          <w:color w:val="auto"/>
        </w:rPr>
        <w:t>Elizabeth W. McDermon</w:t>
      </w:r>
    </w:p>
    <w:p>
      <w:pPr>
        <w:spacing w:after="0" w:line="23" w:lineRule="exact"/>
        <w:rPr>
          <w:sz w:val="20"/>
          <w:szCs w:val="20"/>
          <w:color w:val="auto"/>
        </w:rPr>
      </w:pPr>
    </w:p>
    <w:p>
      <w:pPr>
        <w:ind w:left="7180"/>
        <w:spacing w:after="0"/>
        <w:rPr>
          <w:sz w:val="20"/>
          <w:szCs w:val="20"/>
          <w:color w:val="auto"/>
        </w:rPr>
      </w:pPr>
      <w:r>
        <w:rPr>
          <w:rFonts w:ascii="Arial" w:cs="Arial" w:eastAsia="Arial" w:hAnsi="Arial"/>
          <w:sz w:val="18"/>
          <w:szCs w:val="18"/>
          <w:i w:val="1"/>
          <w:iCs w:val="1"/>
          <w:color w:val="auto"/>
        </w:rPr>
        <w:t>Secretary and Authorized Signatory</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April 11, 2014</w:t>
      </w:r>
    </w:p>
    <w:p>
      <w:pPr>
        <w:spacing w:after="0" w:line="158"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040"/>
          </w:cols>
          <w:pgMar w:left="240" w:top="270" w:right="61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4"/>
        </w:trPr>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0" w:type="dxa"/>
            <w:vAlign w:val="bottom"/>
            <w:gridSpan w:val="3"/>
          </w:tcPr>
          <w:p>
            <w:pPr>
              <w:ind w:left="4120"/>
              <w:spacing w:after="0"/>
              <w:rPr>
                <w:sz w:val="20"/>
                <w:szCs w:val="20"/>
                <w:color w:val="auto"/>
              </w:rPr>
            </w:pPr>
            <w:r>
              <w:rPr>
                <w:rFonts w:ascii="Arial" w:cs="Arial" w:eastAsia="Arial" w:hAnsi="Arial"/>
                <w:sz w:val="18"/>
                <w:szCs w:val="18"/>
                <w:b w:val="1"/>
                <w:bCs w:val="1"/>
                <w:color w:val="auto"/>
              </w:rPr>
              <w:t>EXHIBIT INDEX</w:t>
            </w:r>
          </w:p>
        </w:tc>
        <w:tc>
          <w:tcPr>
            <w:tcW w:w="0" w:type="dxa"/>
            <w:vAlign w:val="bottom"/>
          </w:tcPr>
          <w:p>
            <w:pPr>
              <w:spacing w:after="0"/>
              <w:rPr>
                <w:sz w:val="1"/>
                <w:szCs w:val="1"/>
                <w:color w:val="auto"/>
              </w:rPr>
            </w:pPr>
          </w:p>
        </w:tc>
      </w:tr>
      <w:tr>
        <w:trPr>
          <w:trHeight w:val="369"/>
        </w:trPr>
        <w:tc>
          <w:tcPr>
            <w:tcW w:w="100" w:type="dxa"/>
            <w:vAlign w:val="bottom"/>
          </w:tcPr>
          <w:p>
            <w:pPr>
              <w:spacing w:after="0"/>
              <w:rPr>
                <w:sz w:val="24"/>
                <w:szCs w:val="24"/>
                <w:color w:val="auto"/>
              </w:rPr>
            </w:pPr>
          </w:p>
        </w:tc>
        <w:tc>
          <w:tcPr>
            <w:tcW w:w="8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8"/>
              </w:rPr>
              <w:t>Exhibit</w:t>
            </w:r>
          </w:p>
        </w:tc>
        <w:tc>
          <w:tcPr>
            <w:tcW w:w="50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100" w:type="dxa"/>
            <w:vAlign w:val="bottom"/>
          </w:tcPr>
          <w:p>
            <w:pPr>
              <w:spacing w:after="0"/>
              <w:rPr>
                <w:sz w:val="14"/>
                <w:szCs w:val="14"/>
                <w:color w:val="auto"/>
              </w:rPr>
            </w:pPr>
          </w:p>
        </w:tc>
        <w:tc>
          <w:tcPr>
            <w:tcW w:w="800" w:type="dxa"/>
            <w:vAlign w:val="bottom"/>
            <w:gridSpan w:val="2"/>
          </w:tcPr>
          <w:p>
            <w:pPr>
              <w:jc w:val="center"/>
              <w:ind w:right="300"/>
              <w:spacing w:after="0" w:line="151" w:lineRule="exact"/>
              <w:rPr>
                <w:sz w:val="20"/>
                <w:szCs w:val="20"/>
                <w:color w:val="auto"/>
              </w:rPr>
            </w:pPr>
            <w:r>
              <w:rPr>
                <w:rFonts w:ascii="Arial" w:cs="Arial" w:eastAsia="Arial" w:hAnsi="Arial"/>
                <w:sz w:val="14"/>
                <w:szCs w:val="14"/>
                <w:b w:val="1"/>
                <w:bCs w:val="1"/>
                <w:color w:val="auto"/>
                <w:w w:val="94"/>
              </w:rPr>
              <w:t>Number</w:t>
            </w:r>
          </w:p>
        </w:tc>
        <w:tc>
          <w:tcPr>
            <w:tcW w:w="10400" w:type="dxa"/>
            <w:vAlign w:val="bottom"/>
            <w:gridSpan w:val="3"/>
          </w:tcPr>
          <w:p>
            <w:pPr>
              <w:ind w:left="5020"/>
              <w:spacing w:after="0" w:line="151" w:lineRule="exact"/>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900" w:type="dxa"/>
            <w:vAlign w:val="bottom"/>
            <w:gridSpan w:val="3"/>
            <w:vMerge w:val="restart"/>
          </w:tcPr>
          <w:p>
            <w:pPr>
              <w:spacing w:after="0"/>
              <w:rPr>
                <w:sz w:val="20"/>
                <w:szCs w:val="20"/>
                <w:color w:val="auto"/>
              </w:rPr>
            </w:pPr>
            <w:r>
              <w:rPr>
                <w:rFonts w:ascii="Arial" w:cs="Arial" w:eastAsia="Arial" w:hAnsi="Arial"/>
                <w:sz w:val="18"/>
                <w:szCs w:val="18"/>
                <w:color w:val="auto"/>
              </w:rPr>
              <w:t>(a)(1)(i)</w:t>
            </w:r>
          </w:p>
        </w:tc>
        <w:tc>
          <w:tcPr>
            <w:tcW w:w="50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900" w:type="dxa"/>
            <w:vAlign w:val="bottom"/>
            <w:gridSpan w:val="3"/>
            <w:vMerge w:val="continue"/>
          </w:tcPr>
          <w:p>
            <w:pPr>
              <w:spacing w:after="0"/>
              <w:rPr>
                <w:sz w:val="18"/>
                <w:szCs w:val="18"/>
                <w:color w:val="auto"/>
              </w:rPr>
            </w:pPr>
          </w:p>
        </w:tc>
        <w:tc>
          <w:tcPr>
            <w:tcW w:w="5720" w:type="dxa"/>
            <w:vAlign w:val="bottom"/>
            <w:gridSpan w:val="2"/>
          </w:tcPr>
          <w:p>
            <w:pPr>
              <w:ind w:left="220"/>
              <w:spacing w:after="0"/>
              <w:rPr>
                <w:sz w:val="20"/>
                <w:szCs w:val="20"/>
                <w:color w:val="auto"/>
              </w:rPr>
            </w:pPr>
            <w:r>
              <w:rPr>
                <w:rFonts w:ascii="Arial" w:cs="Arial" w:eastAsia="Arial" w:hAnsi="Arial"/>
                <w:sz w:val="18"/>
                <w:szCs w:val="18"/>
                <w:color w:val="auto"/>
              </w:rPr>
              <w:t>Notice of Put Right and Offer to Purchase, dated March 14, 2014.*</w:t>
            </w:r>
          </w:p>
        </w:tc>
        <w:tc>
          <w:tcPr>
            <w:tcW w:w="4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10"/>
        </w:trPr>
        <w:tc>
          <w:tcPr>
            <w:tcW w:w="900" w:type="dxa"/>
            <w:vAlign w:val="bottom"/>
            <w:gridSpan w:val="3"/>
          </w:tcPr>
          <w:p>
            <w:pPr>
              <w:spacing w:after="0"/>
              <w:rPr>
                <w:sz w:val="20"/>
                <w:szCs w:val="20"/>
                <w:color w:val="auto"/>
              </w:rPr>
            </w:pPr>
            <w:r>
              <w:rPr>
                <w:rFonts w:ascii="Arial" w:cs="Arial" w:eastAsia="Arial" w:hAnsi="Arial"/>
                <w:sz w:val="18"/>
                <w:szCs w:val="18"/>
                <w:color w:val="auto"/>
              </w:rPr>
              <w:t>(a)(1)(ii)</w:t>
            </w:r>
          </w:p>
        </w:tc>
        <w:tc>
          <w:tcPr>
            <w:tcW w:w="10400" w:type="dxa"/>
            <w:vAlign w:val="bottom"/>
            <w:gridSpan w:val="3"/>
          </w:tcPr>
          <w:p>
            <w:pPr>
              <w:ind w:left="220"/>
              <w:spacing w:after="0"/>
              <w:rPr>
                <w:sz w:val="20"/>
                <w:szCs w:val="20"/>
                <w:color w:val="auto"/>
              </w:rPr>
            </w:pPr>
            <w:r>
              <w:rPr>
                <w:rFonts w:ascii="Arial" w:cs="Arial" w:eastAsia="Arial" w:hAnsi="Arial"/>
                <w:sz w:val="18"/>
                <w:szCs w:val="18"/>
                <w:color w:val="auto"/>
              </w:rPr>
              <w:t>Letter of Transmittal, dated March 14, 2014.*</w:t>
            </w:r>
          </w:p>
        </w:tc>
        <w:tc>
          <w:tcPr>
            <w:tcW w:w="0" w:type="dxa"/>
            <w:vAlign w:val="bottom"/>
          </w:tcPr>
          <w:p>
            <w:pPr>
              <w:spacing w:after="0"/>
              <w:rPr>
                <w:sz w:val="1"/>
                <w:szCs w:val="1"/>
                <w:color w:val="auto"/>
              </w:rPr>
            </w:pPr>
          </w:p>
        </w:tc>
      </w:tr>
      <w:tr>
        <w:trPr>
          <w:trHeight w:val="324"/>
        </w:trPr>
        <w:tc>
          <w:tcPr>
            <w:tcW w:w="900" w:type="dxa"/>
            <w:vAlign w:val="bottom"/>
            <w:gridSpan w:val="3"/>
          </w:tcPr>
          <w:p>
            <w:pPr>
              <w:spacing w:after="0"/>
              <w:rPr>
                <w:sz w:val="20"/>
                <w:szCs w:val="20"/>
                <w:color w:val="auto"/>
              </w:rPr>
            </w:pPr>
            <w:r>
              <w:rPr>
                <w:rFonts w:ascii="Arial" w:cs="Arial" w:eastAsia="Arial" w:hAnsi="Arial"/>
                <w:sz w:val="18"/>
                <w:szCs w:val="18"/>
                <w:color w:val="auto"/>
              </w:rPr>
              <w:t>(a)(1)(iii)</w:t>
            </w:r>
          </w:p>
        </w:tc>
        <w:tc>
          <w:tcPr>
            <w:tcW w:w="10400" w:type="dxa"/>
            <w:vAlign w:val="bottom"/>
            <w:gridSpan w:val="3"/>
          </w:tcPr>
          <w:p>
            <w:pPr>
              <w:ind w:left="220"/>
              <w:spacing w:after="0"/>
              <w:rPr>
                <w:sz w:val="20"/>
                <w:szCs w:val="20"/>
                <w:color w:val="auto"/>
              </w:rPr>
            </w:pPr>
            <w:r>
              <w:rPr>
                <w:rFonts w:ascii="Arial" w:cs="Arial" w:eastAsia="Arial" w:hAnsi="Arial"/>
                <w:sz w:val="18"/>
                <w:szCs w:val="18"/>
                <w:color w:val="auto"/>
              </w:rPr>
              <w:t>Letter to Clients, dated March 14, 2014.*</w:t>
            </w:r>
          </w:p>
        </w:tc>
        <w:tc>
          <w:tcPr>
            <w:tcW w:w="0" w:type="dxa"/>
            <w:vAlign w:val="bottom"/>
          </w:tcPr>
          <w:p>
            <w:pPr>
              <w:spacing w:after="0"/>
              <w:rPr>
                <w:sz w:val="1"/>
                <w:szCs w:val="1"/>
                <w:color w:val="auto"/>
              </w:rPr>
            </w:pPr>
          </w:p>
        </w:tc>
      </w:tr>
      <w:tr>
        <w:trPr>
          <w:trHeight w:val="324"/>
        </w:trPr>
        <w:tc>
          <w:tcPr>
            <w:tcW w:w="900" w:type="dxa"/>
            <w:vAlign w:val="bottom"/>
            <w:gridSpan w:val="3"/>
          </w:tcPr>
          <w:p>
            <w:pPr>
              <w:spacing w:after="0"/>
              <w:rPr>
                <w:sz w:val="20"/>
                <w:szCs w:val="20"/>
                <w:color w:val="auto"/>
              </w:rPr>
            </w:pPr>
            <w:r>
              <w:rPr>
                <w:rFonts w:ascii="Arial" w:cs="Arial" w:eastAsia="Arial" w:hAnsi="Arial"/>
                <w:sz w:val="18"/>
                <w:szCs w:val="18"/>
                <w:color w:val="auto"/>
              </w:rPr>
              <w:t>(a)(1)(iv)</w:t>
            </w:r>
          </w:p>
        </w:tc>
        <w:tc>
          <w:tcPr>
            <w:tcW w:w="10400" w:type="dxa"/>
            <w:vAlign w:val="bottom"/>
            <w:gridSpan w:val="3"/>
          </w:tcPr>
          <w:p>
            <w:pPr>
              <w:ind w:left="220"/>
              <w:spacing w:after="0"/>
              <w:rPr>
                <w:sz w:val="20"/>
                <w:szCs w:val="20"/>
                <w:color w:val="auto"/>
              </w:rPr>
            </w:pPr>
            <w:r>
              <w:rPr>
                <w:rFonts w:ascii="Arial" w:cs="Arial" w:eastAsia="Arial" w:hAnsi="Arial"/>
                <w:sz w:val="18"/>
                <w:szCs w:val="18"/>
                <w:color w:val="auto"/>
              </w:rPr>
              <w:t>Letter to Brokers, Dealers, Commercial Banks, Trust Companies and Other Nominees, dated March 14, 2014.*</w:t>
            </w:r>
          </w:p>
        </w:tc>
        <w:tc>
          <w:tcPr>
            <w:tcW w:w="0" w:type="dxa"/>
            <w:vAlign w:val="bottom"/>
          </w:tcPr>
          <w:p>
            <w:pPr>
              <w:spacing w:after="0"/>
              <w:rPr>
                <w:sz w:val="1"/>
                <w:szCs w:val="1"/>
                <w:color w:val="auto"/>
              </w:rPr>
            </w:pPr>
          </w:p>
        </w:tc>
      </w:tr>
      <w:tr>
        <w:trPr>
          <w:trHeight w:val="324"/>
        </w:trPr>
        <w:tc>
          <w:tcPr>
            <w:tcW w:w="900" w:type="dxa"/>
            <w:vAlign w:val="bottom"/>
            <w:gridSpan w:val="3"/>
          </w:tcPr>
          <w:p>
            <w:pPr>
              <w:spacing w:after="0"/>
              <w:rPr>
                <w:sz w:val="20"/>
                <w:szCs w:val="20"/>
                <w:color w:val="auto"/>
              </w:rPr>
            </w:pPr>
            <w:r>
              <w:rPr>
                <w:rFonts w:ascii="Arial" w:cs="Arial" w:eastAsia="Arial" w:hAnsi="Arial"/>
                <w:sz w:val="18"/>
                <w:szCs w:val="18"/>
                <w:color w:val="auto"/>
              </w:rPr>
              <w:t>(a)(5)(i)</w:t>
            </w:r>
          </w:p>
        </w:tc>
        <w:tc>
          <w:tcPr>
            <w:tcW w:w="10400" w:type="dxa"/>
            <w:vAlign w:val="bottom"/>
            <w:gridSpan w:val="3"/>
          </w:tcPr>
          <w:p>
            <w:pPr>
              <w:ind w:left="220"/>
              <w:spacing w:after="0"/>
              <w:rPr>
                <w:sz w:val="20"/>
                <w:szCs w:val="20"/>
                <w:color w:val="auto"/>
              </w:rPr>
            </w:pPr>
            <w:r>
              <w:rPr>
                <w:rFonts w:ascii="Arial" w:cs="Arial" w:eastAsia="Arial" w:hAnsi="Arial"/>
                <w:sz w:val="18"/>
                <w:szCs w:val="18"/>
                <w:color w:val="auto"/>
              </w:rPr>
              <w:t>Press Release Regarding Offer, dated March 14, 2014.*</w:t>
            </w:r>
          </w:p>
        </w:tc>
        <w:tc>
          <w:tcPr>
            <w:tcW w:w="0" w:type="dxa"/>
            <w:vAlign w:val="bottom"/>
          </w:tcPr>
          <w:p>
            <w:pPr>
              <w:spacing w:after="0"/>
              <w:rPr>
                <w:sz w:val="1"/>
                <w:szCs w:val="1"/>
                <w:color w:val="auto"/>
              </w:rPr>
            </w:pPr>
          </w:p>
        </w:tc>
      </w:tr>
      <w:tr>
        <w:trPr>
          <w:trHeight w:val="324"/>
        </w:trPr>
        <w:tc>
          <w:tcPr>
            <w:tcW w:w="900" w:type="dxa"/>
            <w:vAlign w:val="bottom"/>
            <w:gridSpan w:val="3"/>
          </w:tcPr>
          <w:p>
            <w:pPr>
              <w:spacing w:after="0"/>
              <w:rPr>
                <w:sz w:val="20"/>
                <w:szCs w:val="20"/>
                <w:color w:val="auto"/>
              </w:rPr>
            </w:pPr>
            <w:r>
              <w:rPr>
                <w:rFonts w:ascii="Arial" w:cs="Arial" w:eastAsia="Arial" w:hAnsi="Arial"/>
                <w:sz w:val="18"/>
                <w:szCs w:val="18"/>
                <w:color w:val="auto"/>
              </w:rPr>
              <w:t>(a)(5)(ii)</w:t>
            </w:r>
          </w:p>
        </w:tc>
        <w:tc>
          <w:tcPr>
            <w:tcW w:w="10400" w:type="dxa"/>
            <w:vAlign w:val="bottom"/>
            <w:gridSpan w:val="3"/>
          </w:tcPr>
          <w:p>
            <w:pPr>
              <w:ind w:left="220"/>
              <w:spacing w:after="0"/>
              <w:rPr>
                <w:sz w:val="20"/>
                <w:szCs w:val="20"/>
                <w:color w:val="auto"/>
              </w:rPr>
            </w:pPr>
            <w:r>
              <w:rPr>
                <w:rFonts w:ascii="Arial" w:cs="Arial" w:eastAsia="Arial" w:hAnsi="Arial"/>
                <w:sz w:val="18"/>
                <w:szCs w:val="18"/>
                <w:color w:val="auto"/>
              </w:rPr>
              <w:t>Press Release Regarding Extension of Offer, dated April 11, 2014.</w:t>
            </w:r>
          </w:p>
        </w:tc>
        <w:tc>
          <w:tcPr>
            <w:tcW w:w="0" w:type="dxa"/>
            <w:vAlign w:val="bottom"/>
          </w:tcPr>
          <w:p>
            <w:pPr>
              <w:spacing w:after="0"/>
              <w:rPr>
                <w:sz w:val="1"/>
                <w:szCs w:val="1"/>
                <w:color w:val="auto"/>
              </w:rPr>
            </w:pPr>
          </w:p>
        </w:tc>
      </w:tr>
      <w:tr>
        <w:trPr>
          <w:trHeight w:val="310"/>
        </w:trPr>
        <w:tc>
          <w:tcPr>
            <w:tcW w:w="900" w:type="dxa"/>
            <w:vAlign w:val="bottom"/>
            <w:gridSpan w:val="3"/>
          </w:tcPr>
          <w:p>
            <w:pPr>
              <w:spacing w:after="0"/>
              <w:rPr>
                <w:sz w:val="20"/>
                <w:szCs w:val="20"/>
                <w:color w:val="auto"/>
              </w:rPr>
            </w:pPr>
            <w:r>
              <w:rPr>
                <w:rFonts w:ascii="Arial" w:cs="Arial" w:eastAsia="Arial" w:hAnsi="Arial"/>
                <w:sz w:val="18"/>
                <w:szCs w:val="18"/>
                <w:color w:val="auto"/>
              </w:rPr>
              <w:t>(d)(1)</w:t>
            </w:r>
          </w:p>
        </w:tc>
        <w:tc>
          <w:tcPr>
            <w:tcW w:w="10400" w:type="dxa"/>
            <w:vAlign w:val="bottom"/>
            <w:gridSpan w:val="3"/>
          </w:tcPr>
          <w:p>
            <w:pPr>
              <w:ind w:left="220"/>
              <w:spacing w:after="0"/>
              <w:rPr>
                <w:sz w:val="20"/>
                <w:szCs w:val="20"/>
                <w:color w:val="auto"/>
              </w:rPr>
            </w:pPr>
            <w:r>
              <w:rPr>
                <w:rFonts w:ascii="Arial" w:cs="Arial" w:eastAsia="Arial" w:hAnsi="Arial"/>
                <w:sz w:val="18"/>
                <w:szCs w:val="18"/>
                <w:color w:val="auto"/>
                <w:w w:val="93"/>
              </w:rPr>
              <w:t>Indenture, dated as of March 5, 2004, between Amdocs Limited and The Bank of New York Mellon (formerly known as The Bank of New</w:t>
            </w:r>
          </w:p>
        </w:tc>
        <w:tc>
          <w:tcPr>
            <w:tcW w:w="0" w:type="dxa"/>
            <w:vAlign w:val="bottom"/>
          </w:tcPr>
          <w:p>
            <w:pPr>
              <w:spacing w:after="0"/>
              <w:rPr>
                <w:sz w:val="1"/>
                <w:szCs w:val="1"/>
                <w:color w:val="auto"/>
              </w:rPr>
            </w:pPr>
          </w:p>
        </w:tc>
      </w:tr>
      <w:tr>
        <w:trPr>
          <w:trHeight w:val="216"/>
        </w:trPr>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0" w:type="dxa"/>
            <w:vAlign w:val="bottom"/>
            <w:gridSpan w:val="3"/>
          </w:tcPr>
          <w:p>
            <w:pPr>
              <w:ind w:left="220"/>
              <w:spacing w:after="0"/>
              <w:rPr>
                <w:sz w:val="20"/>
                <w:szCs w:val="20"/>
                <w:color w:val="auto"/>
              </w:rPr>
            </w:pPr>
            <w:r>
              <w:rPr>
                <w:rFonts w:ascii="Arial" w:cs="Arial" w:eastAsia="Arial" w:hAnsi="Arial"/>
                <w:sz w:val="18"/>
                <w:szCs w:val="18"/>
                <w:color w:val="auto"/>
                <w:w w:val="92"/>
              </w:rPr>
              <w:t>York), as trustee, for 0.50% Convertible Senior Notes due 2024 (incorporated by reference to Exhibit 99.1 to Amdocs’ Report on Form 6-K,</w:t>
            </w:r>
          </w:p>
        </w:tc>
        <w:tc>
          <w:tcPr>
            <w:tcW w:w="0" w:type="dxa"/>
            <w:vAlign w:val="bottom"/>
          </w:tcPr>
          <w:p>
            <w:pPr>
              <w:spacing w:after="0"/>
              <w:rPr>
                <w:sz w:val="1"/>
                <w:szCs w:val="1"/>
                <w:color w:val="auto"/>
              </w:rPr>
            </w:pPr>
          </w:p>
        </w:tc>
      </w:tr>
      <w:tr>
        <w:trPr>
          <w:trHeight w:val="230"/>
        </w:trPr>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0" w:type="dxa"/>
            <w:vAlign w:val="bottom"/>
            <w:gridSpan w:val="3"/>
          </w:tcPr>
          <w:p>
            <w:pPr>
              <w:ind w:left="220"/>
              <w:spacing w:after="0"/>
              <w:rPr>
                <w:sz w:val="20"/>
                <w:szCs w:val="20"/>
                <w:color w:val="auto"/>
              </w:rPr>
            </w:pPr>
            <w:r>
              <w:rPr>
                <w:rFonts w:ascii="Arial" w:cs="Arial" w:eastAsia="Arial" w:hAnsi="Arial"/>
                <w:sz w:val="18"/>
                <w:szCs w:val="18"/>
                <w:color w:val="auto"/>
              </w:rPr>
              <w:t>filed March 5, 2004). *</w:t>
            </w:r>
          </w:p>
        </w:tc>
        <w:tc>
          <w:tcPr>
            <w:tcW w:w="0" w:type="dxa"/>
            <w:vAlign w:val="bottom"/>
          </w:tcPr>
          <w:p>
            <w:pPr>
              <w:spacing w:after="0"/>
              <w:rPr>
                <w:sz w:val="1"/>
                <w:szCs w:val="1"/>
                <w:color w:val="auto"/>
              </w:rPr>
            </w:pPr>
          </w:p>
        </w:tc>
      </w:tr>
      <w:tr>
        <w:trPr>
          <w:trHeight w:val="310"/>
        </w:trPr>
        <w:tc>
          <w:tcPr>
            <w:tcW w:w="900" w:type="dxa"/>
            <w:vAlign w:val="bottom"/>
            <w:gridSpan w:val="3"/>
          </w:tcPr>
          <w:p>
            <w:pPr>
              <w:spacing w:after="0"/>
              <w:rPr>
                <w:sz w:val="20"/>
                <w:szCs w:val="20"/>
                <w:color w:val="auto"/>
              </w:rPr>
            </w:pPr>
            <w:r>
              <w:rPr>
                <w:rFonts w:ascii="Arial" w:cs="Arial" w:eastAsia="Arial" w:hAnsi="Arial"/>
                <w:sz w:val="18"/>
                <w:szCs w:val="18"/>
                <w:color w:val="auto"/>
              </w:rPr>
              <w:t>(d)(2)</w:t>
            </w:r>
          </w:p>
        </w:tc>
        <w:tc>
          <w:tcPr>
            <w:tcW w:w="10400" w:type="dxa"/>
            <w:vAlign w:val="bottom"/>
            <w:gridSpan w:val="3"/>
          </w:tcPr>
          <w:p>
            <w:pPr>
              <w:ind w:left="220"/>
              <w:spacing w:after="0"/>
              <w:rPr>
                <w:sz w:val="20"/>
                <w:szCs w:val="20"/>
                <w:color w:val="auto"/>
              </w:rPr>
            </w:pPr>
            <w:r>
              <w:rPr>
                <w:rFonts w:ascii="Arial" w:cs="Arial" w:eastAsia="Arial" w:hAnsi="Arial"/>
                <w:sz w:val="18"/>
                <w:szCs w:val="18"/>
                <w:color w:val="auto"/>
                <w:w w:val="93"/>
              </w:rPr>
              <w:t>Registration Rights Agreement, dated as of March 5, 2004, between Amdocs Limited and Morgan Stanley &amp; Co. Incorporated, Goldman,</w:t>
            </w:r>
          </w:p>
        </w:tc>
        <w:tc>
          <w:tcPr>
            <w:tcW w:w="0" w:type="dxa"/>
            <w:vAlign w:val="bottom"/>
          </w:tcPr>
          <w:p>
            <w:pPr>
              <w:spacing w:after="0"/>
              <w:rPr>
                <w:sz w:val="1"/>
                <w:szCs w:val="1"/>
                <w:color w:val="auto"/>
              </w:rPr>
            </w:pPr>
          </w:p>
        </w:tc>
      </w:tr>
      <w:tr>
        <w:trPr>
          <w:trHeight w:val="216"/>
        </w:trPr>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0" w:type="dxa"/>
            <w:vAlign w:val="bottom"/>
            <w:gridSpan w:val="3"/>
          </w:tcPr>
          <w:p>
            <w:pPr>
              <w:ind w:left="220"/>
              <w:spacing w:after="0"/>
              <w:rPr>
                <w:sz w:val="20"/>
                <w:szCs w:val="20"/>
                <w:color w:val="auto"/>
              </w:rPr>
            </w:pPr>
            <w:r>
              <w:rPr>
                <w:rFonts w:ascii="Arial" w:cs="Arial" w:eastAsia="Arial" w:hAnsi="Arial"/>
                <w:sz w:val="18"/>
                <w:szCs w:val="18"/>
                <w:color w:val="auto"/>
                <w:w w:val="91"/>
              </w:rPr>
              <w:t>Sachs &amp; Co. and Merrill Lynch, Pierce, Fenner &amp; Smith Incorporated (incorporated by reference to Exhibit 99.2 to Amdocs’ Report on Form</w:t>
            </w:r>
          </w:p>
        </w:tc>
        <w:tc>
          <w:tcPr>
            <w:tcW w:w="0" w:type="dxa"/>
            <w:vAlign w:val="bottom"/>
          </w:tcPr>
          <w:p>
            <w:pPr>
              <w:spacing w:after="0"/>
              <w:rPr>
                <w:sz w:val="1"/>
                <w:szCs w:val="1"/>
                <w:color w:val="auto"/>
              </w:rPr>
            </w:pPr>
          </w:p>
        </w:tc>
      </w:tr>
      <w:tr>
        <w:trPr>
          <w:trHeight w:val="230"/>
        </w:trPr>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0" w:type="dxa"/>
            <w:vAlign w:val="bottom"/>
            <w:gridSpan w:val="3"/>
          </w:tcPr>
          <w:p>
            <w:pPr>
              <w:ind w:left="220"/>
              <w:spacing w:after="0"/>
              <w:rPr>
                <w:sz w:val="20"/>
                <w:szCs w:val="20"/>
                <w:color w:val="auto"/>
              </w:rPr>
            </w:pPr>
            <w:r>
              <w:rPr>
                <w:rFonts w:ascii="Arial" w:cs="Arial" w:eastAsia="Arial" w:hAnsi="Arial"/>
                <w:sz w:val="18"/>
                <w:szCs w:val="18"/>
                <w:color w:val="auto"/>
              </w:rPr>
              <w:t>6-K, filed March 5, 2004). *</w:t>
            </w:r>
          </w:p>
        </w:tc>
        <w:tc>
          <w:tcPr>
            <w:tcW w:w="0" w:type="dxa"/>
            <w:vAlign w:val="bottom"/>
          </w:tcPr>
          <w:p>
            <w:pPr>
              <w:spacing w:after="0"/>
              <w:rPr>
                <w:sz w:val="1"/>
                <w:szCs w:val="1"/>
                <w:color w:val="auto"/>
              </w:rPr>
            </w:pPr>
          </w:p>
        </w:tc>
      </w:tr>
    </w:tbl>
    <w:p>
      <w:pPr>
        <w:spacing w:after="0" w:line="9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ind w:left="1120" w:hanging="1112"/>
        <w:spacing w:after="0"/>
        <w:tabs>
          <w:tab w:leader="none" w:pos="1120" w:val="left"/>
        </w:tabs>
        <w:numPr>
          <w:ilvl w:val="0"/>
          <w:numId w:val="5"/>
        </w:numPr>
        <w:rPr>
          <w:rFonts w:ascii="Arial" w:cs="Arial" w:eastAsia="Arial" w:hAnsi="Arial"/>
          <w:sz w:val="18"/>
          <w:szCs w:val="18"/>
          <w:color w:val="auto"/>
        </w:rPr>
      </w:pPr>
      <w:r>
        <w:rPr>
          <w:rFonts w:ascii="Arial" w:cs="Arial" w:eastAsia="Arial" w:hAnsi="Arial"/>
          <w:sz w:val="18"/>
          <w:szCs w:val="18"/>
          <w:color w:val="auto"/>
        </w:rPr>
        <w:t>None.</w:t>
      </w:r>
    </w:p>
    <w:p>
      <w:pPr>
        <w:spacing w:after="0" w:line="117" w:lineRule="exact"/>
        <w:rPr>
          <w:rFonts w:ascii="Arial" w:cs="Arial" w:eastAsia="Arial" w:hAnsi="Arial"/>
          <w:sz w:val="18"/>
          <w:szCs w:val="18"/>
          <w:color w:val="auto"/>
        </w:rPr>
      </w:pPr>
    </w:p>
    <w:p>
      <w:pPr>
        <w:ind w:left="1120" w:hanging="1112"/>
        <w:spacing w:after="0"/>
        <w:tabs>
          <w:tab w:leader="none" w:pos="1120" w:val="left"/>
        </w:tabs>
        <w:numPr>
          <w:ilvl w:val="0"/>
          <w:numId w:val="5"/>
        </w:numPr>
        <w:rPr>
          <w:rFonts w:ascii="Arial" w:cs="Arial" w:eastAsia="Arial" w:hAnsi="Arial"/>
          <w:sz w:val="18"/>
          <w:szCs w:val="18"/>
          <w:color w:val="auto"/>
        </w:rPr>
      </w:pPr>
      <w:r>
        <w:rPr>
          <w:rFonts w:ascii="Arial" w:cs="Arial" w:eastAsia="Arial" w:hAnsi="Arial"/>
          <w:sz w:val="18"/>
          <w:szCs w:val="18"/>
          <w:color w:val="auto"/>
        </w:rPr>
        <w:t>None.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100330</wp:posOffset>
            </wp:positionV>
            <wp:extent cx="72898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  Previously filed.</w:t>
      </w:r>
    </w:p>
    <w:p>
      <w:pPr>
        <w:spacing w:after="0" w:line="15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300"/>
          </w:cols>
          <w:pgMar w:left="240" w:top="270" w:right="359"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b w:val="1"/>
          <w:bCs w:val="1"/>
          <w:color w:val="auto"/>
        </w:rPr>
        <w:t>Exhibit (A)(5)(II)</w:t>
      </w:r>
    </w:p>
    <w:p>
      <w:pPr>
        <w:spacing w:after="0" w:line="225" w:lineRule="exact"/>
        <w:rPr>
          <w:sz w:val="20"/>
          <w:szCs w:val="20"/>
          <w:color w:val="auto"/>
        </w:rPr>
      </w:pPr>
    </w:p>
    <w:p>
      <w:pPr>
        <w:ind w:left="4000"/>
        <w:spacing w:after="0"/>
        <w:rPr>
          <w:sz w:val="20"/>
          <w:szCs w:val="20"/>
          <w:color w:val="auto"/>
        </w:rPr>
      </w:pPr>
      <w:r>
        <w:rPr>
          <w:rFonts w:ascii="Arial" w:cs="Arial" w:eastAsia="Arial" w:hAnsi="Arial"/>
          <w:sz w:val="18"/>
          <w:szCs w:val="18"/>
          <w:b w:val="1"/>
          <w:bCs w:val="1"/>
          <w:color w:val="auto"/>
        </w:rPr>
        <w:t>Amdocs Announces Extension of Cash Offer</w:t>
      </w:r>
    </w:p>
    <w:p>
      <w:pPr>
        <w:spacing w:after="0" w:line="27" w:lineRule="exact"/>
        <w:rPr>
          <w:sz w:val="20"/>
          <w:szCs w:val="20"/>
          <w:color w:val="auto"/>
        </w:rPr>
      </w:pPr>
    </w:p>
    <w:p>
      <w:pPr>
        <w:ind w:left="4060"/>
        <w:spacing w:after="0"/>
        <w:rPr>
          <w:sz w:val="20"/>
          <w:szCs w:val="20"/>
          <w:color w:val="auto"/>
        </w:rPr>
      </w:pPr>
      <w:r>
        <w:rPr>
          <w:rFonts w:ascii="Arial" w:cs="Arial" w:eastAsia="Arial" w:hAnsi="Arial"/>
          <w:sz w:val="18"/>
          <w:szCs w:val="18"/>
          <w:b w:val="1"/>
          <w:bCs w:val="1"/>
          <w:color w:val="auto"/>
        </w:rPr>
        <w:t>in Connection with Holders’ Put Rights for</w:t>
      </w:r>
    </w:p>
    <w:p>
      <w:pPr>
        <w:spacing w:after="0" w:line="9" w:lineRule="exact"/>
        <w:rPr>
          <w:sz w:val="20"/>
          <w:szCs w:val="20"/>
          <w:color w:val="auto"/>
        </w:rPr>
      </w:pPr>
    </w:p>
    <w:p>
      <w:pPr>
        <w:ind w:left="4120"/>
        <w:spacing w:after="0"/>
        <w:rPr>
          <w:sz w:val="20"/>
          <w:szCs w:val="20"/>
          <w:color w:val="auto"/>
        </w:rPr>
      </w:pPr>
      <w:r>
        <w:rPr>
          <w:rFonts w:ascii="Arial" w:cs="Arial" w:eastAsia="Arial" w:hAnsi="Arial"/>
          <w:sz w:val="18"/>
          <w:szCs w:val="18"/>
          <w:b w:val="1"/>
          <w:bCs w:val="1"/>
          <w:color w:val="auto"/>
        </w:rPr>
        <w:t>0.50% Convertible Senior Notes due 2024</w:t>
      </w:r>
    </w:p>
    <w:p>
      <w:pPr>
        <w:spacing w:after="0" w:line="211" w:lineRule="exact"/>
        <w:rPr>
          <w:sz w:val="20"/>
          <w:szCs w:val="20"/>
          <w:color w:val="auto"/>
        </w:rPr>
      </w:pPr>
    </w:p>
    <w:p>
      <w:pPr>
        <w:ind w:right="560" w:firstLine="456"/>
        <w:spacing w:after="0" w:line="277" w:lineRule="auto"/>
        <w:rPr>
          <w:sz w:val="20"/>
          <w:szCs w:val="20"/>
          <w:color w:val="auto"/>
        </w:rPr>
      </w:pPr>
      <w:r>
        <w:rPr>
          <w:rFonts w:ascii="Arial" w:cs="Arial" w:eastAsia="Arial" w:hAnsi="Arial"/>
          <w:sz w:val="18"/>
          <w:szCs w:val="18"/>
          <w:color w:val="auto"/>
        </w:rPr>
        <w:t>ST. LOUIS, MO, April 11, 2014 — Amdocs Limited (NASDAQ: DOX), the leading provider of customer experience systems innovation, today announced it has extended the cash offer for its 0.50% Convertible Senior Notes due 2024 (the “Notes”).</w:t>
      </w:r>
    </w:p>
    <w:p>
      <w:pPr>
        <w:spacing w:after="0" w:line="170" w:lineRule="exact"/>
        <w:rPr>
          <w:sz w:val="20"/>
          <w:szCs w:val="20"/>
          <w:color w:val="auto"/>
        </w:rPr>
      </w:pPr>
    </w:p>
    <w:p>
      <w:pPr>
        <w:ind w:right="140" w:firstLine="456"/>
        <w:spacing w:after="0" w:line="257" w:lineRule="auto"/>
        <w:rPr>
          <w:sz w:val="20"/>
          <w:szCs w:val="20"/>
          <w:color w:val="auto"/>
        </w:rPr>
      </w:pPr>
      <w:r>
        <w:rPr>
          <w:rFonts w:ascii="Arial" w:cs="Arial" w:eastAsia="Arial" w:hAnsi="Arial"/>
          <w:sz w:val="18"/>
          <w:szCs w:val="18"/>
          <w:color w:val="auto"/>
        </w:rPr>
        <w:t>The cash offer, which was previously scheduled to expire at 9:00 a.m., Eastern time, on April 11, 2014 has been extended, and will now expire at 5:00 p.m., Eastern time, on April 14, 2014. Tenders of Notes must be made prior to the extended expiration of the cash offer and may be withdrawn at any time prior to that time. Except for this extension, the cash offer remains subject to all other terms and conditions set forth in Amdocs’ Notice of Put Right and Offer to Purchase dated March 14, 2014 previously filed as Exhibit (a)(1)(i) to the Schedule TO related to the cash offer, which was originally filed with the Securities and Exchange Commission on March 14, 2014.</w:t>
      </w:r>
    </w:p>
    <w:p>
      <w:pPr>
        <w:spacing w:after="0" w:line="188" w:lineRule="exact"/>
        <w:rPr>
          <w:sz w:val="20"/>
          <w:szCs w:val="20"/>
          <w:color w:val="auto"/>
        </w:rPr>
      </w:pPr>
    </w:p>
    <w:p>
      <w:pPr>
        <w:ind w:right="140" w:firstLine="456"/>
        <w:spacing w:after="0" w:line="277" w:lineRule="auto"/>
        <w:rPr>
          <w:sz w:val="20"/>
          <w:szCs w:val="20"/>
          <w:color w:val="auto"/>
        </w:rPr>
      </w:pPr>
      <w:r>
        <w:rPr>
          <w:rFonts w:ascii="Arial" w:cs="Arial" w:eastAsia="Arial" w:hAnsi="Arial"/>
          <w:sz w:val="18"/>
          <w:szCs w:val="18"/>
          <w:color w:val="auto"/>
        </w:rPr>
        <w:t>As of 9:00 a.m., Eastern time, on April 11, 2014, holders of Notes had validly tendered, and not withdrawn, Notes with an aggregate principal amount of approximately $618,000.</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Amdocs</w:t>
      </w:r>
    </w:p>
    <w:p>
      <w:pPr>
        <w:spacing w:after="0" w:line="121" w:lineRule="exact"/>
        <w:rPr>
          <w:sz w:val="20"/>
          <w:szCs w:val="20"/>
          <w:color w:val="auto"/>
        </w:rPr>
      </w:pPr>
    </w:p>
    <w:p>
      <w:pPr>
        <w:ind w:right="100" w:firstLine="456"/>
        <w:spacing w:after="0" w:line="293" w:lineRule="auto"/>
        <w:rPr>
          <w:sz w:val="20"/>
          <w:szCs w:val="20"/>
          <w:color w:val="auto"/>
        </w:rPr>
      </w:pPr>
      <w:r>
        <w:rPr>
          <w:rFonts w:ascii="Arial" w:cs="Arial" w:eastAsia="Arial" w:hAnsi="Arial"/>
          <w:sz w:val="16"/>
          <w:szCs w:val="16"/>
          <w:color w:val="auto"/>
        </w:rPr>
        <w:t xml:space="preserve">For more than 30 years, Amdocs has ensured service providers’ success and embraced their biggest challenges. To win in the connected world, service providers rely on Amdocs to simplify the customer experience, harness the data explosion, stay ahead with new services and improve operational efficiency. The global company uniquely combines a market-leading BSS, OSS and network control and optimization product portfolio with value-driven professional services and managed services operations. With revenue of $3.3 billion in fiscal 2013, Amdocs and its 21,000 employees serve customers in more than 70 countries. Amdocs Limited is registered at the Companies Registry in Guernsey and has been assigned company number 19528, with its registered office situated at Hirzel House, Smith Street, St. Peter Port, Island of Guernsey, GY1 2NG. For more information, visit Amdocs at </w:t>
      </w:r>
      <w:r>
        <w:rPr>
          <w:rFonts w:ascii="Arial" w:cs="Arial" w:eastAsia="Arial" w:hAnsi="Arial"/>
          <w:sz w:val="16"/>
          <w:szCs w:val="16"/>
          <w:u w:val="single" w:color="auto"/>
          <w:color w:val="auto"/>
        </w:rPr>
        <w:t>www.amdocs.com</w:t>
      </w:r>
      <w:r>
        <w:rPr>
          <w:rFonts w:ascii="Arial" w:cs="Arial" w:eastAsia="Arial" w:hAnsi="Arial"/>
          <w:sz w:val="16"/>
          <w:szCs w:val="16"/>
          <w:color w:val="auto"/>
        </w:rPr>
        <w:t>.</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Media Contact</w:t>
      </w:r>
      <w:r>
        <w:rPr>
          <w:rFonts w:ascii="Arial" w:cs="Arial" w:eastAsia="Arial" w:hAnsi="Arial"/>
          <w:sz w:val="18"/>
          <w:szCs w:val="18"/>
          <w:color w:val="auto"/>
        </w:rPr>
        <w: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Elizabeth W. McDermon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Vice President, Corporate Strategy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Amdocs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314-212-8328</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E-mail: dox_info@amdocs.com</w:t>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lvl w:ilvl="1">
      <w:lvlJc w:val="left"/>
      <w:lvlText w:val="(%2)"/>
      <w:numFmt w:val="decimal"/>
      <w:start w:val="212"/>
    </w:lvl>
  </w:abstractNum>
  <w:abstractNum w:abstractNumId="1">
    <w:nsid w:val="2AE8944A"/>
    <w:multiLevelType w:val="hybridMultilevel"/>
    <w:lvl w:ilvl="0">
      <w:lvlJc w:val="left"/>
      <w:lvlText w:val="☐"/>
      <w:numFmt w:val="bullet"/>
      <w:start w:val="1"/>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1)"/>
      <w:numFmt w:val="lowerLetter"/>
      <w:start w:val="7"/>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2019-12-06T19:55:55Z</dcterms:created>
  <dcterms:modified xsi:type="dcterms:W3CDTF">2019-12-06T19:55:55Z</dcterms:modified>
</cp:coreProperties>
</file>