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UNITED STATES 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ind w:left="2444"/>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FORM 20-F/A</w:t>
      </w:r>
    </w:p>
    <w:p>
      <w:pPr>
        <w:spacing w:after="0" w:line="185" w:lineRule="exact"/>
        <w:rPr>
          <w:sz w:val="24"/>
          <w:szCs w:val="24"/>
          <w:color w:val="auto"/>
        </w:rPr>
      </w:pPr>
    </w:p>
    <w:p>
      <w:pPr>
        <w:ind w:left="464" w:right="2899" w:hanging="464"/>
        <w:spacing w:after="0" w:line="236" w:lineRule="auto"/>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REGISTRATION STATEMENT PURSUANT TO SECTION 12(b) OR (g) OF THE SECURITIES EXCHANGE ACT OF 1934</w:t>
      </w:r>
    </w:p>
    <w:p>
      <w:pPr>
        <w:ind w:left="3664"/>
        <w:spacing w:after="0"/>
        <w:rPr>
          <w:sz w:val="20"/>
          <w:szCs w:val="20"/>
          <w:color w:val="auto"/>
        </w:rPr>
      </w:pPr>
      <w:r>
        <w:rPr>
          <w:rFonts w:ascii="Courier New" w:cs="Courier New" w:eastAsia="Courier New" w:hAnsi="Courier New"/>
          <w:sz w:val="16"/>
          <w:szCs w:val="16"/>
          <w:color w:val="auto"/>
        </w:rPr>
        <w:t>OR</w:t>
      </w:r>
    </w:p>
    <w:p>
      <w:pPr>
        <w:spacing w:after="0" w:line="184" w:lineRule="exact"/>
        <w:rPr>
          <w:sz w:val="24"/>
          <w:szCs w:val="24"/>
          <w:color w:val="auto"/>
        </w:rPr>
      </w:pPr>
    </w:p>
    <w:p>
      <w:pPr>
        <w:ind w:left="464" w:right="2999" w:hanging="464"/>
        <w:spacing w:after="0" w:line="236"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ind w:left="16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FISCAL YEAR ENDED SEPTEMBER 30, 2000</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4"/>
          <w:szCs w:val="24"/>
          <w:color w:val="auto"/>
        </w:rPr>
      </w:pPr>
    </w:p>
    <w:p>
      <w:pPr>
        <w:ind w:left="384" w:right="2719" w:hanging="384"/>
        <w:spacing w:after="0" w:line="236" w:lineRule="auto"/>
        <w:tabs>
          <w:tab w:leader="none" w:pos="1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 TO ________.</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COMMISSION FILE NUMBER 1-14840</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AMDOCS LIMITED</w:t>
      </w:r>
    </w:p>
    <w:p>
      <w:pPr>
        <w:ind w:left="744"/>
        <w:spacing w:after="0"/>
        <w:rPr>
          <w:sz w:val="20"/>
          <w:szCs w:val="20"/>
          <w:color w:val="auto"/>
        </w:rPr>
      </w:pPr>
      <w:r>
        <w:rPr>
          <w:rFonts w:ascii="Courier New" w:cs="Courier New" w:eastAsia="Courier New" w:hAnsi="Courier New"/>
          <w:sz w:val="16"/>
          <w:szCs w:val="16"/>
          <w:color w:val="auto"/>
        </w:rPr>
        <w:t>---------------------------------------------------------------</w:t>
      </w:r>
    </w:p>
    <w:p>
      <w:pPr>
        <w:jc w:val="center"/>
        <w:ind w:right="2715"/>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 and translation of</w:t>
      </w:r>
    </w:p>
    <w:p>
      <w:pPr>
        <w:jc w:val="center"/>
        <w:ind w:right="2815"/>
        <w:spacing w:after="0"/>
        <w:rPr>
          <w:sz w:val="20"/>
          <w:szCs w:val="20"/>
          <w:color w:val="auto"/>
        </w:rPr>
      </w:pPr>
      <w:r>
        <w:rPr>
          <w:rFonts w:ascii="Courier New" w:cs="Courier New" w:eastAsia="Courier New" w:hAnsi="Courier New"/>
          <w:sz w:val="16"/>
          <w:szCs w:val="16"/>
          <w:color w:val="auto"/>
        </w:rPr>
        <w:t>Registrant's name into English)</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ISLAND OF GUERNSEY</w:t>
      </w:r>
    </w:p>
    <w:p>
      <w:pPr>
        <w:ind w:left="744"/>
        <w:spacing w:after="0"/>
        <w:rPr>
          <w:sz w:val="20"/>
          <w:szCs w:val="20"/>
          <w:color w:val="auto"/>
        </w:rPr>
      </w:pPr>
      <w:r>
        <w:rPr>
          <w:rFonts w:ascii="Courier New" w:cs="Courier New" w:eastAsia="Courier New" w:hAnsi="Courier New"/>
          <w:sz w:val="16"/>
          <w:szCs w:val="16"/>
          <w:color w:val="auto"/>
        </w:rPr>
        <w:t>---------------------------------------------------------------</w:t>
      </w:r>
    </w:p>
    <w:p>
      <w:pPr>
        <w:ind w:left="1504"/>
        <w:spacing w:after="0" w:line="237" w:lineRule="auto"/>
        <w:rPr>
          <w:sz w:val="20"/>
          <w:szCs w:val="20"/>
          <w:color w:val="auto"/>
        </w:rPr>
      </w:pPr>
      <w:r>
        <w:rPr>
          <w:rFonts w:ascii="Courier New" w:cs="Courier New" w:eastAsia="Courier New" w:hAnsi="Courier New"/>
          <w:sz w:val="16"/>
          <w:szCs w:val="16"/>
          <w:color w:val="auto"/>
        </w:rPr>
        <w:t>(Jurisdiction of incorporation or organization)</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SUITE 5, TOWER HILL HOUSE LE BORDAGE</w:t>
      </w:r>
    </w:p>
    <w:p>
      <w:pPr>
        <w:jc w:val="center"/>
        <w:ind w:right="2815"/>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jc w:val="center"/>
        <w:ind w:right="2715"/>
        <w:spacing w:after="0" w:line="237" w:lineRule="auto"/>
        <w:rPr>
          <w:sz w:val="20"/>
          <w:szCs w:val="20"/>
          <w:color w:val="auto"/>
        </w:rPr>
      </w:pPr>
      <w:r>
        <w:rPr>
          <w:rFonts w:ascii="Courier New" w:cs="Courier New" w:eastAsia="Courier New" w:hAnsi="Courier New"/>
          <w:sz w:val="16"/>
          <w:szCs w:val="16"/>
          <w:color w:val="auto"/>
        </w:rPr>
        <w:t>AMDOCS, INC.</w:t>
      </w:r>
    </w:p>
    <w:p>
      <w:pPr>
        <w:jc w:val="center"/>
        <w:ind w:right="2815"/>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ind w:left="744"/>
        <w:spacing w:after="0" w:line="238" w:lineRule="auto"/>
        <w:rPr>
          <w:sz w:val="20"/>
          <w:szCs w:val="20"/>
          <w:color w:val="auto"/>
        </w:rPr>
      </w:pPr>
      <w:r>
        <w:rPr>
          <w:rFonts w:ascii="Courier New" w:cs="Courier New" w:eastAsia="Courier New" w:hAnsi="Courier New"/>
          <w:sz w:val="16"/>
          <w:szCs w:val="16"/>
          <w:color w:val="auto"/>
        </w:rPr>
        <w:t>---------------------------------------------------------------</w:t>
      </w:r>
    </w:p>
    <w:p>
      <w:pPr>
        <w:ind w:left="1884"/>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4" w:lineRule="exact"/>
        <w:rPr>
          <w:sz w:val="24"/>
          <w:szCs w:val="24"/>
          <w:color w:val="auto"/>
        </w:rPr>
      </w:pPr>
    </w:p>
    <w:p>
      <w:pPr>
        <w:ind w:left="464"/>
        <w:spacing w:after="0"/>
        <w:rPr>
          <w:sz w:val="20"/>
          <w:szCs w:val="20"/>
          <w:color w:val="auto"/>
        </w:rPr>
      </w:pPr>
      <w:r>
        <w:rPr>
          <w:rFonts w:ascii="Courier New" w:cs="Courier New" w:eastAsia="Courier New" w:hAnsi="Courier New"/>
          <w:sz w:val="15"/>
          <w:szCs w:val="15"/>
          <w:color w:val="auto"/>
        </w:rPr>
        <w:t>Securities registered or to be registered pursuant to Section 12(b) of the</w:t>
      </w: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Act.</w:t>
      </w:r>
    </w:p>
    <w:p>
      <w:pPr>
        <w:sectPr>
          <w:pgSz w:w="11900" w:h="16848" w:orient="portrait"/>
          <w:cols w:equalWidth="0" w:num="1">
            <w:col w:w="10223"/>
          </w:cols>
          <w:pgMar w:left="236" w:top="233" w:right="1440" w:bottom="0" w:gutter="0" w:footer="0" w:header="0"/>
        </w:sectPr>
      </w:pPr>
    </w:p>
    <w:p>
      <w:pPr>
        <w:spacing w:after="0" w:line="200" w:lineRule="exact"/>
        <w:rPr>
          <w:sz w:val="24"/>
          <w:szCs w:val="24"/>
          <w:color w:val="auto"/>
        </w:rPr>
      </w:pPr>
    </w:p>
    <w:p>
      <w:pPr>
        <w:spacing w:after="0" w:line="345" w:lineRule="exact"/>
        <w:rPr>
          <w:sz w:val="24"/>
          <w:szCs w:val="24"/>
          <w:color w:val="auto"/>
        </w:rPr>
      </w:pPr>
    </w:p>
    <w:p>
      <w:pPr>
        <w:ind w:left="564"/>
        <w:spacing w:after="0"/>
        <w:rPr>
          <w:sz w:val="20"/>
          <w:szCs w:val="20"/>
          <w:color w:val="auto"/>
        </w:rPr>
      </w:pPr>
      <w:r>
        <w:rPr>
          <w:rFonts w:ascii="Courier New" w:cs="Courier New" w:eastAsia="Courier New" w:hAnsi="Courier New"/>
          <w:sz w:val="15"/>
          <w:szCs w:val="15"/>
          <w:color w:val="auto"/>
        </w:rPr>
        <w:t>TITLE OF EACH CLASS</w:t>
      </w:r>
    </w:p>
    <w:p>
      <w:pPr>
        <w:spacing w:after="0" w:line="10" w:lineRule="exact"/>
        <w:rPr>
          <w:sz w:val="24"/>
          <w:szCs w:val="24"/>
          <w:color w:val="auto"/>
        </w:rPr>
      </w:pPr>
    </w:p>
    <w:p>
      <w:pPr>
        <w:ind w:left="56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4"/>
          <w:szCs w:val="24"/>
          <w:color w:val="auto"/>
        </w:rPr>
      </w:pPr>
    </w:p>
    <w:p>
      <w:pPr>
        <w:sectPr>
          <w:pgSz w:w="11900" w:h="16848" w:orient="portrait"/>
          <w:cols w:equalWidth="0" w:num="2">
            <w:col w:w="2944" w:space="720"/>
            <w:col w:w="6559"/>
          </w:cols>
          <w:pgMar w:left="236" w:top="233" w:right="1440" w:bottom="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Ordinary Shares, par value L0.01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00" w:lineRule="exact"/>
        <w:rPr>
          <w:sz w:val="24"/>
          <w:szCs w:val="24"/>
          <w:color w:val="auto"/>
        </w:rPr>
      </w:pPr>
    </w:p>
    <w:p>
      <w:pPr>
        <w:sectPr>
          <w:pgSz w:w="11900" w:h="16848" w:orient="portrait"/>
          <w:cols w:equalWidth="0" w:num="2">
            <w:col w:w="3504" w:space="720"/>
            <w:col w:w="5999"/>
          </w:cols>
          <w:pgMar w:left="236" w:top="233" w:right="1440" w:bottom="0" w:gutter="0" w:footer="0" w:header="0"/>
          <w:type w:val="continuous"/>
        </w:sectPr>
      </w:pPr>
    </w:p>
    <w:p>
      <w:pPr>
        <w:spacing w:after="0" w:line="171" w:lineRule="exact"/>
        <w:rPr>
          <w:sz w:val="24"/>
          <w:szCs w:val="24"/>
          <w:color w:val="auto"/>
        </w:rPr>
      </w:pPr>
    </w:p>
    <w:p>
      <w:pPr>
        <w:ind w:left="464"/>
        <w:spacing w:after="0"/>
        <w:rPr>
          <w:sz w:val="20"/>
          <w:szCs w:val="20"/>
          <w:color w:val="auto"/>
        </w:rPr>
      </w:pPr>
      <w:r>
        <w:rPr>
          <w:rFonts w:ascii="Courier New" w:cs="Courier New" w:eastAsia="Courier New" w:hAnsi="Courier New"/>
          <w:sz w:val="15"/>
          <w:szCs w:val="15"/>
          <w:color w:val="auto"/>
        </w:rPr>
        <w:t>Securities registered or to be registered pursuant to Section 12(g) of the</w:t>
      </w: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Act.</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NONE</w:t>
      </w:r>
    </w:p>
    <w:p>
      <w:pPr>
        <w:jc w:val="center"/>
        <w:ind w:right="2815"/>
        <w:spacing w:after="0"/>
        <w:rPr>
          <w:sz w:val="20"/>
          <w:szCs w:val="20"/>
          <w:color w:val="auto"/>
        </w:rPr>
      </w:pPr>
      <w:r>
        <w:rPr>
          <w:rFonts w:ascii="Courier New" w:cs="Courier New" w:eastAsia="Courier New" w:hAnsi="Courier New"/>
          <w:sz w:val="16"/>
          <w:szCs w:val="16"/>
          <w:color w:val="auto"/>
        </w:rPr>
        <w:t>---------------------------------------------------------------</w:t>
      </w:r>
    </w:p>
    <w:p>
      <w:pPr>
        <w:jc w:val="center"/>
        <w:ind w:right="271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5" w:lineRule="exact"/>
        <w:rPr>
          <w:sz w:val="24"/>
          <w:szCs w:val="24"/>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Securities for which there is a reporting obligation pursuant to Section 15(d) of the Act.</w:t>
      </w:r>
    </w:p>
    <w:p>
      <w:pPr>
        <w:jc w:val="center"/>
        <w:ind w:right="2715"/>
        <w:spacing w:after="0"/>
        <w:rPr>
          <w:sz w:val="20"/>
          <w:szCs w:val="20"/>
          <w:color w:val="auto"/>
        </w:rPr>
      </w:pPr>
      <w:r>
        <w:rPr>
          <w:rFonts w:ascii="Courier New" w:cs="Courier New" w:eastAsia="Courier New" w:hAnsi="Courier New"/>
          <w:sz w:val="16"/>
          <w:szCs w:val="16"/>
          <w:color w:val="auto"/>
        </w:rPr>
        <w:t>NONE</w:t>
      </w:r>
    </w:p>
    <w:p>
      <w:pPr>
        <w:jc w:val="center"/>
        <w:ind w:right="2815"/>
        <w:spacing w:after="0" w:line="237" w:lineRule="auto"/>
        <w:rPr>
          <w:sz w:val="20"/>
          <w:szCs w:val="20"/>
          <w:color w:val="auto"/>
        </w:rPr>
      </w:pPr>
      <w:r>
        <w:rPr>
          <w:rFonts w:ascii="Courier New" w:cs="Courier New" w:eastAsia="Courier New" w:hAnsi="Courier New"/>
          <w:sz w:val="16"/>
          <w:szCs w:val="16"/>
          <w:color w:val="auto"/>
        </w:rPr>
        <w:t>---------------------------------------------------------------</w:t>
      </w:r>
    </w:p>
    <w:p>
      <w:pPr>
        <w:jc w:val="center"/>
        <w:ind w:right="2715"/>
        <w:spacing w:after="0"/>
        <w:rPr>
          <w:sz w:val="20"/>
          <w:szCs w:val="20"/>
          <w:color w:val="auto"/>
        </w:rPr>
      </w:pPr>
      <w:r>
        <w:rPr>
          <w:rFonts w:ascii="Courier New" w:cs="Courier New" w:eastAsia="Courier New" w:hAnsi="Courier New"/>
          <w:sz w:val="16"/>
          <w:szCs w:val="16"/>
          <w:color w:val="auto"/>
        </w:rPr>
        <w:t>(Title of class)</w:t>
      </w:r>
    </w:p>
    <w:p>
      <w:pPr>
        <w:sectPr>
          <w:pgSz w:w="11900" w:h="16848" w:orient="portrait"/>
          <w:cols w:equalWidth="0" w:num="1">
            <w:col w:w="10223"/>
          </w:cols>
          <w:pgMar w:left="236" w:top="233" w:right="1440" w:bottom="0" w:gutter="0" w:footer="0" w:header="0"/>
          <w:type w:val="continuous"/>
        </w:sectPr>
      </w:pPr>
    </w:p>
    <w:p>
      <w:pPr>
        <w:spacing w:after="0" w:line="184" w:lineRule="exact"/>
        <w:rPr>
          <w:sz w:val="24"/>
          <w:szCs w:val="24"/>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Indicate the number of outstanding shares of each of the issuer's classes of capital or common stock as of the close of the period covered by the Annual Report.</w:t>
      </w:r>
    </w:p>
    <w:p>
      <w:pPr>
        <w:spacing w:after="0" w:line="200" w:lineRule="exact"/>
        <w:rPr>
          <w:sz w:val="24"/>
          <w:szCs w:val="24"/>
          <w:color w:val="auto"/>
        </w:rPr>
      </w:pPr>
    </w:p>
    <w:p>
      <w:pPr>
        <w:spacing w:after="0" w:line="340"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Voting Ordinary Shares, par value L0.01</w:t>
            </w:r>
          </w:p>
        </w:tc>
        <w:tc>
          <w:tcPr>
            <w:tcW w:w="258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198,029,595(1)</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Non-Voting Ordinary Shares, par value L0.01</w:t>
            </w:r>
          </w:p>
        </w:tc>
        <w:tc>
          <w:tcPr>
            <w:tcW w:w="1880" w:type="dxa"/>
            <w:vAlign w:val="bottom"/>
          </w:tcPr>
          <w:p>
            <w:pPr>
              <w:ind w:left="900"/>
              <w:spacing w:after="0"/>
              <w:rPr>
                <w:sz w:val="20"/>
                <w:szCs w:val="20"/>
                <w:color w:val="auto"/>
              </w:rPr>
            </w:pPr>
            <w:r>
              <w:rPr>
                <w:rFonts w:ascii="Courier New" w:cs="Courier New" w:eastAsia="Courier New" w:hAnsi="Courier New"/>
                <w:sz w:val="16"/>
                <w:szCs w:val="16"/>
                <w:color w:val="auto"/>
                <w:w w:val="99"/>
              </w:rPr>
              <w:t>23,136,273</w:t>
            </w:r>
          </w:p>
        </w:tc>
        <w:tc>
          <w:tcPr>
            <w:tcW w:w="700" w:type="dxa"/>
            <w:vAlign w:val="bottom"/>
          </w:tcPr>
          <w:p>
            <w:pPr>
              <w:spacing w:after="0"/>
              <w:rPr>
                <w:sz w:val="15"/>
                <w:szCs w:val="15"/>
                <w:color w:val="auto"/>
              </w:rPr>
            </w:pP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(Title of class)</w:t>
            </w:r>
          </w:p>
        </w:tc>
        <w:tc>
          <w:tcPr>
            <w:tcW w:w="1880" w:type="dxa"/>
            <w:vAlign w:val="bottom"/>
          </w:tcPr>
          <w:p>
            <w:pPr>
              <w:ind w:left="900"/>
              <w:spacing w:after="0"/>
              <w:rPr>
                <w:sz w:val="20"/>
                <w:szCs w:val="20"/>
                <w:color w:val="auto"/>
              </w:rPr>
            </w:pPr>
            <w:r>
              <w:rPr>
                <w:rFonts w:ascii="Courier New" w:cs="Courier New" w:eastAsia="Courier New" w:hAnsi="Courier New"/>
                <w:sz w:val="16"/>
                <w:szCs w:val="16"/>
                <w:color w:val="auto"/>
                <w:w w:val="99"/>
              </w:rPr>
              <w:t>(Number of</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shares)</w:t>
            </w:r>
          </w:p>
        </w:tc>
      </w:tr>
    </w:tbl>
    <w:p>
      <w:pPr>
        <w:spacing w:after="0" w:line="36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384" w:right="2819" w:hanging="384"/>
        <w:spacing w:after="0" w:line="238" w:lineRule="auto"/>
        <w:tabs>
          <w:tab w:leader="none" w:pos="3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9,037,774 shares held by shareholders of a company we acquired, which can be exchanged for our voting ordinary shares. Does not include (a) 12,159,578 ordinary shares remaining under our stock option plan, and (b) 1,703,672 ordinary shares reserved for issuance upon exercise of vested options granted by companies we have acquired. As of September 30, 2000, options to purchase an aggregate of 9,524,406 ordinary shares were outstanding and 2,635,172 ordinary shares remained available for future option grants under our stock option plan.</w:t>
      </w:r>
    </w:p>
    <w:p>
      <w:pPr>
        <w:spacing w:after="0" w:line="185" w:lineRule="exact"/>
        <w:rPr>
          <w:sz w:val="24"/>
          <w:szCs w:val="24"/>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444"/>
        <w:spacing w:after="0"/>
        <w:tabs>
          <w:tab w:leader="none" w:pos="4483"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5"/>
          <w:szCs w:val="15"/>
          <w:color w:val="auto"/>
        </w:rPr>
        <w:t>No [ ]</w:t>
      </w:r>
    </w:p>
    <w:p>
      <w:pPr>
        <w:sectPr>
          <w:pgSz w:w="11900" w:h="16848" w:orient="portrait"/>
          <w:cols w:equalWidth="0" w:num="1">
            <w:col w:w="10223"/>
          </w:cols>
          <w:pgMar w:left="236" w:top="233" w:right="1440" w:bottom="0" w:gutter="0" w:footer="0" w:header="0"/>
          <w:type w:val="continuous"/>
        </w:sectPr>
      </w:pPr>
    </w:p>
    <w:bookmarkStart w:id="1" w:name="page2"/>
    <w:bookmarkEnd w:id="1"/>
    <w:p>
      <w:pPr>
        <w:ind w:right="2999" w:firstLine="469"/>
        <w:spacing w:after="0" w:line="236" w:lineRule="auto"/>
        <w:rPr>
          <w:sz w:val="20"/>
          <w:szCs w:val="20"/>
          <w:color w:val="auto"/>
        </w:rPr>
      </w:pPr>
      <w:r>
        <w:rPr>
          <w:rFonts w:ascii="Courier New" w:cs="Courier New" w:eastAsia="Courier New" w:hAnsi="Courier New"/>
          <w:sz w:val="16"/>
          <w:szCs w:val="16"/>
          <w:color w:val="auto"/>
        </w:rPr>
        <w:t>Indicate by check mark which financial statement item the registrant has selected to follow.</w:t>
      </w:r>
    </w:p>
    <w:p>
      <w:pPr>
        <w:ind w:left="1960"/>
        <w:spacing w:after="0"/>
        <w:tabs>
          <w:tab w:leader="none" w:pos="4380" w:val="left"/>
        </w:tabs>
        <w:rPr>
          <w:sz w:val="20"/>
          <w:szCs w:val="20"/>
          <w:color w:val="auto"/>
        </w:rPr>
      </w:pPr>
      <w:r>
        <w:rPr>
          <w:rFonts w:ascii="Courier New" w:cs="Courier New" w:eastAsia="Courier New" w:hAnsi="Courier New"/>
          <w:sz w:val="16"/>
          <w:szCs w:val="16"/>
          <w:color w:val="auto"/>
        </w:rPr>
        <w:t>Item 17 [ ]</w:t>
      </w:r>
      <w:r>
        <w:rPr>
          <w:sz w:val="20"/>
          <w:szCs w:val="20"/>
          <w:color w:val="auto"/>
        </w:rPr>
        <w:tab/>
      </w:r>
      <w:r>
        <w:rPr>
          <w:rFonts w:ascii="Courier New" w:cs="Courier New" w:eastAsia="Courier New" w:hAnsi="Courier New"/>
          <w:sz w:val="15"/>
          <w:szCs w:val="15"/>
          <w:color w:val="auto"/>
        </w:rPr>
        <w:t>Item 18 [X]</w:t>
      </w:r>
    </w:p>
    <w:p>
      <w:pPr>
        <w:sectPr>
          <w:pgSz w:w="11900" w:h="16838" w:orient="portrait"/>
          <w:cols w:equalWidth="0" w:num="1">
            <w:col w:w="10219"/>
          </w:cols>
          <w:pgMar w:left="240" w:top="322"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20-F</w:t>
      </w:r>
    </w:p>
    <w:p>
      <w:pPr>
        <w:jc w:val="center"/>
        <w:ind w:right="2719"/>
        <w:spacing w:after="0"/>
        <w:rPr>
          <w:sz w:val="20"/>
          <w:szCs w:val="20"/>
          <w:color w:val="auto"/>
        </w:rPr>
      </w:pPr>
      <w:r>
        <w:rPr>
          <w:rFonts w:ascii="Courier New" w:cs="Courier New" w:eastAsia="Courier New" w:hAnsi="Courier New"/>
          <w:sz w:val="16"/>
          <w:szCs w:val="16"/>
          <w:color w:val="auto"/>
        </w:rPr>
        <w:t>ANNUAL REPORT FOR THE FISCAL YEAR ENDED SEPTEMBER 30, 2000</w:t>
      </w:r>
    </w:p>
    <w:p>
      <w:pPr>
        <w:ind w:left="262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4780" w:type="dxa"/>
            <w:vAlign w:val="bottom"/>
          </w:tcPr>
          <w:p>
            <w:pPr>
              <w:ind w:left="2520"/>
              <w:spacing w:after="0"/>
              <w:rPr>
                <w:sz w:val="20"/>
                <w:szCs w:val="20"/>
                <w:color w:val="auto"/>
              </w:rPr>
            </w:pPr>
            <w:r>
              <w:rPr>
                <w:rFonts w:ascii="Courier New" w:cs="Courier New" w:eastAsia="Courier New" w:hAnsi="Courier New"/>
                <w:sz w:val="16"/>
                <w:szCs w:val="16"/>
                <w:color w:val="auto"/>
              </w:rPr>
              <w:t>INDEX</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1"/>
        </w:trPr>
        <w:tc>
          <w:tcPr>
            <w:tcW w:w="940" w:type="dxa"/>
            <w:vAlign w:val="bottom"/>
          </w:tcPr>
          <w:p>
            <w:pPr>
              <w:spacing w:after="0"/>
              <w:rPr>
                <w:sz w:val="24"/>
                <w:szCs w:val="24"/>
                <w:color w:val="auto"/>
              </w:rPr>
            </w:pPr>
          </w:p>
        </w:tc>
        <w:tc>
          <w:tcPr>
            <w:tcW w:w="4780" w:type="dxa"/>
            <w:vAlign w:val="bottom"/>
          </w:tcPr>
          <w:p>
            <w:pPr>
              <w:ind w:left="2520"/>
              <w:spacing w:after="0"/>
              <w:rPr>
                <w:sz w:val="20"/>
                <w:szCs w:val="20"/>
                <w:color w:val="auto"/>
              </w:rPr>
            </w:pPr>
            <w:r>
              <w:rPr>
                <w:rFonts w:ascii="Courier New" w:cs="Courier New" w:eastAsia="Courier New" w:hAnsi="Courier New"/>
                <w:sz w:val="16"/>
                <w:szCs w:val="16"/>
                <w:color w:val="auto"/>
              </w:rPr>
              <w:t>PART I</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8"/>
              </w:rPr>
              <w:t>Identity of Directors, Senior Management and Advisors --</w:t>
            </w:r>
          </w:p>
        </w:tc>
        <w:tc>
          <w:tcPr>
            <w:tcW w:w="940" w:type="dxa"/>
            <w:vAlign w:val="bottom"/>
          </w:tcPr>
          <w:p>
            <w:pPr>
              <w:jc w:val="right"/>
              <w:ind w:right="589"/>
              <w:spacing w:after="0"/>
              <w:rPr>
                <w:sz w:val="20"/>
                <w:szCs w:val="20"/>
                <w:color w:val="auto"/>
              </w:rPr>
            </w:pPr>
            <w:r>
              <w:rPr>
                <w:rFonts w:ascii="Courier New" w:cs="Courier New" w:eastAsia="Courier New" w:hAnsi="Courier New"/>
                <w:sz w:val="16"/>
                <w:szCs w:val="16"/>
                <w:color w:val="auto"/>
                <w:w w:val="90"/>
              </w:rPr>
              <w:t>Not</w:t>
            </w:r>
          </w:p>
        </w:tc>
      </w:tr>
      <w:tr>
        <w:trPr>
          <w:trHeight w:val="180"/>
        </w:trPr>
        <w:tc>
          <w:tcPr>
            <w:tcW w:w="94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applicable..................................................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7"/>
              </w:rPr>
              <w:t>Offer Statistics and Expected Timetable -- Not applicable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Key Information.............................................</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Information on the Company..................................</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Operating and Financial Review and Prospects................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Directors, Senior Management and Employees..................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7.</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Major Shareholders and Related Party Transactions...........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8.</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Financial Information.......................................</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9.</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The Offer and Listing.......................................</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10.</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Additional Information......................................</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11.</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7"/>
              </w:rPr>
              <w:t>Quantitative and Qualitative Disclosure about Market Risk</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3"/>
              </w:rPr>
              <w:t>...45</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12.</w:t>
            </w:r>
          </w:p>
        </w:tc>
        <w:tc>
          <w:tcPr>
            <w:tcW w:w="4780" w:type="dxa"/>
            <w:vAlign w:val="bottom"/>
          </w:tcPr>
          <w:p>
            <w:pPr>
              <w:spacing w:after="0"/>
              <w:rPr>
                <w:sz w:val="20"/>
                <w:szCs w:val="20"/>
                <w:color w:val="auto"/>
              </w:rPr>
            </w:pPr>
            <w:r>
              <w:rPr>
                <w:rFonts w:ascii="Courier New" w:cs="Courier New" w:eastAsia="Courier New" w:hAnsi="Courier New"/>
                <w:sz w:val="16"/>
                <w:szCs w:val="16"/>
                <w:color w:val="auto"/>
              </w:rPr>
              <w:t>Description of Securities Other than Equity</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Securities -- Not applicable................................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61"/>
        </w:trPr>
        <w:tc>
          <w:tcPr>
            <w:tcW w:w="940" w:type="dxa"/>
            <w:vAlign w:val="bottom"/>
          </w:tcPr>
          <w:p>
            <w:pPr>
              <w:spacing w:after="0"/>
              <w:rPr>
                <w:sz w:val="24"/>
                <w:szCs w:val="24"/>
                <w:color w:val="auto"/>
              </w:rPr>
            </w:pPr>
          </w:p>
        </w:tc>
        <w:tc>
          <w:tcPr>
            <w:tcW w:w="4780" w:type="dxa"/>
            <w:vAlign w:val="bottom"/>
          </w:tcPr>
          <w:p>
            <w:pPr>
              <w:ind w:left="2440"/>
              <w:spacing w:after="0"/>
              <w:rPr>
                <w:sz w:val="20"/>
                <w:szCs w:val="20"/>
                <w:color w:val="auto"/>
              </w:rPr>
            </w:pPr>
            <w:r>
              <w:rPr>
                <w:rFonts w:ascii="Courier New" w:cs="Courier New" w:eastAsia="Courier New" w:hAnsi="Courier New"/>
                <w:sz w:val="16"/>
                <w:szCs w:val="16"/>
                <w:color w:val="auto"/>
              </w:rPr>
              <w:t>PART II</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13.</w:t>
            </w:r>
          </w:p>
        </w:tc>
        <w:tc>
          <w:tcPr>
            <w:tcW w:w="4780" w:type="dxa"/>
            <w:vAlign w:val="bottom"/>
          </w:tcPr>
          <w:p>
            <w:pPr>
              <w:spacing w:after="0"/>
              <w:rPr>
                <w:sz w:val="20"/>
                <w:szCs w:val="20"/>
                <w:color w:val="auto"/>
              </w:rPr>
            </w:pPr>
            <w:r>
              <w:rPr>
                <w:rFonts w:ascii="Courier New" w:cs="Courier New" w:eastAsia="Courier New" w:hAnsi="Courier New"/>
                <w:sz w:val="16"/>
                <w:szCs w:val="16"/>
                <w:color w:val="auto"/>
                <w:w w:val="99"/>
              </w:rPr>
              <w:t>Defaults, Dividend Arrearages and Delinquencies --</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94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applicable..................................................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14.</w:t>
            </w:r>
          </w:p>
        </w:tc>
        <w:tc>
          <w:tcPr>
            <w:tcW w:w="6280" w:type="dxa"/>
            <w:vAlign w:val="bottom"/>
            <w:gridSpan w:val="3"/>
          </w:tcPr>
          <w:p>
            <w:pPr>
              <w:spacing w:after="0"/>
              <w:rPr>
                <w:sz w:val="20"/>
                <w:szCs w:val="20"/>
                <w:color w:val="auto"/>
              </w:rPr>
            </w:pPr>
            <w:r>
              <w:rPr>
                <w:rFonts w:ascii="Courier New" w:cs="Courier New" w:eastAsia="Courier New" w:hAnsi="Courier New"/>
                <w:sz w:val="16"/>
                <w:szCs w:val="16"/>
                <w:color w:val="auto"/>
              </w:rPr>
              <w:t>Material Modifications to the Rights of Security Holders and</w:t>
            </w:r>
          </w:p>
        </w:tc>
      </w:tr>
      <w:tr>
        <w:trPr>
          <w:trHeight w:val="180"/>
        </w:trPr>
        <w:tc>
          <w:tcPr>
            <w:tcW w:w="94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Use of Proceeds -- Not applicable...........................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361"/>
        </w:trPr>
        <w:tc>
          <w:tcPr>
            <w:tcW w:w="940" w:type="dxa"/>
            <w:vAlign w:val="bottom"/>
          </w:tcPr>
          <w:p>
            <w:pPr>
              <w:spacing w:after="0"/>
              <w:rPr>
                <w:sz w:val="24"/>
                <w:szCs w:val="24"/>
                <w:color w:val="auto"/>
              </w:rPr>
            </w:pPr>
          </w:p>
        </w:tc>
        <w:tc>
          <w:tcPr>
            <w:tcW w:w="4780" w:type="dxa"/>
            <w:vAlign w:val="bottom"/>
          </w:tcPr>
          <w:p>
            <w:pPr>
              <w:ind w:left="2440"/>
              <w:spacing w:after="0"/>
              <w:rPr>
                <w:sz w:val="20"/>
                <w:szCs w:val="20"/>
                <w:color w:val="auto"/>
              </w:rPr>
            </w:pPr>
            <w:r>
              <w:rPr>
                <w:rFonts w:ascii="Courier New" w:cs="Courier New" w:eastAsia="Courier New" w:hAnsi="Courier New"/>
                <w:sz w:val="16"/>
                <w:szCs w:val="16"/>
                <w:color w:val="auto"/>
              </w:rPr>
              <w:t>PART III</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17.</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Financial Statements -- Not applicable......................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18.</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Financial Statements........................................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Item 19.</w:t>
            </w:r>
          </w:p>
        </w:tc>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w w:val="92"/>
              </w:rPr>
              <w:t>Exhibits....................................................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SIGNATURES</w:t>
            </w:r>
          </w:p>
        </w:tc>
        <w:tc>
          <w:tcPr>
            <w:tcW w:w="4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1"/>
        </w:trPr>
        <w:tc>
          <w:tcPr>
            <w:tcW w:w="940" w:type="dxa"/>
            <w:vAlign w:val="bottom"/>
          </w:tcPr>
          <w:p>
            <w:pPr>
              <w:spacing w:after="0"/>
              <w:rPr>
                <w:sz w:val="24"/>
                <w:szCs w:val="24"/>
                <w:color w:val="auto"/>
              </w:rPr>
            </w:pPr>
          </w:p>
        </w:tc>
        <w:tc>
          <w:tcPr>
            <w:tcW w:w="4780" w:type="dxa"/>
            <w:vAlign w:val="bottom"/>
          </w:tcPr>
          <w:p>
            <w:pPr>
              <w:ind w:left="2800"/>
              <w:spacing w:after="0"/>
              <w:rPr>
                <w:sz w:val="20"/>
                <w:szCs w:val="20"/>
                <w:color w:val="auto"/>
              </w:rPr>
            </w:pPr>
            <w:r>
              <w:rPr>
                <w:rFonts w:ascii="Courier New" w:cs="Courier New" w:eastAsia="Courier New" w:hAnsi="Courier New"/>
                <w:sz w:val="16"/>
                <w:szCs w:val="16"/>
                <w:color w:val="auto"/>
              </w:rPr>
              <w:t>1</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PART I</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Unless the context otherwise requires, all references in this annual report to "Amdocs", "we", "our", "us" and the "Company" refer to Amdocs Limited and its consolidated subsidiaries and their respective predecessors. References to "dollars" or $ are to United States dollars. Unless otherwise stated, all references to ordinary shares are to both voting and non-voting ordinary shares.</w:t>
      </w:r>
    </w:p>
    <w:p>
      <w:pPr>
        <w:spacing w:after="0" w:line="17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IDENTITY OF DIRECTORS, SENIOR MANAGEMENT AND ADVISORS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OFFER STATISTICS AND EXPECTED TIMETABLE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KEY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FINANCIAL DATA</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historical Consolidated Financial Statements are prepared in accordance with accounting principals generally accepted in the United States ("GAAP") and presented in dollars. The selected historical consolidated financial information set forth below has been derived from the historical Consolidated Financial Statements of Amdocs for the years presented. Historical information as of and for the five years ended September 30, 2000 is derived from our Consolidated Financial Statements, which have been audited by Ernst &amp; Young LLP, our independent auditors.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information presented below is qualified by the more detailed historical Consolidated Financial Statements included elsewhere in this report and should be read in conjunction with those Consolidated Financial Statements and the discussion under "Operating and Financial Review and Prospects" included elsewhere in this report.</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20" w:type="dxa"/>
            <w:vAlign w:val="bottom"/>
            <w:gridSpan w:val="3"/>
          </w:tcPr>
          <w:p>
            <w:pPr>
              <w:jc w:val="right"/>
              <w:ind w:right="622"/>
              <w:spacing w:after="0"/>
              <w:rPr>
                <w:sz w:val="20"/>
                <w:szCs w:val="20"/>
                <w:color w:val="auto"/>
              </w:rPr>
            </w:pPr>
            <w:r>
              <w:rPr>
                <w:rFonts w:ascii="Courier New" w:cs="Courier New" w:eastAsia="Courier New" w:hAnsi="Courier New"/>
                <w:sz w:val="16"/>
                <w:szCs w:val="16"/>
                <w:color w:val="auto"/>
              </w:rPr>
              <w:t>YEAR ENDED SEPTEMBER 30,</w:t>
            </w:r>
          </w:p>
        </w:tc>
        <w:tc>
          <w:tcPr>
            <w:tcW w:w="880" w:type="dxa"/>
            <w:vAlign w:val="bottom"/>
          </w:tcPr>
          <w:p>
            <w:pPr>
              <w:spacing w:after="0"/>
              <w:rPr>
                <w:sz w:val="15"/>
                <w:szCs w:val="15"/>
                <w:color w:val="auto"/>
              </w:rPr>
            </w:pPr>
          </w:p>
        </w:tc>
      </w:tr>
      <w:tr>
        <w:trPr>
          <w:trHeight w:val="180"/>
        </w:trPr>
        <w:tc>
          <w:tcPr>
            <w:tcW w:w="3380" w:type="dxa"/>
            <w:vAlign w:val="bottom"/>
          </w:tcPr>
          <w:p>
            <w:pPr>
              <w:spacing w:after="0"/>
              <w:rPr>
                <w:sz w:val="15"/>
                <w:szCs w:val="15"/>
                <w:color w:val="auto"/>
              </w:rPr>
            </w:pPr>
          </w:p>
        </w:tc>
        <w:tc>
          <w:tcPr>
            <w:tcW w:w="55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38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1999</w:t>
            </w:r>
          </w:p>
        </w:tc>
        <w:tc>
          <w:tcPr>
            <w:tcW w:w="15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3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7"/>
              </w:rPr>
              <w:t>(IN THOUSANDS, EXCEPT PER SHARE DATA)</w:t>
            </w:r>
          </w:p>
        </w:tc>
        <w:tc>
          <w:tcPr>
            <w:tcW w:w="880" w:type="dxa"/>
            <w:vAlign w:val="bottom"/>
          </w:tcPr>
          <w:p>
            <w:pPr>
              <w:spacing w:after="0"/>
              <w:rPr>
                <w:sz w:val="15"/>
                <w:szCs w:val="15"/>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Revenue............................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$1,118,320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$626,855</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$403,767</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$290,102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$211,720</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Operating income...................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74,124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146,998</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84,895</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26,969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35,490</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Net income(1)......................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5,978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98,543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30,107</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5,876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24,508</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Basic earnings per share...........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0.19</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0.05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Diluted earnings per share.........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0.49</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0.19</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0.05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Dividends declared per share.......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3.76</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r>
        <w:trPr>
          <w:trHeight w:val="902"/>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OF SEPTEMBER 30,</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3380" w:type="dxa"/>
            <w:vAlign w:val="bottom"/>
          </w:tcPr>
          <w:p>
            <w:pPr>
              <w:spacing w:after="0"/>
              <w:rPr>
                <w:sz w:val="15"/>
                <w:szCs w:val="15"/>
                <w:color w:val="auto"/>
              </w:rPr>
            </w:pPr>
          </w:p>
        </w:tc>
        <w:tc>
          <w:tcPr>
            <w:tcW w:w="55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38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1999</w:t>
            </w:r>
          </w:p>
        </w:tc>
        <w:tc>
          <w:tcPr>
            <w:tcW w:w="15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3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(IN THOUSANDS)</w:t>
            </w: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$1,935,085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$430,011</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$239,966</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$220,582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$104,531</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Long-term obligations (net of</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current portion).................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23,417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17,148</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9,215</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7,370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1,663</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(deficit)(2)(3)..................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1,430,772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123,737</w:t>
            </w:r>
          </w:p>
        </w:tc>
        <w:tc>
          <w:tcPr>
            <w:tcW w:w="15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(21,889)</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94,253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15,988</w:t>
            </w:r>
          </w:p>
        </w:tc>
      </w:tr>
      <w:tr>
        <w:trPr>
          <w:trHeight w:val="541"/>
        </w:trPr>
        <w:tc>
          <w:tcPr>
            <w:tcW w:w="3380" w:type="dxa"/>
            <w:vAlign w:val="bottom"/>
          </w:tcPr>
          <w:p>
            <w:pPr>
              <w:spacing w:after="0"/>
              <w:rPr>
                <w:sz w:val="24"/>
                <w:szCs w:val="2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6"/>
                <w:szCs w:val="16"/>
                <w:color w:val="auto"/>
              </w:rPr>
              <w:t>2</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4" w:name="page5"/>
    <w:bookmarkEnd w:id="4"/>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w:t>
            </w: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721"/>
        </w:trPr>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ORDINARY SHARES</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AMOUNT</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361"/>
        </w:trPr>
        <w:tc>
          <w:tcPr>
            <w:tcW w:w="524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w w:val="97"/>
              </w:rPr>
              <w:t>STATEMENT OF CHANGES IN SHAREHOLDERS' EQUITY DATA:</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Balance as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October 1, 1996..........................</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107,916</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$1,727</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Issuance</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ordinary shares..........................</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16,792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269</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Balance as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September 30, 1997.......................</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124,708</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Issuance</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ordinary shares(2).......................</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72,092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1,153</w:t>
            </w:r>
          </w:p>
        </w:tc>
      </w:tr>
      <w:tr>
        <w:trPr>
          <w:trHeight w:val="180"/>
        </w:trPr>
        <w:tc>
          <w:tcPr>
            <w:tcW w:w="52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Stock options granted, net of forfeitures............</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Balance as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September 30, 1998.......................</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196,800</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3,149</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Issuance</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ordinary shares(2).......................</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w:t>
            </w:r>
          </w:p>
        </w:tc>
      </w:tr>
      <w:tr>
        <w:trPr>
          <w:trHeight w:val="180"/>
        </w:trPr>
        <w:tc>
          <w:tcPr>
            <w:tcW w:w="52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Stock options granted, net of forfeitures............</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Balance as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September 30, 1999.......................</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198,800</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3,181</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Issuance</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ordinary shares related to acquisitions,</w:t>
            </w: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net(3)</w:t>
            </w:r>
          </w:p>
        </w:tc>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20,307</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325</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Employee</w:t>
            </w:r>
          </w:p>
        </w:tc>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w w:val="99"/>
              </w:rPr>
              <w:t>stock options exercised.....................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2,058</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w:t>
            </w:r>
          </w:p>
        </w:tc>
      </w:tr>
      <w:tr>
        <w:trPr>
          <w:trHeight w:val="180"/>
        </w:trPr>
        <w:tc>
          <w:tcPr>
            <w:tcW w:w="1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Tax benefit</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of stock options exercised...............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52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Stock options granted................................</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Balance as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9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September 30, 2000.......................</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221,165</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$3,539</w:t>
            </w:r>
          </w:p>
        </w:tc>
      </w:tr>
      <w:tr>
        <w:trPr>
          <w:trHeight w:val="180"/>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560" w:hanging="384"/>
        <w:spacing w:after="0" w:line="238"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2000, we recorded nonrecurring acquisition-related charges aggregating to $75,617, relating to our acquisitions of International Telecommunication Data Systems, Inc. ("ITDS") in November 1999 and Solect Technology Group Inc. ("Solect") in April 2000, in stock-for-stock transactions. The charges related to the ITDS transaction aggregated to $19,876 and were incurred by us in the first quarter of fiscal 2000. The charges related to the Solect transaction aggregated to $55,741 and were incurred by us in the third quarter of fiscal 2000. Each of these charges included write-offs of purchased in-process research and development and other indirect acquisition-related costs. In the fourth quarter of fiscal 1997, we recorded nonrecurring charges of $27,563. Of such amount, $25,763 was attributable to the funding of a contribution to a trust and the balance, $1,800, was due to the write-off of in-process technology related to certain software rights acquired from several operating subsidiaries of SBC Communications Inc. ("SBC").</w:t>
      </w:r>
    </w:p>
    <w:p>
      <w:pPr>
        <w:spacing w:after="0" w:line="189" w:lineRule="exact"/>
        <w:rPr>
          <w:rFonts w:ascii="Courier New" w:cs="Courier New" w:eastAsia="Courier New" w:hAnsi="Courier New"/>
          <w:sz w:val="16"/>
          <w:szCs w:val="16"/>
          <w:color w:val="auto"/>
        </w:rPr>
      </w:pPr>
    </w:p>
    <w:p>
      <w:pPr>
        <w:ind w:left="384" w:right="560" w:hanging="384"/>
        <w:spacing w:after="0" w:line="237"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completed our initial public offering of 18,000 ordinary shares in June 1998 and a public offering of an additional 2,000 ordinary shares in June 1999. The net proceeds to us from the offerings were $234,190 and $41,384, respectively.</w:t>
      </w:r>
    </w:p>
    <w:p>
      <w:pPr>
        <w:spacing w:after="0" w:line="185" w:lineRule="exact"/>
        <w:rPr>
          <w:rFonts w:ascii="Courier New" w:cs="Courier New" w:eastAsia="Courier New" w:hAnsi="Courier New"/>
          <w:sz w:val="16"/>
          <w:szCs w:val="16"/>
          <w:color w:val="auto"/>
        </w:rPr>
      </w:pPr>
    </w:p>
    <w:p>
      <w:pPr>
        <w:ind w:left="384" w:right="380" w:hanging="384"/>
        <w:spacing w:after="0" w:line="237"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of 7,564 ordinary shares, including shares issuable upon exercise of vested ITDS employee options, were issued in connection with the ITDS acquisition, and an aggregate of 15,500 ordinary shares, including shares issuable upon exercise of vested Solect employee options, were issued in connection with the Solect acquisition.</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left="4" w:right="560" w:firstLine="188"/>
        <w:spacing w:after="0" w:line="236" w:lineRule="auto"/>
        <w:rPr>
          <w:sz w:val="20"/>
          <w:szCs w:val="20"/>
          <w:color w:val="auto"/>
        </w:rPr>
      </w:pPr>
      <w:r>
        <w:rPr>
          <w:rFonts w:ascii="Courier New" w:cs="Courier New" w:eastAsia="Courier New" w:hAnsi="Courier New"/>
          <w:sz w:val="16"/>
          <w:szCs w:val="16"/>
          <w:color w:val="auto"/>
        </w:rPr>
        <w:t>FUNDAMENTAL CHANGES IN THE COMMUNICATIONS MARKET COULD REDUCE DEMAND FOR OUR SYSTEMS</w:t>
      </w:r>
    </w:p>
    <w:p>
      <w:pPr>
        <w:spacing w:after="0" w:line="185" w:lineRule="exact"/>
        <w:rPr>
          <w:sz w:val="20"/>
          <w:szCs w:val="20"/>
          <w:color w:val="auto"/>
        </w:rPr>
      </w:pPr>
    </w:p>
    <w:p>
      <w:pPr>
        <w:ind w:left="4" w:right="380" w:firstLine="469"/>
        <w:spacing w:after="0" w:line="238" w:lineRule="auto"/>
        <w:rPr>
          <w:sz w:val="20"/>
          <w:szCs w:val="20"/>
          <w:color w:val="auto"/>
        </w:rPr>
      </w:pPr>
      <w:r>
        <w:rPr>
          <w:rFonts w:ascii="Courier New" w:cs="Courier New" w:eastAsia="Courier New" w:hAnsi="Courier New"/>
          <w:sz w:val="16"/>
          <w:szCs w:val="16"/>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85" w:lineRule="exact"/>
        <w:rPr>
          <w:sz w:val="20"/>
          <w:szCs w:val="20"/>
          <w:color w:val="auto"/>
        </w:rPr>
      </w:pPr>
    </w:p>
    <w:p>
      <w:pPr>
        <w:ind w:left="4" w:right="380" w:firstLine="469"/>
        <w:spacing w:after="0" w:line="237" w:lineRule="auto"/>
        <w:rPr>
          <w:sz w:val="20"/>
          <w:szCs w:val="20"/>
          <w:color w:val="auto"/>
        </w:rPr>
      </w:pPr>
      <w:r>
        <w:rPr>
          <w:rFonts w:ascii="Courier New" w:cs="Courier New" w:eastAsia="Courier New" w:hAnsi="Courier New"/>
          <w:sz w:val="16"/>
          <w:szCs w:val="16"/>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as well as a broader introduction of electronic directories. Our new products for these markets may not be successful and we believe our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ADDITIONAL</w:t>
      </w:r>
    </w:p>
    <w:p>
      <w:pPr>
        <w:spacing w:after="0" w:line="5" w:lineRule="exact"/>
        <w:rPr>
          <w:sz w:val="20"/>
          <w:szCs w:val="20"/>
          <w:color w:val="auto"/>
        </w:rPr>
      </w:pPr>
    </w:p>
    <w:p>
      <w:pPr>
        <w:ind w:left="90"/>
        <w:spacing w:after="0"/>
        <w:rPr>
          <w:sz w:val="20"/>
          <w:szCs w:val="20"/>
          <w:color w:val="auto"/>
        </w:rPr>
      </w:pPr>
      <w:r>
        <w:rPr>
          <w:rFonts w:ascii="Courier New" w:cs="Courier New" w:eastAsia="Courier New" w:hAnsi="Courier New"/>
          <w:sz w:val="16"/>
          <w:szCs w:val="16"/>
          <w:color w:val="auto"/>
        </w:rPr>
        <w:t>PAID-IN</w:t>
      </w:r>
    </w:p>
    <w:p>
      <w:pPr>
        <w:ind w:left="90"/>
        <w:spacing w:after="0"/>
        <w:rPr>
          <w:sz w:val="20"/>
          <w:szCs w:val="20"/>
          <w:color w:val="auto"/>
        </w:rPr>
      </w:pPr>
      <w:r>
        <w:rPr>
          <w:rFonts w:ascii="Courier New" w:cs="Courier New" w:eastAsia="Courier New" w:hAnsi="Courier New"/>
          <w:sz w:val="16"/>
          <w:szCs w:val="16"/>
          <w:color w:val="auto"/>
        </w:rPr>
        <w:t>CAPITAL</w:t>
      </w:r>
    </w:p>
    <w:p>
      <w:pPr>
        <w:spacing w:after="0" w:line="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2" w:lineRule="exact"/>
        <w:rPr>
          <w:sz w:val="20"/>
          <w:szCs w:val="20"/>
          <w:color w:val="auto"/>
        </w:rPr>
      </w:pPr>
    </w:p>
    <w:p>
      <w:pPr>
        <w:ind w:left="370" w:hanging="370"/>
        <w:spacing w:after="0"/>
        <w:tabs>
          <w:tab w:leader="none" w:pos="3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14,348</w:t>
      </w:r>
    </w:p>
    <w:p>
      <w:pPr>
        <w:spacing w:after="0" w:line="10" w:lineRule="exact"/>
        <w:rPr>
          <w:rFonts w:ascii="Courier New" w:cs="Courier New" w:eastAsia="Courier New" w:hAnsi="Courier New"/>
          <w:sz w:val="15"/>
          <w:szCs w:val="15"/>
          <w:color w:val="auto"/>
        </w:rPr>
      </w:pPr>
    </w:p>
    <w:p>
      <w:pPr>
        <w:ind w:left="3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91,431</w:t>
      </w:r>
    </w:p>
    <w:p>
      <w:pPr>
        <w:spacing w:after="0" w:line="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6"/>
          <w:szCs w:val="16"/>
          <w:color w:val="auto"/>
        </w:rPr>
        <w:t>105,779</w:t>
      </w:r>
    </w:p>
    <w:p>
      <w:pPr>
        <w:jc w:val="right"/>
        <w:ind w:right="1039"/>
        <w:spacing w:after="0"/>
        <w:rPr>
          <w:sz w:val="20"/>
          <w:szCs w:val="20"/>
          <w:color w:val="auto"/>
        </w:rPr>
      </w:pPr>
      <w:r>
        <w:rPr>
          <w:rFonts w:ascii="Courier New" w:cs="Courier New" w:eastAsia="Courier New" w:hAnsi="Courier New"/>
          <w:sz w:val="16"/>
          <w:szCs w:val="16"/>
          <w:color w:val="auto"/>
        </w:rPr>
        <w:t>331,485</w:t>
      </w:r>
    </w:p>
    <w:p>
      <w:pPr>
        <w:jc w:val="right"/>
        <w:ind w:right="1039"/>
        <w:spacing w:after="0" w:line="237" w:lineRule="auto"/>
        <w:rPr>
          <w:sz w:val="20"/>
          <w:szCs w:val="20"/>
          <w:color w:val="auto"/>
        </w:rPr>
      </w:pPr>
      <w:r>
        <w:rPr>
          <w:rFonts w:ascii="Courier New" w:cs="Courier New" w:eastAsia="Courier New" w:hAnsi="Courier New"/>
          <w:sz w:val="16"/>
          <w:szCs w:val="16"/>
          <w:color w:val="auto"/>
        </w:rPr>
        <w:t>10,239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6"/>
          <w:szCs w:val="16"/>
          <w:color w:val="auto"/>
        </w:rPr>
        <w:t>447,503</w:t>
      </w:r>
    </w:p>
    <w:p>
      <w:pPr>
        <w:jc w:val="right"/>
        <w:ind w:right="1039"/>
        <w:spacing w:after="0"/>
        <w:rPr>
          <w:sz w:val="20"/>
          <w:szCs w:val="20"/>
          <w:color w:val="auto"/>
        </w:rPr>
      </w:pPr>
      <w:r>
        <w:rPr>
          <w:rFonts w:ascii="Courier New" w:cs="Courier New" w:eastAsia="Courier New" w:hAnsi="Courier New"/>
          <w:sz w:val="16"/>
          <w:szCs w:val="16"/>
          <w:color w:val="auto"/>
        </w:rPr>
        <w:t>41,352</w:t>
      </w:r>
    </w:p>
    <w:p>
      <w:pPr>
        <w:jc w:val="right"/>
        <w:ind w:right="1039"/>
        <w:spacing w:after="0" w:line="237" w:lineRule="auto"/>
        <w:rPr>
          <w:sz w:val="20"/>
          <w:szCs w:val="20"/>
          <w:color w:val="auto"/>
        </w:rPr>
      </w:pPr>
      <w:r>
        <w:rPr>
          <w:rFonts w:ascii="Courier New" w:cs="Courier New" w:eastAsia="Courier New" w:hAnsi="Courier New"/>
          <w:sz w:val="16"/>
          <w:szCs w:val="16"/>
          <w:color w:val="auto"/>
        </w:rPr>
        <w:t>244</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6"/>
          <w:szCs w:val="16"/>
          <w:color w:val="auto"/>
        </w:rPr>
        <w:t>489,099</w:t>
      </w:r>
    </w:p>
    <w:p>
      <w:pPr>
        <w:spacing w:after="0" w:line="179"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6"/>
          <w:szCs w:val="16"/>
          <w:color w:val="auto"/>
        </w:rPr>
        <w:t>1,263,330</w:t>
      </w:r>
    </w:p>
    <w:p>
      <w:pPr>
        <w:jc w:val="right"/>
        <w:ind w:right="1039"/>
        <w:spacing w:after="0"/>
        <w:rPr>
          <w:sz w:val="20"/>
          <w:szCs w:val="20"/>
          <w:color w:val="auto"/>
        </w:rPr>
      </w:pPr>
      <w:r>
        <w:rPr>
          <w:rFonts w:ascii="Courier New" w:cs="Courier New" w:eastAsia="Courier New" w:hAnsi="Courier New"/>
          <w:sz w:val="16"/>
          <w:szCs w:val="16"/>
          <w:color w:val="auto"/>
        </w:rPr>
        <w:t>21,327</w:t>
      </w:r>
    </w:p>
    <w:p>
      <w:pPr>
        <w:jc w:val="right"/>
        <w:ind w:right="1039"/>
        <w:spacing w:after="0" w:line="237" w:lineRule="auto"/>
        <w:rPr>
          <w:sz w:val="20"/>
          <w:szCs w:val="20"/>
          <w:color w:val="auto"/>
        </w:rPr>
      </w:pPr>
      <w:r>
        <w:rPr>
          <w:rFonts w:ascii="Courier New" w:cs="Courier New" w:eastAsia="Courier New" w:hAnsi="Courier New"/>
          <w:sz w:val="16"/>
          <w:szCs w:val="16"/>
          <w:color w:val="auto"/>
        </w:rPr>
        <w:t>10,825</w:t>
      </w:r>
    </w:p>
    <w:p>
      <w:pPr>
        <w:jc w:val="right"/>
        <w:ind w:right="1039"/>
        <w:spacing w:after="0"/>
        <w:rPr>
          <w:sz w:val="20"/>
          <w:szCs w:val="20"/>
          <w:color w:val="auto"/>
        </w:rPr>
      </w:pPr>
      <w:r>
        <w:rPr>
          <w:rFonts w:ascii="Courier New" w:cs="Courier New" w:eastAsia="Courier New" w:hAnsi="Courier New"/>
          <w:sz w:val="16"/>
          <w:szCs w:val="16"/>
          <w:color w:val="auto"/>
        </w:rPr>
        <w:t>235</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$1,784,816</w:t>
      </w:r>
    </w:p>
    <w:p>
      <w:pPr>
        <w:spacing w:after="0" w:line="1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9204" w:lineRule="exact"/>
        <w:rPr>
          <w:sz w:val="20"/>
          <w:szCs w:val="20"/>
          <w:color w:val="auto"/>
        </w:rPr>
      </w:pPr>
    </w:p>
    <w:p>
      <w:pPr>
        <w:sectPr>
          <w:pgSz w:w="11900" w:h="16838" w:orient="portrait"/>
          <w:cols w:equalWidth="0" w:num="2">
            <w:col w:w="7884" w:space="370"/>
            <w:col w:w="1969"/>
          </w:cols>
          <w:pgMar w:left="236" w:top="293" w:right="1440" w:bottom="1009" w:gutter="0" w:footer="0" w:header="0"/>
        </w:sect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293" w:right="1440" w:bottom="1009"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3659"/>
        <w:spacing w:after="0" w:line="263" w:lineRule="auto"/>
        <w:rPr>
          <w:sz w:val="20"/>
          <w:szCs w:val="20"/>
          <w:color w:val="auto"/>
        </w:rPr>
      </w:pPr>
      <w:r>
        <w:rPr>
          <w:rFonts w:ascii="Courier New" w:cs="Courier New" w:eastAsia="Courier New" w:hAnsi="Courier New"/>
          <w:sz w:val="15"/>
          <w:szCs w:val="15"/>
          <w:color w:val="auto"/>
        </w:rPr>
        <w:t>levels of revenue from the sales of products and services to directory publishers are not likely to grow but will remain relatively stable.</w:t>
      </w:r>
    </w:p>
    <w:p>
      <w:pPr>
        <w:spacing w:after="0" w:line="169" w:lineRule="exact"/>
        <w:rPr>
          <w:sz w:val="20"/>
          <w:szCs w:val="20"/>
          <w:color w:val="auto"/>
        </w:rPr>
      </w:pPr>
    </w:p>
    <w:p>
      <w:pPr>
        <w:ind w:left="180" w:right="3479"/>
        <w:spacing w:after="0" w:line="236" w:lineRule="auto"/>
        <w:rPr>
          <w:sz w:val="20"/>
          <w:szCs w:val="20"/>
          <w:color w:val="auto"/>
        </w:rPr>
      </w:pPr>
      <w:r>
        <w:rPr>
          <w:rFonts w:ascii="Courier New" w:cs="Courier New" w:eastAsia="Courier New" w:hAnsi="Courier New"/>
          <w:sz w:val="16"/>
          <w:szCs w:val="16"/>
          <w:color w:val="auto"/>
        </w:rPr>
        <w:t>IF WE CANNOT COMPETE SUCCESSFULLY WITH EXISTING OR NEW COMPETITORS OUR BUSINESS COULD BE MATERIALLY ADVERSELY AFFECTED</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88"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also believe that our ability to compete depends in part on a number of factors, including:</w:t>
      </w:r>
    </w:p>
    <w:p>
      <w:pPr>
        <w:spacing w:after="0" w:line="185" w:lineRule="exact"/>
        <w:rPr>
          <w:sz w:val="20"/>
          <w:szCs w:val="20"/>
          <w:color w:val="auto"/>
        </w:rPr>
      </w:pPr>
    </w:p>
    <w:p>
      <w:pPr>
        <w:ind w:left="740" w:right="3279" w:hanging="275"/>
        <w:spacing w:after="0" w:line="236"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by others of software that is competitive with our products and services,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at which others offer competitive software and services,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responsiveness of our competitors to customer needs, and</w:t>
      </w:r>
    </w:p>
    <w:p>
      <w:pPr>
        <w:spacing w:after="0" w:line="184" w:lineRule="exact"/>
        <w:rPr>
          <w:rFonts w:ascii="Courier New" w:cs="Courier New" w:eastAsia="Courier New" w:hAnsi="Courier New"/>
          <w:sz w:val="16"/>
          <w:szCs w:val="16"/>
          <w:color w:val="auto"/>
        </w:rPr>
      </w:pPr>
    </w:p>
    <w:p>
      <w:pPr>
        <w:ind w:left="740" w:right="3559" w:hanging="275"/>
        <w:spacing w:after="0" w:line="236"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our competitors to hire, retain and motivate key personnel.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WE MUST CONTINUALLY ENHANCE OUR PRODUCTS TO REMAIN COMPETITIVE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Systems ("BSS") products that operate in state-of-the-art computing environments.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2899" w:firstLine="469"/>
        <w:spacing w:after="0" w:line="254" w:lineRule="auto"/>
        <w:rPr>
          <w:sz w:val="20"/>
          <w:szCs w:val="20"/>
          <w:color w:val="auto"/>
        </w:rPr>
      </w:pPr>
      <w:r>
        <w:rPr>
          <w:rFonts w:ascii="Courier New" w:cs="Courier New" w:eastAsia="Courier New" w:hAnsi="Courier New"/>
          <w:sz w:val="15"/>
          <w:szCs w:val="15"/>
          <w:color w:val="auto"/>
        </w:rPr>
        <w:t>On November 30, 1999, in a stock-for-stock transaction, we completed our acquisition of International Telecommunication Data Systems, Inc. ("ITDS"), a leading provider of billing and customer care service bureau solutions to wireless communications service providers. On April 5, 2000, in a stock-for-stock transaction, we completed our acquisition of Solect Technology Group Inc. ("Solect"), a leading provider of Internet Protocol ("IP") billing and customer care software to Internet service providers, including wireless</w:t>
      </w:r>
    </w:p>
    <w:p>
      <w:pPr>
        <w:ind w:left="3740"/>
        <w:spacing w:after="0" w:line="238" w:lineRule="auto"/>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companies and Application Service Providers ("ASPs").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that the ITDS or Solect acquisitions will enhance our products or strengthen our competitive position or that we will be able to successfully and efficiently integrate these businesses into our own.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9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(see below), accounted for approximately 39.7%, 33.4% and 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w:t>
      </w:r>
    </w:p>
    <w:p>
      <w:pPr>
        <w:spacing w:after="0" w:line="191"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One of our largest groups of customers is SBC Communications Inc. ("SBC") and its operating subsidiaries. SBC International Inc. ("SBCI"), a wholly-owned subsidiary of SBC, is also one of our largest shareholders. As of December 1, 2000, it held approximately 10.4% of our outstanding voting ordinary shares and all of our outstanding non-voting ordinary shares. A significant decrease in the sale of products and services to SBC or its subsidiaries may materially adversely affect our results of operations and financial condition.</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12.6%, 15.9% and 20.8% of our total revenue in fiscal 2000, 1999 and 1998, respectively. The amount of revenue attributable to SBC and such subsidiaries amounted to $141.0 million, $99.5 million and $84.4 million in fiscal 2000, 1999 and 1998, respectively.</w:t>
      </w:r>
    </w:p>
    <w:p>
      <w:pPr>
        <w:spacing w:after="0" w:line="185" w:lineRule="exact"/>
        <w:rPr>
          <w:sz w:val="20"/>
          <w:szCs w:val="20"/>
          <w:color w:val="auto"/>
        </w:rPr>
      </w:pPr>
    </w:p>
    <w:p>
      <w:pPr>
        <w:ind w:right="2899" w:firstLine="188"/>
        <w:spacing w:after="0" w:line="236" w:lineRule="auto"/>
        <w:rPr>
          <w:sz w:val="20"/>
          <w:szCs w:val="20"/>
          <w:color w:val="auto"/>
        </w:rPr>
      </w:pPr>
      <w:r>
        <w:rPr>
          <w:rFonts w:ascii="Courier New" w:cs="Courier New" w:eastAsia="Courier New" w:hAnsi="Courier New"/>
          <w:sz w:val="16"/>
          <w:szCs w:val="16"/>
          <w:color w:val="auto"/>
        </w:rPr>
        <w:t>OUR FUTURE SUCCESS DEPENDS ON OUR ABILITY TO DEVELOP LONG-TERM RELATIONSHIPS WITH OUR CUSTOMERS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SKILLED EMPLOYEES THAT WE NEED MAY BE DIFFICULT TO HIRE AND RETAIN</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7,900 software and information technology specialists, of which over 4,200 are located in Israel and 1,900 are located in North America. We intensively recruit technical personnel for our principal development centers in Israel, the United States, Cyprus, Ireland and Canada. Our ability to</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QUARTERLY OPERATING RESULTS MAY FLUCTUATE</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81" w:lineRule="exact"/>
        <w:rPr>
          <w:sz w:val="20"/>
          <w:szCs w:val="20"/>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and timing of significant customer projects and license fees,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competition,</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cancellations of significant projects by customers,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operating expenses,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strategy,</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changes,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exchange rates, and</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and political factors.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LENGTHY SALES CYCLE MAKES IT DIFFICULT TO ANTICIPATE THE TIMING OF SALES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OUR INTERNATIONAL PRESENCE CREATES SPECIAL RISKS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We are subject to certain risks inherent in doing business in international markets, including:</w:t>
      </w:r>
    </w:p>
    <w:p>
      <w:pPr>
        <w:spacing w:after="0" w:line="180" w:lineRule="exact"/>
        <w:rPr>
          <w:sz w:val="20"/>
          <w:szCs w:val="20"/>
          <w:color w:val="auto"/>
        </w:rPr>
      </w:pPr>
    </w:p>
    <w:p>
      <w:pPr>
        <w:ind w:left="740" w:hanging="27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acceptance of non-localized products,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and cultural differences in the conduct of business,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staffing and managing foreign operations,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w:t>
      </w:r>
    </w:p>
    <w:p>
      <w:pPr>
        <w:spacing w:after="0" w:line="184" w:lineRule="exact"/>
        <w:rPr>
          <w:rFonts w:ascii="Courier New" w:cs="Courier New" w:eastAsia="Courier New" w:hAnsi="Courier New"/>
          <w:sz w:val="16"/>
          <w:szCs w:val="16"/>
          <w:color w:val="auto"/>
        </w:rPr>
      </w:pPr>
    </w:p>
    <w:p>
      <w:pPr>
        <w:ind w:left="740" w:right="3099" w:hanging="275"/>
        <w:spacing w:after="0" w:line="236"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collecting accounts receivable and withholding taxes that limit the repatriation of earnings,</w:t>
      </w:r>
    </w:p>
    <w:p>
      <w:pPr>
        <w:spacing w:after="0" w:line="179"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barriers,</w:t>
      </w:r>
    </w:p>
    <w:p>
      <w:pPr>
        <w:spacing w:after="0" w:line="184"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85" w:lineRule="exact"/>
        <w:rPr>
          <w:rFonts w:ascii="Courier New" w:cs="Courier New" w:eastAsia="Courier New" w:hAnsi="Courier New"/>
          <w:sz w:val="15"/>
          <w:szCs w:val="15"/>
          <w:color w:val="auto"/>
        </w:rPr>
      </w:pPr>
    </w:p>
    <w:p>
      <w:pPr>
        <w:ind w:left="740" w:hanging="27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 and</w:t>
      </w:r>
    </w:p>
    <w:p>
      <w:pPr>
        <w:spacing w:after="0" w:line="184" w:lineRule="exact"/>
        <w:rPr>
          <w:rFonts w:ascii="Courier New" w:cs="Courier New" w:eastAsia="Courier New" w:hAnsi="Courier New"/>
          <w:sz w:val="16"/>
          <w:szCs w:val="16"/>
          <w:color w:val="auto"/>
        </w:rPr>
      </w:pPr>
    </w:p>
    <w:p>
      <w:pPr>
        <w:ind w:left="740" w:right="3379" w:hanging="275"/>
        <w:spacing w:after="0" w:line="236"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effective income tax rates among countries where we conduct business.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One or more of these factors could have a material adverse effect on our international operations.</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We maintain development facilities in Israel, the United States, Cyprus, Ireland and Canada, operate a support center in Brazil and have operations in North America, Europe, Latin America and the Asia-Pacific region. Although a majority of our revenue in fiscal 2000 was derived from customers in North America and Europe, we obtain significant revenue from customers in the Asia-Pacific region and Latin America. Our strategy is to continue to broaden our European and North American customer base and to expand into new international markets.</w:t>
      </w:r>
    </w:p>
    <w:p>
      <w:pPr>
        <w:spacing w:after="0" w:line="185" w:lineRule="exact"/>
        <w:rPr>
          <w:sz w:val="20"/>
          <w:szCs w:val="20"/>
          <w:color w:val="auto"/>
        </w:rPr>
      </w:pPr>
    </w:p>
    <w:p>
      <w:pPr>
        <w:ind w:right="3099" w:firstLine="188"/>
        <w:spacing w:after="0" w:line="236" w:lineRule="auto"/>
        <w:rPr>
          <w:sz w:val="20"/>
          <w:szCs w:val="20"/>
          <w:color w:val="auto"/>
        </w:rPr>
      </w:pPr>
      <w:r>
        <w:rPr>
          <w:rFonts w:ascii="Courier New" w:cs="Courier New" w:eastAsia="Courier New" w:hAnsi="Courier New"/>
          <w:sz w:val="16"/>
          <w:szCs w:val="16"/>
          <w:color w:val="auto"/>
        </w:rPr>
        <w:t>FLUCTUATIONS IN FOREIGN CURRENCY EXCHANGE RATES COULD ADVERSELY AFFECT OUR BUSINESS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86"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imposition of exchange or price controls or other restrictions on the conversion of foreign currencies could also have a material adverse effect on our business, results of operations and financial condition.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WE MAY BE UNABLE TO PROTECT OUR PROPRIETARY TECHNOLOGY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w:t>
      </w:r>
    </w:p>
    <w:p>
      <w:pPr>
        <w:sectPr>
          <w:pgSz w:w="11900" w:h="16838" w:orient="portrait"/>
          <w:cols w:equalWidth="0" w:num="1">
            <w:col w:w="10219"/>
          </w:cols>
          <w:pgMar w:left="240" w:top="293" w:right="1440" w:bottom="1009" w:gutter="0" w:footer="0" w:header="0"/>
        </w:sectPr>
      </w:pP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009"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not protect our proprietary technology to the same extent as the laws of the United States. Other companies could independently develop similar or superior technology without violating our proprietary rights.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we have to resort to legal proceedings to enforce our intellectual property rights, the proceedings could be burdensome and expensive and could involve a high degree of risk.</w:t>
      </w:r>
    </w:p>
    <w:p>
      <w:pPr>
        <w:spacing w:after="0" w:line="185" w:lineRule="exact"/>
        <w:rPr>
          <w:sz w:val="20"/>
          <w:szCs w:val="20"/>
          <w:color w:val="auto"/>
        </w:rPr>
      </w:pPr>
    </w:p>
    <w:p>
      <w:pPr>
        <w:ind w:left="180" w:right="2819"/>
        <w:spacing w:after="0" w:line="236" w:lineRule="auto"/>
        <w:rPr>
          <w:sz w:val="20"/>
          <w:szCs w:val="20"/>
          <w:color w:val="auto"/>
        </w:rPr>
      </w:pPr>
      <w:r>
        <w:rPr>
          <w:rFonts w:ascii="Courier New" w:cs="Courier New" w:eastAsia="Courier New" w:hAnsi="Courier New"/>
          <w:sz w:val="16"/>
          <w:szCs w:val="16"/>
          <w:color w:val="auto"/>
        </w:rPr>
        <w:t>CLAIMS BY OTHERS THAT WE INFRINGE THEIR PROPRIETARY TECHNOLOGY COULD HARM OUR BUSINESS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8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85"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THE TERMINATION OR REDUCTION OF CERTAIN GOVERNMENT PROGRAMS AND TAX BENEFITS COULD ADVERSELY AFFECT OUR OVERALL EFFECTIVE TAX RATE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Any of the following could have a material affect on our overall effective tax rate:</w:t>
      </w:r>
    </w:p>
    <w:p>
      <w:pPr>
        <w:spacing w:after="0" w:line="180" w:lineRule="exact"/>
        <w:rPr>
          <w:sz w:val="20"/>
          <w:szCs w:val="20"/>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programs may be discontinued,</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be unable to meet the requirements for continuing to qualify for some programs,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programs and tax benefits may be unavailable at their current levels,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PRODUCT DEFECTS OR SOFTWARE ERRORS COULD ADVERSELY AFFECT OUR BUSINESS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3"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7"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OUR DEVELOPMENT FACILITIES IN ISRAEL AND CYPRUS MAY BE ADVERSELY AFFECTED BY POLITICAL AND ECONOMIC CONDITIONS IN THOSE COUNTRIES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Out of the five development centers we maintain worldwide, our largest development center is located in Israel, which is also where we employ over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While Israel has entered into peace agreements with both Egypt and Jordan and several other countries have announced their intentions to establish trade and other relations with Israel, Israel has not entered into any peace arrangement with Syria or Lebanon. Moreover, while Israel is in the process of conducting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8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INFORMATION ON THE COMPANY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HISTORY AND DEVELOPMENT OF AMDOCS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Both our legal and commercial name is Amdocs Limited. We are a holding company, originally incorporated under the laws of the Island of Guernsey in 1988. From the inception of our business in 1982 until 1995, our business operated through a group of companies owned by common shareholders. Amdocs Limited became the holding company for all these affiliated companies in 1995. Our global business, conducted through subsidiaries, is to provide information system solutions to major communications companies in North America, Europe and the rest of the world. Our registered office is located in Suite 5, Tower Hill House Le Bordage, St. Peter Port, Island of Guernsey, GY1 3QT Channel Islands, and the telephone number at that location is 011-44-1481-728444.</w:t>
      </w:r>
    </w:p>
    <w:p>
      <w:pPr>
        <w:spacing w:after="0" w:line="179"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7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On November 30, 1999, in a stock-for-stock transaction, we completed the acquisition of ITDS, a leading provider of customer care and billing service bureau solutions to wireless communications providers. Our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acquisition of ITDS enabled us to expand our service offering, enhancing our ability to provide outsourcing solutions for customers using our systems.</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April 5, 2000, in a stock-for-stock transaction, we completed our acquisition of Solect, a leading provider of customer care and billing software to IP service providers. The Solect acquisition is part of our strategy to expand our commitment to the IP services market. With our acquisition of Solect, together with expanded internal development efforts in the IP area, we believe we are enhancing our ability to serve the growing IP needs of our existing wireless and wireline customers, while also expanding our target market to cover IP operators, such as Internet Service Providers ("ISPs"), ASPs and broadband providers.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future, we may consider additional acquisitions in order to acquire new products or services or otherwise enhance our market position or strategic strengths.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principal capital expenditures for each of fiscal 2000, 1999 and 1998 have been for computer equipment, for which we spent approximately $35.7 million, $30.2 million and $13.0 million in each respective year. We also lease vehicles for use by our employees, incurring lease obligations of $15.7 million, $14.9 million and $5.2 million, respectively, in each of the last three fiscal years.</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Principal capital expenditures currently in progress consist of approximately $80.0 million to be used in fiscal 2001 for additional computer equipment with the bulk of these expenditures for computer equipment to be located at our facilities in North America and Israel.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OVERVIEW</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We are a leading provider of software products and services to major communications companies in North America, Europe and the rest of the world.</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BSS products consist of families of customized software products and services designed to meet the critical business needs of specific communications market sectors. We provide primarily Customer Care, Billing and Order Management Systems ("CC&amp;B Systems") for communications and IP service providers. Our systems support a wide range of communications services including wireline, wireless, broadband, electronic and mobile commerce and Internet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in the United States, BT, Tele Danmark and Deutsche Telekom), wireless companies (such as Sprint PCS, Pacific Wireless, Vodafone Group, Mannesmann Mobilfunk and Telstra) and Internet companies (such as BT, E-Plus and PointOne).</w:t>
      </w:r>
    </w:p>
    <w:p>
      <w:pPr>
        <w:spacing w:after="0" w:line="18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Our BSS products and related services are designed to manage and improve key aspects of the business operations of communications companies, such as customer care, order management, call rating, invoice calculation and preparation, bill formatting, collections, fraud management and directory publishing services. We tailor our BSS products to address the unique needs of each communications provider.</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INDUSTRY BACKGROUND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Communications Industry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global 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multiple or convergent services, offering combinations of local exchange, long distance, wireless, Internet data and electronic and mobile commerce services. Deregulation is also creating opportunities for new ways of doing business, such as wholesaling and reselling communications services. Internationally, privatization and deregulation continue to encourage increased international competition and the emergence of newly authorized 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parallel, the communications industry is undergoing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19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recent years, there has also been an explosion of new communications technologies, including ATM, IP, xDSL, utilization of cable television infrastructure to provide Internet services, PCS, GPRS (General Packet Radio Services), UMTS (Universal Mobile Telecommunications System), WAP (Wireless Application Protocol) for wireless Internet, and intelligent networks. Additionally, the directory publishing industry, which is currently dominated by communications companies that are owned by or affiliated with the public telecommunications carriers, is also experiencing significant changes due to the introduction of new technologies and distribution platforms, especially Internet directories.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Information Systems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a result of these developments, many communications companies are seeking a new generation of information systems to support their operations and to be more competitive. Such communications companies are looking for systems that provide enhanced customer management, flexible rating capabilities to support rapid rollout of new price plans and advanced IP services, and the ability to provide customers with single-contact, single-invoice solutions with integrated pricing plans for a wide range of services (convergence or "one-stop shopping"). The legacy information systems used by communications companies generally do not provide the level of integration, flexibility and scalability needed by communications companies as they seek to differentiate themselves from their competitors in an increasingly competitive market place.</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Many new and existing communications companies do not have the financial or human resources or technological capability to internally develop efficient, flexible, cost-effective information systems on a timely basis. Moreover, as many communications companies strive to become more consumer-oriented, they are concentrating their efforts and internal resources on marketing to consumers and expanding their service offerings, and many are turning to third-party vendors for their information systems which creates significant opportunities for vendors of CC&amp;B Systems, such as Amdocs.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AMDOCS SOLUTION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believe that our total solutions orientation, product-driven approach and commitment to and support of quality personnel permit us to offer our customers effective solutions that are both highly innovative and reliable. We believe that our success derives from a combination of the following factors that differentiate us from most of our competitors.</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Total Solutions Orientation. We offer our customers total solutions that include BSS product-driven software tailored to the customer's specific requirements, implementation services, systems integration, maintenance, ongoing support and outsourcing. By providing services directly to the customer, we are able to utilize effectively our intensive technical knowledge of our BSS products in the overall execution of a project, significantly reducing project risk. Our product-driven software solutions approach is distinctly different from the project-based strategy that has traditionally characterized many of the communications information systems and service providers over the past twenty years. Our product-driven software solutions use our BSS products as the starting point for each project. This approach enhances our ability to provide our customers with timely, cost-effective, low-risk solutions at a consistent level of quality.</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Functional and Flexible BSS Products. Our BSS products are based on an open, multi-tier, client-server, rule and table-based architecture that provides the functionality, scalability, modularity and adaptability required by today's deregulated, highly competitive communications industry. Through the flexibility of our BSS products, our customers are able to achieve significant time-to-market advantages and reduce their dependence on technical and other staff.</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Cyprus, Ireland and Canada.</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BUSINESS STRATEGY</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86" w:lineRule="exact"/>
        <w:rPr>
          <w:sz w:val="20"/>
          <w:szCs w:val="20"/>
          <w:color w:val="auto"/>
        </w:rPr>
      </w:pPr>
    </w:p>
    <w:p>
      <w:pPr>
        <w:ind w:left="660" w:right="2719" w:hanging="195"/>
        <w:spacing w:after="0" w:line="238"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Focus on the Communications Industry. We intend to continue to concentrate our resources and efforts on providing strategic information systems to the growing number of communications industry participants. This strategy has enabled us to develop the specialized industry know-how and capability necessary to deliver the technologically advanced, large-scale, specifications-intensive information systems solutions required by the leading communications companies in the wireless, wireline, IP and convergent service sectors.</w:t>
      </w:r>
    </w:p>
    <w:p>
      <w:pPr>
        <w:spacing w:after="0" w:line="185"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Industry Leaders and Promising New Entrants. We intend to continue to direct our marketing efforts principally towards the major communications companies and new entrants that are believed to have the potential to be market leaders. Our customer base includes major communications companies in North America (including SBC, Verizon, Bellsouth, Sprint, PCS and Nextel), major foreign network operators and service providers (including Deutsche Telekom (Germany), Mannesmann Mobilfunk (Germany), Telstra (Australia), BT (UK) and Vodafone Group (UK))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9" w:lineRule="exact"/>
        <w:rPr>
          <w:rFonts w:ascii="Courier New" w:cs="Courier New" w:eastAsia="Courier New" w:hAnsi="Courier New"/>
          <w:sz w:val="16"/>
          <w:szCs w:val="16"/>
          <w:color w:val="auto"/>
        </w:rPr>
      </w:pPr>
    </w:p>
    <w:p>
      <w:pPr>
        <w:ind w:left="660" w:right="2719" w:hanging="195"/>
        <w:spacing w:after="0" w:line="254" w:lineRule="auto"/>
        <w:tabs>
          <w:tab w:leader="none" w:pos="6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our development personnel prepare the detailed functional specifications of the system required by the customer. In accordance with such specifications, system modules are then adapted or customized to meet the customer's specific business requirements. We believe that this approach minimizes risks and increases efficiencies by drawing on field-proven BSS</w:t>
      </w:r>
    </w:p>
    <w:p>
      <w:pPr>
        <w:spacing w:after="0" w:line="5" w:lineRule="exact"/>
        <w:rPr>
          <w:sz w:val="20"/>
          <w:szCs w:val="20"/>
          <w:color w:val="auto"/>
        </w:rPr>
      </w:pPr>
    </w:p>
    <w:p>
      <w:pPr>
        <w:ind w:left="660" w:right="3839"/>
        <w:spacing w:after="0" w:line="236" w:lineRule="auto"/>
        <w:rPr>
          <w:sz w:val="20"/>
          <w:szCs w:val="20"/>
          <w:color w:val="auto"/>
        </w:rPr>
      </w:pPr>
      <w:r>
        <w:rPr>
          <w:rFonts w:ascii="Courier New" w:cs="Courier New" w:eastAsia="Courier New" w:hAnsi="Courier New"/>
          <w:sz w:val="16"/>
          <w:szCs w:val="16"/>
          <w:color w:val="auto"/>
        </w:rPr>
        <w:t>products and techniques, and also helps to create significant time-to-market and other competitive</w:t>
      </w: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left="660" w:right="3279"/>
        <w:spacing w:after="0" w:line="259" w:lineRule="auto"/>
        <w:rPr>
          <w:sz w:val="20"/>
          <w:szCs w:val="20"/>
          <w:color w:val="auto"/>
        </w:rPr>
      </w:pPr>
      <w:r>
        <w:rPr>
          <w:rFonts w:ascii="Courier New" w:cs="Courier New" w:eastAsia="Courier New" w:hAnsi="Courier New"/>
          <w:sz w:val="15"/>
          <w:szCs w:val="15"/>
          <w:color w:val="auto"/>
        </w:rPr>
        <w:t>advantages for our customers. By leveraging our specialized product knowledge, we believe that we can provide more effective system integration and implementation support services to our customers.</w:t>
      </w:r>
    </w:p>
    <w:p>
      <w:pPr>
        <w:spacing w:after="0" w:line="171" w:lineRule="exact"/>
        <w:rPr>
          <w:sz w:val="20"/>
          <w:szCs w:val="20"/>
          <w:color w:val="auto"/>
        </w:rPr>
      </w:pPr>
    </w:p>
    <w:p>
      <w:pPr>
        <w:ind w:left="660" w:right="2719" w:hanging="195"/>
        <w:spacing w:after="0" w:line="255" w:lineRule="auto"/>
        <w:tabs>
          <w:tab w:leader="none" w:pos="6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78" w:lineRule="exact"/>
        <w:rPr>
          <w:rFonts w:ascii="Courier New" w:cs="Courier New" w:eastAsia="Courier New" w:hAnsi="Courier New"/>
          <w:sz w:val="15"/>
          <w:szCs w:val="15"/>
          <w:color w:val="auto"/>
        </w:rPr>
      </w:pPr>
    </w:p>
    <w:p>
      <w:pPr>
        <w:ind w:left="660" w:right="2719" w:hanging="195"/>
        <w:spacing w:after="0" w:line="255" w:lineRule="auto"/>
        <w:tabs>
          <w:tab w:leader="none" w:pos="6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communications markets around the world. The worldwide demand for communications services is increasing rapidly, due, in part, to the rapid development of new communications technologies,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major 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TECHNOLOGY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have developed core competencies in various advanced technologies that are used in our BSS products. By utilizing technologies such as rule and table-based design, multi-tier architecture, object-oriented techniques, data mining, web-enabling and open application program interfaces ("APIs"),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for remote users, both internally within a communications company's organization and between the organization and its subscribers.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VMS and Windows NT.</w:t>
      </w:r>
    </w:p>
    <w:p>
      <w:pPr>
        <w:spacing w:after="0" w:line="187"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The architecture of our BSS products includes the following key characteristics:</w:t>
      </w:r>
    </w:p>
    <w:p>
      <w:pPr>
        <w:spacing w:after="0" w:line="185" w:lineRule="exact"/>
        <w:rPr>
          <w:sz w:val="20"/>
          <w:szCs w:val="20"/>
          <w:color w:val="auto"/>
        </w:rPr>
      </w:pPr>
    </w:p>
    <w:p>
      <w:pPr>
        <w:ind w:left="660" w:right="2719" w:hanging="195"/>
        <w:spacing w:after="0" w:line="237"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Scalability. Our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87"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Modularity. Our BSS products are comprised of sets of functional modules. Each module can be installed on an individual stand-alone basis, interfacing with the customer's existing 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86"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Portability. Utilization of the UNIX platform ensures that our BSS customers are able to choose from a variety of hardware vendors, including Compaq, Hewlett Packard, IBM and Sun Microsystems. In implementing solutions for wireline companies, we are also able to employ VMS and hybrid</w:t>
      </w:r>
    </w:p>
    <w:p>
      <w:pPr>
        <w:sectPr>
          <w:pgSz w:w="11900" w:h="16838" w:orient="portrait"/>
          <w:cols w:equalWidth="0" w:num="1">
            <w:col w:w="10219"/>
          </w:cols>
          <w:pgMar w:left="240" w:top="293" w:right="1440" w:bottom="1440" w:gutter="0" w:footer="0" w:header="0"/>
        </w:sectPr>
      </w:pP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3"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5" w:lineRule="exact"/>
        <w:rPr>
          <w:sz w:val="20"/>
          <w:szCs w:val="20"/>
          <w:color w:val="auto"/>
        </w:rPr>
      </w:pPr>
    </w:p>
    <w:p>
      <w:pPr>
        <w:ind w:left="660" w:right="2819"/>
        <w:spacing w:after="0" w:line="237" w:lineRule="auto"/>
        <w:rPr>
          <w:sz w:val="20"/>
          <w:szCs w:val="20"/>
          <w:color w:val="auto"/>
        </w:rPr>
      </w:pPr>
      <w:r>
        <w:rPr>
          <w:rFonts w:ascii="Courier New" w:cs="Courier New" w:eastAsia="Courier New" w:hAnsi="Courier New"/>
          <w:sz w:val="16"/>
          <w:szCs w:val="16"/>
          <w:color w:val="auto"/>
        </w:rPr>
        <w:t>UNIX/VMS platforms. Certain applications can also be deployed on the Windows NT platform. The BSS products utilize, where applicable, Java-based design and programming to augment cross-platform portability.</w:t>
      </w:r>
    </w:p>
    <w:p>
      <w:pPr>
        <w:spacing w:after="0" w:line="185" w:lineRule="exact"/>
        <w:rPr>
          <w:sz w:val="20"/>
          <w:szCs w:val="20"/>
          <w:color w:val="auto"/>
        </w:rPr>
      </w:pPr>
    </w:p>
    <w:p>
      <w:pPr>
        <w:ind w:left="660" w:right="2719" w:hanging="195"/>
        <w:spacing w:after="0" w:line="238"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Systems. Our BSS products accommodate well-defined APIs with legacy systems and with other third-party software modules or packages. The systems are not dependent on any single hardware vendor, enabling our customers to select among multiple hardware platforms and a variety of network and operating system environments. Similarly, BSS products utilize standard programming languages, such as C++, to ensure compatibility with the operating environments employed in most communications companies. It is also our general policy to deliver to our customers complete copies of all source code, system documentation and other product information, thereby permitting the customer to maintain and further customize our BSS products.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PRODUCTS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product offerings include an extensive library of BSS software products that we have developed to provide comprehensive information systems functionality for wireline, wireless, broadband, electronic and mobile commerce and IP service providers. Core elements include customer relationship management, order management, call rating, invoice calculation, bill formatting, collections, fraud management and directory publishing services.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Specialized modules are provided to support specific functionalities required in different network environments (e.g.,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communication services. Our systems also support communications providers that offer multiple service packages, commonly referred to as convergent services (combinations of wireline, wireless, cable television, broadband, electronic and mobile commerce and IP services).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configure individual BSS modules into families of products, which serve as marketing packages oriented to the needs of specific customer segments. We provide Ensemble(TM) software, our main CC&amp;B Systems offering, in a number of versions to serve the different needs of communications operators in the various network and business segments, such as wireline, wireless, cable television, broadband and electronic and mobile commerce. As a result of our acquisition of Solect, our CC&amp;B Systems offering also includes the IAF Horizon(TM) product for Internet and electronic and mobile commerce, encompassing functionalities such as Internet-based bill viewing, IP service management, IP provisioning, IP event collection and partner management.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Customer Care, Billing and Order Management</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The Ensemble(TM) suite of products offered by Amdocs encompasses the following key CC&amp;B Systems application areas:</w:t>
      </w:r>
    </w:p>
    <w:p>
      <w:pPr>
        <w:spacing w:after="0" w:line="185" w:lineRule="exact"/>
        <w:rPr>
          <w:sz w:val="20"/>
          <w:szCs w:val="20"/>
          <w:color w:val="auto"/>
        </w:rPr>
      </w:pPr>
    </w:p>
    <w:p>
      <w:pPr>
        <w:ind w:left="660" w:right="2999" w:hanging="195"/>
        <w:spacing w:after="0" w:line="259" w:lineRule="auto"/>
        <w:tabs>
          <w:tab w:leader="none" w:pos="6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Care -- provides customer account information management and service support, including account initiation, on-line assistance in choosing a price plan, installation scheduling and complaint handling.</w:t>
      </w:r>
    </w:p>
    <w:p>
      <w:pPr>
        <w:spacing w:after="0" w:line="171" w:lineRule="exact"/>
        <w:rPr>
          <w:rFonts w:ascii="Courier New" w:cs="Courier New" w:eastAsia="Courier New" w:hAnsi="Courier New"/>
          <w:sz w:val="15"/>
          <w:szCs w:val="15"/>
          <w:color w:val="auto"/>
        </w:rPr>
      </w:pPr>
    </w:p>
    <w:p>
      <w:pPr>
        <w:ind w:left="660" w:right="2899" w:hanging="195"/>
        <w:spacing w:after="0" w:line="237"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Processing -- calculates charges for usage (i.e., event rating) of communications services, such as telephone calls, Internet access and data transfer. Usage of the communications network creates event records, which contain information such as the origin and destination of a telephone call and its</w:t>
      </w:r>
    </w:p>
    <w:p>
      <w:pPr>
        <w:sectPr>
          <w:pgSz w:w="11900" w:h="16838" w:orient="portrait"/>
          <w:cols w:equalWidth="0" w:num="1">
            <w:col w:w="10219"/>
          </w:cols>
          <w:pgMar w:left="240" w:top="293" w:right="1440" w:bottom="1440" w:gutter="0" w:footer="0" w:header="0"/>
        </w:sectPr>
      </w:pP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3"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left="660" w:right="2819"/>
        <w:spacing w:after="0" w:line="237" w:lineRule="auto"/>
        <w:rPr>
          <w:sz w:val="20"/>
          <w:szCs w:val="20"/>
          <w:color w:val="auto"/>
        </w:rPr>
      </w:pPr>
      <w:r>
        <w:rPr>
          <w:rFonts w:ascii="Courier New" w:cs="Courier New" w:eastAsia="Courier New" w:hAnsi="Courier New"/>
          <w:sz w:val="16"/>
          <w:szCs w:val="16"/>
          <w:color w:val="auto"/>
        </w:rPr>
        <w:t>duration. This module provides for acquisition and formatting of the raw event data received from a communications switch, and calculates the charges for each event based on the service packages and price plans applicable to each individual user.</w:t>
      </w:r>
    </w:p>
    <w:p>
      <w:pPr>
        <w:spacing w:after="0" w:line="186" w:lineRule="exact"/>
        <w:rPr>
          <w:sz w:val="20"/>
          <w:szCs w:val="20"/>
          <w:color w:val="auto"/>
        </w:rPr>
      </w:pPr>
    </w:p>
    <w:p>
      <w:pPr>
        <w:ind w:left="660" w:right="271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Invoicing -- provides comprehensive functionality for bill preparation (totaling of usage and other charges, application of discounts, taxes and credits) and bill production.</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85"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87" w:lineRule="exact"/>
        <w:rPr>
          <w:rFonts w:ascii="Courier New" w:cs="Courier New" w:eastAsia="Courier New" w:hAnsi="Courier New"/>
          <w:sz w:val="16"/>
          <w:szCs w:val="16"/>
          <w:color w:val="auto"/>
        </w:rPr>
      </w:pPr>
    </w:p>
    <w:p>
      <w:pPr>
        <w:jc w:val="both"/>
        <w:ind w:left="660" w:right="2719" w:hanging="195"/>
        <w:spacing w:after="0" w:line="263" w:lineRule="auto"/>
        <w:tabs>
          <w:tab w:leader="none" w:pos="6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 Management -- calculates and manages commissions to be paid by the wireless carrier to its authorized dealers and sales representatives.</w:t>
      </w:r>
    </w:p>
    <w:p>
      <w:pPr>
        <w:spacing w:after="0" w:line="168" w:lineRule="exact"/>
        <w:rPr>
          <w:rFonts w:ascii="Courier New" w:cs="Courier New" w:eastAsia="Courier New" w:hAnsi="Courier New"/>
          <w:sz w:val="15"/>
          <w:szCs w:val="15"/>
          <w:color w:val="auto"/>
        </w:rPr>
      </w:pPr>
    </w:p>
    <w:p>
      <w:pPr>
        <w:ind w:left="660" w:right="289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Fraud Management -- employs sophisticated data analysis tools and makes use of the integrated user database to detect the fraudulent use of phones and phone numbers.</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bill presentment and payment -- enables bill view and payment capabilities over the Internet.</w:t>
      </w:r>
    </w:p>
    <w:p>
      <w:pPr>
        <w:spacing w:after="0" w:line="184"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Churn Management -- uses data mining techniques to identify customers with a high probability of switching to another carrier or of disconnecting service.</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Intercarrier Settlement -- calculates, manages and reconciles payments for intercarrier network access, including settlement of roaming charges between cellular carriers.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IAF Horizon(TM) suite of CC&amp;B Systems products acquired from Solect has helped us to focus on the IP service provider market. By allowing service providers to offer, collect and bill for IP services over packet-switched networks, IAF Horizon(TM) supports innovative new business models, such as virtual Service Providers ("vSPs"), mobile commerce, content aggregation, revenue sharing, sponsorship and hosting packaged applications.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IAF Horizon(TM) is comprised of the following functional modules:</w:t>
      </w:r>
    </w:p>
    <w:p>
      <w:pPr>
        <w:spacing w:after="0" w:line="185" w:lineRule="exact"/>
        <w:rPr>
          <w:sz w:val="20"/>
          <w:szCs w:val="20"/>
          <w:color w:val="auto"/>
        </w:rPr>
      </w:pPr>
    </w:p>
    <w:p>
      <w:pPr>
        <w:ind w:left="660" w:right="2899" w:hanging="195"/>
        <w:spacing w:after="0" w:line="237"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Management -- provides the functionality for flexibly defining service offerings, real-time provisioning of these services in the network, and collecting usage data for the services so that the service provider can bill for them.</w:t>
      </w:r>
    </w:p>
    <w:p>
      <w:pPr>
        <w:spacing w:after="0" w:line="185" w:lineRule="exact"/>
        <w:rPr>
          <w:rFonts w:ascii="Courier New" w:cs="Courier New" w:eastAsia="Courier New" w:hAnsi="Courier New"/>
          <w:sz w:val="16"/>
          <w:szCs w:val="16"/>
          <w:color w:val="auto"/>
        </w:rPr>
      </w:pPr>
    </w:p>
    <w:p>
      <w:pPr>
        <w:jc w:val="both"/>
        <w:ind w:left="660" w:right="2819" w:hanging="195"/>
        <w:spacing w:after="0" w:line="259" w:lineRule="auto"/>
        <w:tabs>
          <w:tab w:leader="none" w:pos="6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PDC Service Plug-ins -- Provisioning Data Collectors ("PDCs") operate as a service plug-in, allowing service providers the opportunity to rapidly add new services without costly coding delays or system downtime.</w:t>
      </w:r>
    </w:p>
    <w:p>
      <w:pPr>
        <w:spacing w:after="0" w:line="17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Console -- allows the service provider's marketing managers to create product offerings, pricing and bundles quickly and easily through a web-based graphical user interface ("GUI").</w:t>
      </w:r>
    </w:p>
    <w:p>
      <w:pPr>
        <w:spacing w:after="0" w:line="184"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Rater -- advanced rule and table-based rating engine, which allows service providers to develop complex rating rules in a simple logical manner via an intuitive HTML-based GUI.</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Billing -- provides comprehensive billing capabilities, generates invoices in multiple formats (electronic and hard-copy), and offers optional credit card billing as well as interfaces to existing billing and invoicing systems.</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3"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85" w:lineRule="exact"/>
        <w:rPr>
          <w:sz w:val="20"/>
          <w:szCs w:val="20"/>
          <w:color w:val="auto"/>
        </w:rPr>
      </w:pPr>
    </w:p>
    <w:p>
      <w:pPr>
        <w:ind w:left="660" w:right="3099" w:hanging="195"/>
        <w:spacing w:after="0" w:line="257"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Care -- includes a highly configurable HTML template-driven interface for customer service representatives, corporate self-administration and self-care. This module allows IP service providers to create price plans. The templates are fully WAP enabled.</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Directory Publishing</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ADS(NG)/Family of Products, our main offering in the Directory Systems area, provides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173" w:lineRule="exact"/>
        <w:rPr>
          <w:sz w:val="20"/>
          <w:szCs w:val="20"/>
          <w:color w:val="auto"/>
        </w:rPr>
      </w:pPr>
    </w:p>
    <w:p>
      <w:pPr>
        <w:ind w:left="660" w:right="2719" w:hanging="195"/>
        <w:spacing w:after="0" w:line="238"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86"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87"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86"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87"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Service -- permits online support for handling customer inquiries and resolving customer complaints, including online correction of advertising data and billing adjustments.</w:t>
      </w:r>
    </w:p>
    <w:p>
      <w:pPr>
        <w:spacing w:after="0" w:line="184" w:lineRule="exact"/>
        <w:rPr>
          <w:rFonts w:ascii="Courier New" w:cs="Courier New" w:eastAsia="Courier New" w:hAnsi="Courier New"/>
          <w:sz w:val="16"/>
          <w:szCs w:val="16"/>
          <w:color w:val="auto"/>
        </w:rPr>
      </w:pPr>
    </w:p>
    <w:p>
      <w:pPr>
        <w:ind w:left="660" w:right="3279" w:hanging="195"/>
        <w:spacing w:after="0" w:line="263" w:lineRule="auto"/>
        <w:tabs>
          <w:tab w:leader="none" w:pos="6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Management -- specifically designed for the directory publisher's billing, accounts receivable and collections functions.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SERVICES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ectPr>
          <w:pgSz w:w="11900" w:h="16838" w:orient="portrait"/>
          <w:cols w:equalWidth="0" w:num="1">
            <w:col w:w="10219"/>
          </w:cols>
          <w:pgMar w:left="240" w:top="293" w:right="1440" w:bottom="1440" w:gutter="0" w:footer="0" w:header="0"/>
        </w:sectPr>
      </w:pP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3"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business is conducted on a global basis. We maintain five development facilities located in Israel, the United States, Cyprus, Ireland and Canada, operate a support center located in Brazil and have operations in North America, Europe,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part of our effort to provide comprehensive solutions to our customers, we also offer outsourcing services to support the operation of our BSS products for our customers. The outsourcing service we provide generally comprises combinations of functions such as responsibility for the ongoing development and enhancement of BSS systems that we have installed, the purchase and management of all related hardware assets and overall management of the customer's associated data centers.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SALES AND MARKETING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sales and marketing activities are primarily directed at major 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employ a relatively small and dedicated sales force and maintain sales offices in the United States, the United Kingdom, and several other countries. Our sales activities are supported by marketing efforts, including marketing communications, product management, market research and strategic alliances.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3"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CUSTOMERS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target market is comprised of 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communications industry and that our BSS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customers include global 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w:t>
      </w:r>
    </w:p>
    <w:p>
      <w:pPr>
        <w:spacing w:after="0"/>
        <w:rPr>
          <w:sz w:val="20"/>
          <w:szCs w:val="20"/>
          <w:color w:val="auto"/>
        </w:rPr>
      </w:pPr>
      <w:r>
        <w:rPr>
          <w:rFonts w:ascii="Courier New" w:cs="Courier New" w:eastAsia="Courier New" w:hAnsi="Courier New"/>
          <w:sz w:val="16"/>
          <w:szCs w:val="16"/>
          <w:color w:val="auto"/>
        </w:rPr>
        <w:t>Belgacom</w:t>
      </w:r>
    </w:p>
    <w:p>
      <w:pPr>
        <w:spacing w:after="0" w:line="237" w:lineRule="auto"/>
        <w:rPr>
          <w:sz w:val="20"/>
          <w:szCs w:val="20"/>
          <w:color w:val="auto"/>
        </w:rPr>
      </w:pPr>
      <w:r>
        <w:rPr>
          <w:rFonts w:ascii="Courier New" w:cs="Courier New" w:eastAsia="Courier New" w:hAnsi="Courier New"/>
          <w:sz w:val="16"/>
          <w:szCs w:val="16"/>
          <w:color w:val="auto"/>
        </w:rPr>
        <w:t>BellSouth</w:t>
      </w:r>
    </w:p>
    <w:p>
      <w:pPr>
        <w:spacing w:after="0"/>
        <w:rPr>
          <w:sz w:val="20"/>
          <w:szCs w:val="20"/>
          <w:color w:val="auto"/>
        </w:rPr>
      </w:pPr>
      <w:r>
        <w:rPr>
          <w:rFonts w:ascii="Courier New" w:cs="Courier New" w:eastAsia="Courier New" w:hAnsi="Courier New"/>
          <w:sz w:val="16"/>
          <w:szCs w:val="16"/>
          <w:color w:val="auto"/>
        </w:rPr>
        <w:t>BT</w:t>
      </w:r>
    </w:p>
    <w:p>
      <w:pPr>
        <w:spacing w:after="0" w:line="238" w:lineRule="auto"/>
        <w:rPr>
          <w:sz w:val="20"/>
          <w:szCs w:val="20"/>
          <w:color w:val="auto"/>
        </w:rPr>
      </w:pPr>
      <w:r>
        <w:rPr>
          <w:rFonts w:ascii="Courier New" w:cs="Courier New" w:eastAsia="Courier New" w:hAnsi="Courier New"/>
          <w:sz w:val="16"/>
          <w:szCs w:val="16"/>
          <w:color w:val="auto"/>
        </w:rPr>
        <w:t>Deutsche Telekom</w:t>
      </w:r>
    </w:p>
    <w:p>
      <w:pPr>
        <w:spacing w:after="0"/>
        <w:rPr>
          <w:sz w:val="20"/>
          <w:szCs w:val="20"/>
          <w:color w:val="auto"/>
        </w:rPr>
      </w:pPr>
      <w:r>
        <w:rPr>
          <w:rFonts w:ascii="Courier New" w:cs="Courier New" w:eastAsia="Courier New" w:hAnsi="Courier New"/>
          <w:sz w:val="16"/>
          <w:szCs w:val="16"/>
          <w:color w:val="auto"/>
        </w:rPr>
        <w:t>Eircom PLC</w:t>
      </w:r>
    </w:p>
    <w:p>
      <w:pPr>
        <w:spacing w:after="0" w:line="238" w:lineRule="auto"/>
        <w:rPr>
          <w:sz w:val="20"/>
          <w:szCs w:val="20"/>
          <w:color w:val="auto"/>
        </w:rPr>
      </w:pPr>
      <w:r>
        <w:rPr>
          <w:rFonts w:ascii="Courier New" w:cs="Courier New" w:eastAsia="Courier New" w:hAnsi="Courier New"/>
          <w:sz w:val="16"/>
          <w:szCs w:val="16"/>
          <w:color w:val="auto"/>
        </w:rPr>
        <w:t>GTE International</w:t>
      </w:r>
    </w:p>
    <w:p>
      <w:pPr>
        <w:spacing w:after="0"/>
        <w:rPr>
          <w:sz w:val="20"/>
          <w:szCs w:val="20"/>
          <w:color w:val="auto"/>
        </w:rPr>
      </w:pPr>
      <w:r>
        <w:rPr>
          <w:rFonts w:ascii="Courier New" w:cs="Courier New" w:eastAsia="Courier New" w:hAnsi="Courier New"/>
          <w:sz w:val="16"/>
          <w:szCs w:val="16"/>
          <w:color w:val="auto"/>
        </w:rPr>
        <w:t>Japan Telecom</w:t>
      </w:r>
    </w:p>
    <w:p>
      <w:pPr>
        <w:spacing w:after="0" w:line="237" w:lineRule="auto"/>
        <w:rPr>
          <w:sz w:val="20"/>
          <w:szCs w:val="20"/>
          <w:color w:val="auto"/>
        </w:rPr>
      </w:pPr>
      <w:r>
        <w:rPr>
          <w:rFonts w:ascii="Courier New" w:cs="Courier New" w:eastAsia="Courier New" w:hAnsi="Courier New"/>
          <w:sz w:val="16"/>
          <w:szCs w:val="16"/>
          <w:color w:val="auto"/>
        </w:rPr>
        <w:t>Korean Telecom</w:t>
      </w:r>
    </w:p>
    <w:p>
      <w:pPr>
        <w:spacing w:after="0"/>
        <w:rPr>
          <w:sz w:val="20"/>
          <w:szCs w:val="20"/>
          <w:color w:val="auto"/>
        </w:rPr>
      </w:pPr>
      <w:r>
        <w:rPr>
          <w:rFonts w:ascii="Courier New" w:cs="Courier New" w:eastAsia="Courier New" w:hAnsi="Courier New"/>
          <w:sz w:val="16"/>
          <w:szCs w:val="16"/>
          <w:color w:val="auto"/>
        </w:rPr>
        <w:t>Mannesmann Mobilfunk</w:t>
      </w:r>
    </w:p>
    <w:p>
      <w:pPr>
        <w:spacing w:after="0" w:line="238" w:lineRule="auto"/>
        <w:rPr>
          <w:sz w:val="20"/>
          <w:szCs w:val="20"/>
          <w:color w:val="auto"/>
        </w:rPr>
      </w:pPr>
      <w:r>
        <w:rPr>
          <w:rFonts w:ascii="Courier New" w:cs="Courier New" w:eastAsia="Courier New" w:hAnsi="Courier New"/>
          <w:sz w:val="16"/>
          <w:szCs w:val="16"/>
          <w:color w:val="auto"/>
        </w:rPr>
        <w:t>Netcom</w:t>
      </w:r>
    </w:p>
    <w:p>
      <w:pPr>
        <w:spacing w:after="0"/>
        <w:rPr>
          <w:sz w:val="20"/>
          <w:szCs w:val="20"/>
          <w:color w:val="auto"/>
        </w:rPr>
      </w:pPr>
      <w:r>
        <w:rPr>
          <w:rFonts w:ascii="Courier New" w:cs="Courier New" w:eastAsia="Courier New" w:hAnsi="Courier New"/>
          <w:sz w:val="16"/>
          <w:szCs w:val="16"/>
          <w:color w:val="auto"/>
        </w:rPr>
        <w:t>Nextel</w:t>
      </w:r>
    </w:p>
    <w:p>
      <w:pPr>
        <w:spacing w:after="0" w:line="238" w:lineRule="auto"/>
        <w:rPr>
          <w:sz w:val="20"/>
          <w:szCs w:val="20"/>
          <w:color w:val="auto"/>
        </w:rPr>
      </w:pPr>
      <w:r>
        <w:rPr>
          <w:rFonts w:ascii="Courier New" w:cs="Courier New" w:eastAsia="Courier New" w:hAnsi="Courier New"/>
          <w:sz w:val="16"/>
          <w:szCs w:val="16"/>
          <w:color w:val="auto"/>
        </w:rPr>
        <w:t>PointOne</w:t>
      </w:r>
    </w:p>
    <w:p>
      <w:pPr>
        <w:spacing w:after="0"/>
        <w:rPr>
          <w:sz w:val="20"/>
          <w:szCs w:val="20"/>
          <w:color w:val="auto"/>
        </w:rPr>
      </w:pPr>
      <w:r>
        <w:rPr>
          <w:rFonts w:ascii="Courier New" w:cs="Courier New" w:eastAsia="Courier New" w:hAnsi="Courier New"/>
          <w:sz w:val="16"/>
          <w:szCs w:val="16"/>
          <w:color w:val="auto"/>
        </w:rPr>
        <w:t>Qwest</w:t>
      </w:r>
    </w:p>
    <w:p>
      <w:pPr>
        <w:spacing w:after="0" w:line="237" w:lineRule="auto"/>
        <w:rPr>
          <w:sz w:val="20"/>
          <w:szCs w:val="20"/>
          <w:color w:val="auto"/>
        </w:rPr>
      </w:pPr>
      <w:r>
        <w:rPr>
          <w:rFonts w:ascii="Courier New" w:cs="Courier New" w:eastAsia="Courier New" w:hAnsi="Courier New"/>
          <w:sz w:val="16"/>
          <w:szCs w:val="16"/>
          <w:color w:val="auto"/>
        </w:rPr>
        <w:t>Rogers AT&amp;T</w:t>
      </w:r>
    </w:p>
    <w:p>
      <w:pPr>
        <w:spacing w:after="0"/>
        <w:rPr>
          <w:sz w:val="20"/>
          <w:szCs w:val="20"/>
          <w:color w:val="auto"/>
        </w:rPr>
      </w:pPr>
      <w:r>
        <w:rPr>
          <w:rFonts w:ascii="Courier New" w:cs="Courier New" w:eastAsia="Courier New" w:hAnsi="Courier New"/>
          <w:sz w:val="16"/>
          <w:szCs w:val="16"/>
          <w:color w:val="auto"/>
        </w:rPr>
        <w:t>SEAT</w:t>
      </w:r>
    </w:p>
    <w:p>
      <w:pPr>
        <w:spacing w:after="0" w:line="238" w:lineRule="auto"/>
        <w:rPr>
          <w:sz w:val="20"/>
          <w:szCs w:val="20"/>
          <w:color w:val="auto"/>
        </w:rPr>
      </w:pPr>
      <w:r>
        <w:rPr>
          <w:rFonts w:ascii="Courier New" w:cs="Courier New" w:eastAsia="Courier New" w:hAnsi="Courier New"/>
          <w:sz w:val="16"/>
          <w:szCs w:val="16"/>
          <w:color w:val="auto"/>
        </w:rPr>
        <w:t>Sprint</w:t>
      </w:r>
    </w:p>
    <w:p>
      <w:pPr>
        <w:spacing w:after="0"/>
        <w:rPr>
          <w:sz w:val="20"/>
          <w:szCs w:val="20"/>
          <w:color w:val="auto"/>
        </w:rPr>
      </w:pPr>
      <w:r>
        <w:rPr>
          <w:rFonts w:ascii="Courier New" w:cs="Courier New" w:eastAsia="Courier New" w:hAnsi="Courier New"/>
          <w:sz w:val="16"/>
          <w:szCs w:val="16"/>
          <w:color w:val="auto"/>
        </w:rPr>
        <w:t>Tele Danmark</w:t>
      </w:r>
    </w:p>
    <w:p>
      <w:pPr>
        <w:spacing w:after="0" w:line="238" w:lineRule="auto"/>
        <w:rPr>
          <w:sz w:val="20"/>
          <w:szCs w:val="20"/>
          <w:color w:val="auto"/>
        </w:rPr>
      </w:pPr>
      <w:r>
        <w:rPr>
          <w:rFonts w:ascii="Courier New" w:cs="Courier New" w:eastAsia="Courier New" w:hAnsi="Courier New"/>
          <w:sz w:val="16"/>
          <w:szCs w:val="16"/>
          <w:color w:val="auto"/>
        </w:rPr>
        <w:t>Telecom New Zealand</w:t>
      </w:r>
    </w:p>
    <w:p>
      <w:pPr>
        <w:spacing w:after="0"/>
        <w:rPr>
          <w:sz w:val="20"/>
          <w:szCs w:val="20"/>
          <w:color w:val="auto"/>
        </w:rPr>
      </w:pPr>
      <w:r>
        <w:rPr>
          <w:rFonts w:ascii="Courier New" w:cs="Courier New" w:eastAsia="Courier New" w:hAnsi="Courier New"/>
          <w:sz w:val="16"/>
          <w:szCs w:val="16"/>
          <w:color w:val="auto"/>
        </w:rPr>
        <w:t>Telstra</w:t>
      </w:r>
    </w:p>
    <w:p>
      <w:pPr>
        <w:spacing w:after="0" w:line="237" w:lineRule="auto"/>
        <w:rPr>
          <w:sz w:val="20"/>
          <w:szCs w:val="20"/>
          <w:color w:val="auto"/>
        </w:rPr>
      </w:pPr>
      <w:r>
        <w:rPr>
          <w:rFonts w:ascii="Courier New" w:cs="Courier New" w:eastAsia="Courier New" w:hAnsi="Courier New"/>
          <w:sz w:val="16"/>
          <w:szCs w:val="16"/>
          <w:color w:val="auto"/>
        </w:rPr>
        <w:t>Telus</w:t>
      </w:r>
    </w:p>
    <w:p>
      <w:pPr>
        <w:spacing w:after="0"/>
        <w:rPr>
          <w:sz w:val="20"/>
          <w:szCs w:val="20"/>
          <w:color w:val="auto"/>
        </w:rPr>
      </w:pPr>
      <w:r>
        <w:rPr>
          <w:rFonts w:ascii="Courier New" w:cs="Courier New" w:eastAsia="Courier New" w:hAnsi="Courier New"/>
          <w:sz w:val="16"/>
          <w:szCs w:val="16"/>
          <w:color w:val="auto"/>
        </w:rPr>
        <w:t>Verizon</w:t>
      </w:r>
    </w:p>
    <w:p>
      <w:pPr>
        <w:spacing w:after="0" w:line="238" w:lineRule="auto"/>
        <w:rPr>
          <w:sz w:val="20"/>
          <w:szCs w:val="20"/>
          <w:color w:val="auto"/>
        </w:rPr>
      </w:pPr>
      <w:r>
        <w:rPr>
          <w:rFonts w:ascii="Courier New" w:cs="Courier New" w:eastAsia="Courier New" w:hAnsi="Courier New"/>
          <w:sz w:val="16"/>
          <w:szCs w:val="16"/>
          <w:color w:val="auto"/>
        </w:rPr>
        <w:t>Vodafone Group</w:t>
      </w:r>
    </w:p>
    <w:p>
      <w:pPr>
        <w:spacing w:after="0"/>
        <w:rPr>
          <w:sz w:val="20"/>
          <w:szCs w:val="20"/>
          <w:color w:val="auto"/>
        </w:rPr>
      </w:pPr>
      <w:r>
        <w:rPr>
          <w:rFonts w:ascii="Courier New" w:cs="Courier New" w:eastAsia="Courier New" w:hAnsi="Courier New"/>
          <w:sz w:val="16"/>
          <w:szCs w:val="16"/>
          <w:color w:val="auto"/>
        </w:rPr>
        <w:t>VoiceStream</w:t>
      </w:r>
    </w:p>
    <w:p>
      <w:pPr>
        <w:spacing w:after="0" w:line="238" w:lineRule="auto"/>
        <w:rPr>
          <w:sz w:val="20"/>
          <w:szCs w:val="20"/>
          <w:color w:val="auto"/>
        </w:rPr>
      </w:pPr>
      <w:r>
        <w:rPr>
          <w:rFonts w:ascii="Courier New" w:cs="Courier New" w:eastAsia="Courier New" w:hAnsi="Courier New"/>
          <w:sz w:val="16"/>
          <w:szCs w:val="16"/>
          <w:color w:val="auto"/>
        </w:rPr>
        <w:t>Western Wireless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single largest customer group is Vodafone Group, which accounted for 14.4%, 8.0% and 5.4% of our revenue in fiscal 2000, 1999 and 1998, respectively. Our next largest group of customers is SBC and its operating subsidiaries, which accounted for, in the aggregate, 12.6%, 15.9% and 20.8% of our revenue in fiscal 2000, 1999 and 1998, respectively.</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Aggregate revenue derived from the multiple business arrangements we have with each of our five largest customers and their affiliates, excluding SBC and its operating subsidiaries, accounted for approximately 39.7%, 33.4% and 39.0% of our revenue in fiscal 2000, 1999 and 1998, respectively.</w:t>
      </w:r>
    </w:p>
    <w:p>
      <w:pPr>
        <w:spacing w:after="0" w:line="186" w:lineRule="exact"/>
        <w:rPr>
          <w:sz w:val="20"/>
          <w:szCs w:val="20"/>
          <w:color w:val="auto"/>
        </w:rPr>
      </w:pPr>
    </w:p>
    <w:p>
      <w:pPr>
        <w:ind w:right="3379" w:firstLine="469"/>
        <w:spacing w:after="0" w:line="263" w:lineRule="auto"/>
        <w:rPr>
          <w:sz w:val="20"/>
          <w:szCs w:val="20"/>
          <w:color w:val="auto"/>
        </w:rPr>
      </w:pPr>
      <w:r>
        <w:rPr>
          <w:rFonts w:ascii="Courier New" w:cs="Courier New" w:eastAsia="Courier New" w:hAnsi="Courier New"/>
          <w:sz w:val="15"/>
          <w:szCs w:val="15"/>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1999</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56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North America..............................................</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45.6%</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36.1%</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52.2%</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Europe.....................................................</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42.4%</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41.8%</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27.2%</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Rest of the World..........................................</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12.0%</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22.1%</w:t>
            </w: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20.6%</w:t>
            </w: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market for communications information systems is highly competitive and fragmented, and we expect competition to increase. We compete with many independent providers of information systems and</w:t>
      </w:r>
    </w:p>
    <w:p>
      <w:pPr>
        <w:sectPr>
          <w:pgSz w:w="11900" w:h="16838" w:orient="portrait"/>
          <w:cols w:equalWidth="0" w:num="1">
            <w:col w:w="10219"/>
          </w:cols>
          <w:pgMar w:left="240" w:top="293" w:right="1440" w:bottom="648"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3" w:right="1440" w:bottom="648"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services, including American Management Systems, Convergys, IBM, Kenan Systems (a subsidiary of Lucent Technologies), Geneva Technology, Portal Software Inc., Saville Systems (a subsidiary of ADC Telecommunications, Inc.) and Sema Group, with system integrators, such as EDS, and with internal information systems departments of large communication companies. We expect continued growth and competition in the communications industry and the entrance of new competitors into the software information systems market in the future.</w:t>
      </w:r>
    </w:p>
    <w:p>
      <w:pPr>
        <w:spacing w:after="0" w:line="174"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We believe that we are able to differentiate ourselves from the competition by, among other things:</w:t>
      </w:r>
    </w:p>
    <w:p>
      <w:pPr>
        <w:spacing w:after="0" w:line="180" w:lineRule="exact"/>
        <w:rPr>
          <w:sz w:val="20"/>
          <w:szCs w:val="20"/>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customers a total information system from a single vendor,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high quality reliable, scalable products,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effectively the timely implementation of products,</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responding to customer service and support needs through a skilled professional organization,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BSS solutions independent of any specific vendor of network equipment, hardware or software.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87"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See "Directors, Senior Management and Employees -- Employees" for further details regarding our employees and our relationships with them.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are organized under the laws of Guernsey and, as set forth in our Articles of Association, we are a holding company for the various subsidiaries that conduct our business on a worldwide basis. Our principal operating wholly-owned subsidiaries are Amdocs, Inc. (the United States), Amdocs (UK) Limited (the United Kingdom), Amdocs Development Limited (Republic of Cyprus), Amdocs Management Limited (the United Kingdom), Amdocs (Israel) Limited (Israel), Amdocs Software Systems Ltd (Ireland), International Telecommunication Data Systems, Inc. (the United States) and Solect Technology Group Inc. (Canada).</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3"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PLANTS AND EQUIPMENT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lease space in various facilities in Israel, aggregating approximately 890,000 square feet, pursuant to leases expiring on various dates between 2001 and 2016, and we have various options to extend the terms of such leases. In Israel, we currently pay total yearly rental fees of approximately $17.7 million, which are linked, in most cases, to the dollar. Included in these facilities are an aggregate 364,000 square feet in Ra'anana, with the remainder in Ramat-Gan, Hod-Hasharon, Jerusalem and Haifa. Approximately 73,000 square feet of the facilities in Ramat-Gan are owned by related companies that lease these facilities to us. See "Major Shareholders and Related Party Transactions - -- Related Party Transactions".</w:t>
      </w:r>
    </w:p>
    <w:p>
      <w:pPr>
        <w:spacing w:after="0" w:line="187"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Our Israeli subsidiary has committed to rent an additional 215,000 square feet under a seven-year lease (commencing, in stages, in January 2001). The annual rent for the entire space will be approximately $4.1 million.</w:t>
      </w:r>
    </w:p>
    <w:p>
      <w:pPr>
        <w:spacing w:after="0" w:line="171"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Our Amdocs, Inc. subsidiary in the United States rents approximately 170,000 square feet in Chesterfield, Missouri under various leases expiring between 2005 and 2008. The aggregate annual rent for these facilities is approximately $4.2 million.</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ITDS subsidiary rents approximately 81,000 square feet in Stamford, Connecticut under a lease expiring in 2008 and 85,000 square feet in Champaign, Illinois under a lease expiring in 2006. The annual rent for these facilities is approximately $2.2 million and $1.1 million, respectively.</w:t>
      </w:r>
    </w:p>
    <w:p>
      <w:pPr>
        <w:spacing w:after="0" w:line="186"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We also hold a number of other leases in the United States, with an aggregate annual rent of approximately $1.4 million.</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Our Solect subsidiary rents two facilities in Toronto, Canada, aggregating approximately 85,000 square feet, pursuant to leases expiring between 2002 and 2007. The total annual rent for these facilities is approximately $2.2 million.</w:t>
      </w:r>
    </w:p>
    <w:p>
      <w:pPr>
        <w:spacing w:after="0" w:line="17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subsidiary in the United Kingdom leases approximately 43,000 square feet in London under a lease expiring in 2007. The annual rent for the facility is approximately $2.2 million.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subsidiary in Cyprus leases approximately 72,000 square feet in various facilities in Limassol at an annual rent of approximately $0.7 million. In addition we entered into a three-year lease for an additional 91,000 square feet that will commence in April 2001. The annual rent will be approximately $1.3 million.</w:t>
      </w:r>
    </w:p>
    <w:p>
      <w:pPr>
        <w:spacing w:after="0" w:line="187"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We lease additional office space in Australia, Brazil, France, Germany, Hong Kong, Ireland, Italy, Japan and Spain.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Our BSS products are developed and, in many cases, operated over a system of UNIX, VMS and Windows NT servers owned by us and manufactured by, among others, Compaq, Hewlett Packard, IBM and Sun Microsystems, which are connected to approximately 8,000 personal computers owned by us.</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Automatic tape libraries provide full and incremental backups of the data used in and generated by our business. These tapes are kept on-site and off-site, as appropriate, to ensure security and integrity, and are connected with a high speed redundant wide area network ("WAN").</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distributed development sites that we operate worldwide are connected by a high speed WAN.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3"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OPERATING AND FINANCIAL REVIEW AND PROSPECTS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Some of the information in this section contains forward looking statements that involve substantial risks and uncertainties. You can identify these statements by forward looking words such as "expect", "anticipate", "believe", "seek", "estimate" and similar words. Statements that we make in this section that are not statements of historical fact also may be forward looking statements. Forward looking statements are not guarantees of our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 See "Risk Factors" for more information.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this section, we discuss the general financial condition and the results of operations for Amdocs and its subsidiaries including:</w:t>
      </w:r>
    </w:p>
    <w:p>
      <w:pPr>
        <w:spacing w:after="0" w:line="180" w:lineRule="exact"/>
        <w:rPr>
          <w:sz w:val="20"/>
          <w:szCs w:val="20"/>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factors affect our business,</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our revenue and costs were in the fiscal years ended September 30, 2000, 1999 and 1998,</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why those revenue and costs were different from year to year,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our expenditures were in the fiscal years ended September 30, 2000, 1999 and 1998,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this section, we also analyze and explain the annual changes in the specific line items in our consolidated statements of operations. This section should be read in conjunction with our Consolidated Financial Statements included elsewhere in this report.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are a leading provider of software products and services to the communications industry. Our Business Support Systems ("BSS") consist of families of customized software products and services designed to meet the mission-critical needs of specific communications market sectors. We provide primarily Customer Care, Billing and Order Management Systems ("CC&amp;B Systems") for communications and Internet Protocol ("IP") service providers. Our systems support a wide range of communications services, including wireline, wireless, broadband, electronic and mobile commerce and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85" w:lineRule="exact"/>
        <w:rPr>
          <w:sz w:val="20"/>
          <w:szCs w:val="20"/>
          <w:color w:val="auto"/>
        </w:rPr>
      </w:pPr>
    </w:p>
    <w:p>
      <w:pPr>
        <w:ind w:left="660" w:right="2819" w:hanging="195"/>
        <w:spacing w:after="0" w:line="263" w:lineRule="auto"/>
        <w:tabs>
          <w:tab w:leader="none" w:pos="6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168"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maintenance, support, outsourcing and other related services provided to our customers and, to a lesser degree, from incremental license fees resulting from increases in a customer's subscribers.</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License revenue is primarily recognized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revenue from operation and maintenance of customers' billing systems is recognized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our percentage of completion accounting method, the size and timing of customer projects and our progress in completing such projects may significantly affect our annual and quarterly operating results.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License and service fee revenue from the sale of CC&amp;B Systems amounted to $986.6 million in the year ended September 30, 2000, representing 88.2% of our revenue for such period, as compared to $468.2 million in fiscal 1999 and $251.8 million in fiscal 1998, where license and service fee revenue from the sale of CC&amp;B Systems represented 74.7% and 62.4%, respectively, of our revenue for such periods.</w:t>
      </w:r>
    </w:p>
    <w:p>
      <w:pPr>
        <w:spacing w:after="0" w:line="18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believe that the demand for CC&amp;B Systems will continue to increase due to, among other key factors:</w:t>
      </w:r>
    </w:p>
    <w:p>
      <w:pPr>
        <w:spacing w:after="0" w:line="180" w:lineRule="exact"/>
        <w:rPr>
          <w:sz w:val="20"/>
          <w:szCs w:val="20"/>
          <w:color w:val="auto"/>
        </w:rPr>
      </w:pPr>
    </w:p>
    <w:p>
      <w:pPr>
        <w:ind w:left="660" w:hanging="195"/>
        <w:spacing w:after="0"/>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growth and globalization of the communications market,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intensifying competition among communications carriers,</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rapid technological changes, such as the introduction of wireless Internet services via WAP (Wireless Application Protocol), GPRS (General Packet Radio Services) and UMTS (Universal Mobile Telecommunications System) technology,</w:t>
      </w:r>
    </w:p>
    <w:p>
      <w:pPr>
        <w:spacing w:after="0" w:line="185"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proliferation of new communications products and services, especially IP and data services,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shift from in-house management to vendor solutions and outsourcing.</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We also believe that a key driver of demand is the continuing trend for communications and IP service providers to offer to their subscribers multiple service packages, commonly referred to as convergent services (combinations of voice, broadband, electronic and mobile commerce and IP services).</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Another significant current market trend impacting our business is the growth of the IP services industry and market. The emergence and expansion of IP services creates significant opportunities for companies like us that offer CC&amp;B Systems. Specifically, the development of this market permits us to offer our CC&amp;B Systems to a growing group of new market entrants and to enhance our offerings to existing customers to facilitate their entry into the IP services market.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Although we believe that we are a leading provider of Directory Systems in most of the markets that we serve, revenue from this business is not expected to grow significantly.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License and service fee revenue from the sale of Directory Systems totaled $131.8 million in the year ended September 30, 2000, accounting for 11.8% of our revenue for such period, as compared to $158.6 million in fiscal 1999 and $151.9 million in fiscal 1998, where license and service fee revenue from the sale of Directory Systems represented 25.3% and 37.6%, respectively, of our revenue for such periods.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decrease in revenue from Directory Systems primarily reflects a reduction in the volume of Directory Systems services required by our existing customers. We expect that the demand for our Directory Systems will remain relatively stable in future periods and that the contribution to total revenue, as a percentage of revenue, of license and service fees from Directory Systems services will continue to decrease over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PATENTS AND LICENSES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development activities to keep abreast of new technologies in the communications and IP market. Research and development expenditures amounted to $74.9 million, $40.9 million and $25.6 million in fiscal 2000, 1999 and 1998, respectively, representing 6.7%, 6.5% and 6.3%, respectively, of our revenue in these fiscal years. In the next several years, we intend to continue to make substantial investments in our research and development activities and anticipate a significant increase in absolute dollar terms in research and development expenditures.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products.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November 30, 1999, we completed the purchase of International Telecommunication Data Systems, Inc. ("ITDS") in a stock-for-stock transaction. The acquisition of ITDS, a leading provider of solutions to communications companies for outsourcing of billing operations, has expanded the scope of our CC&amp;B Systems offering and, we believe, has further established our leadership in providing total solutions to the communications industry. In connection with the consummation of this transaction, we issued 6,461,376 ordinary shares and granted 1,102,955 options to purchase ordinary shares. The total purchase price of $189.0 million included issuance of ordinary shares, the grant of options and transaction costs. The acquisition was accounted for using the purchase method of accounting. The fair market value of ITDS' assets and liabilities has been included in our balance sheet as of the acquisition date. An acquired technology valuation, which was determined by an independent specialist, included both existing technology and in-process research and development. The valuation of these items was made by applying the income forecast method, which considered the present value of cash flows by product lines. The fair value of existing technology products was valued at $12.3 million and is being amortized over five years. In-process research and development, valued at $19.9 million, was charged as an expense immediately following the completion of the acquisition since this technology had not reached technological feasibility and has no alternative use. Additional development, coding and testing efforts were required before technological feasibility could be determined. The fair value of customer base was valued at $0.6 million and the fair value of workforce-in-place was valued at $5.4 million, both of which are being amortized over five years. The excess of the purchase price over the net assets acquired, or goodwill, of $71.2 million is being amortized over 15 years.</w:t>
      </w:r>
    </w:p>
    <w:p>
      <w:pPr>
        <w:spacing w:after="0" w:line="35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April 5, 2000, we completed the purchase of Solect Technology Group Inc. ("Solect"), in a stock-for-stock transaction. The acquisition of Solect, a leading provider of billing and customer care software to IP service providers, including wireless and application service providers ("ASPs"), has expanded our IP service provider customer base for CC&amp;B Systems. Under the terms of our combination agreement with Solect, all then outstanding Solect common shares were exchanged for shares of a newly issued class of exchangeable shares of Solect. The Solect exchangeable shares entitle holders to dividends and other rights economically equivalent to our ordinary shares, including the right, through a voting trust, to vote at our shareholder meetings, and are exchangeable at the option of the holders into our ordinary shares on a one-for-one basis. The total purchase price of $1,087.7 million included the issuance of 13,846,302 exchangeable shares, the grant of options to purchase 1,653,662 ordinary shares and transaction costs. An aggregate 1,170,000 of the exchangeable shares issued in the transaction have been placed in escrow until April 2001 to indemnify us against any breaches of representations or warranties under the combination agreement. The acquisition was accounted for using the purchase method of accounting. The fair market value of Solect's assets and liabilities has been included in our balance sheet as of the acquisition date. An acquired technology valuation, which was determined by an independent specialist, included both existing technology and in-process research and development. The valuation of these items was made by applying the income forecast method, which considered the present value of cash flows by product lines. The fair value of existing technology products was</w:t>
      </w:r>
    </w:p>
    <w:p>
      <w:pPr>
        <w:sectPr>
          <w:pgSz w:w="11900" w:h="16838" w:orient="portrait"/>
          <w:cols w:equalWidth="0" w:num="1">
            <w:col w:w="10219"/>
          </w:cols>
          <w:pgMar w:left="240" w:top="293" w:right="1440" w:bottom="1440" w:gutter="0" w:footer="0" w:header="0"/>
        </w:sect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3" w:right="1440" w:bottom="1440" w:gutter="0" w:footer="0" w:header="0"/>
          <w:type w:val="continuous"/>
        </w:sectPr>
      </w:pPr>
    </w:p>
    <w:bookmarkStart w:id="25" w:name="page26"/>
    <w:bookmarkEnd w:id="25"/>
    <w:p>
      <w:pPr>
        <w:ind w:left="284"/>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valued at $18.3 million and is being amortized over two years. In-process research and development, valued at $50.4 million, was charged as an expense immediately following the completion of the acquisition since this technology had not reached technological feasibility and has no alternative use. Additional development, coding and testing efforts were required before technological feasibility could be determined. The fair value of customer base was valued at $1.2 million and the fair value of workforce-in-place was valued at $3.3 million, both of which are being amortized over three years. The excess of the purchase price over the net assets acquired, or goodwill, of $986.3 million is being amortized over five years.</w:t>
      </w:r>
    </w:p>
    <w:p>
      <w:pPr>
        <w:spacing w:after="0" w:line="18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In the future, we may consider additional acquisitions in order to acquire new products or services or otherwise enhance our market position or strategic strength.</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OPERATING RESULTS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following table sets forth for the fiscal years ended September 30, 2000, 1999 and 1998, certain items in our consolidated statements of operations reflected as a percentage of total revenue:</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31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YEAR ENDED SEPTEMBER 30,</w:t>
            </w:r>
          </w:p>
        </w:tc>
        <w:tc>
          <w:tcPr>
            <w:tcW w:w="660" w:type="dxa"/>
            <w:vAlign w:val="bottom"/>
          </w:tcPr>
          <w:p>
            <w:pPr>
              <w:spacing w:after="0"/>
              <w:rPr>
                <w:sz w:val="15"/>
                <w:szCs w:val="15"/>
                <w:color w:val="auto"/>
              </w:rPr>
            </w:pPr>
          </w:p>
        </w:tc>
      </w:tr>
      <w:tr>
        <w:trPr>
          <w:trHeight w:val="180"/>
        </w:trPr>
        <w:tc>
          <w:tcPr>
            <w:tcW w:w="4680" w:type="dxa"/>
            <w:vAlign w:val="bottom"/>
          </w:tcPr>
          <w:p>
            <w:pPr>
              <w:spacing w:after="0"/>
              <w:rPr>
                <w:sz w:val="15"/>
                <w:szCs w:val="15"/>
                <w:color w:val="auto"/>
              </w:rPr>
            </w:pPr>
          </w:p>
        </w:tc>
        <w:tc>
          <w:tcPr>
            <w:tcW w:w="37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46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PRO</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68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FORMA(*)</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AS</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68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REPORTED</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License........................................</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11.2%</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Service........................................</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88.8</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88.8</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88.1</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89.4</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Cost of license................................</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0.5</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0.9</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Cost of service................................</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57.2</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57.1</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57.3</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Research and development.......................</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w w:val="99"/>
              </w:rPr>
              <w:t>Selling, general and administrative............</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12.1</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 purchased</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intangible assets...........................</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In-process research and development and other</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indirect acquisition-related costs..........</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6.8</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76.6</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79.0</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Operating income.................................</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23.3</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23.4</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21.0</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Other income (expense), net......................</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Income before income taxes.......................</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24.3</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22.4</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Income taxes.....................................</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7.3</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6.7</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w:t>
            </w:r>
          </w:p>
        </w:tc>
      </w:tr>
      <w:tr>
        <w:trPr>
          <w:trHeight w:val="180"/>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Cumulative effect of change in accounting</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principles, net.............................</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income.......................................</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0.5%</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0"/>
        </w:trPr>
        <w:tc>
          <w:tcPr>
            <w:tcW w:w="468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2719" w:hanging="464"/>
        <w:spacing w:after="0" w:line="237" w:lineRule="auto"/>
        <w:tabs>
          <w:tab w:leader="none" w:pos="46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financial information excludes purchased in-process research and development charges and other indirect acquisition-related costs, amortization of goodwill and purchased intangible assets (collectively, the "ITDS and Solect acquisition-related charges") and related tax effects attributable to the ITDS and Solect transactions.</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Less than 0.1%.</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YEARS ENDED SEPTEMBER 30, 2000 AND 1999</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Revenue. Revenue for the year ended September 30, 2000 was $1,118.3 million, an increase of $491.5 million, or 78.4%, compared to fiscal 1999. Over 70% of the increase in revenue was due to the</w:t>
      </w:r>
    </w:p>
    <w:p>
      <w:pPr>
        <w:sectPr>
          <w:pgSz w:w="11900" w:h="16838" w:orient="portrait"/>
          <w:cols w:equalWidth="0" w:num="1">
            <w:col w:w="10223"/>
          </w:cols>
          <w:pgMar w:left="236" w:top="293" w:right="1440" w:bottom="1440" w:gutter="0" w:footer="0" w:header="0"/>
        </w:sectPr>
      </w:pP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3"/>
          </w:cols>
          <w:pgMar w:left="236" w:top="293"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26</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continued growth in the demand for our CC&amp;B Systems in our traditional target markets of high-end and mid-tier communications companies and less than 30% was attributable to our acquisitions of ITDS and Solect. Demand for customer care, billing and order management systems is diverse, as reflected by the broad cross section of new projects we were awarded in fiscal 2000. These projects covered customers in, among other locations, North America, Europe and Latin America, working within a wide range of operating environments, including wireline, wireless and IP. In many cases, we expanded our ongoing relationships with existing customers. In fiscal 2000,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License revenue increased from $74.4 million in fiscal 1999 to $124.8 million in the year ended September 30, 2000, an increase of 67.8%. Service revenue increased from $552.5 million in fiscal 1999 to $993.5 million in fiscal 2000, an increase of $441.0 million, or 79.8%.</w:t>
      </w:r>
    </w:p>
    <w:p>
      <w:pPr>
        <w:spacing w:after="0" w:line="186"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Total CC&amp;B Systems revenue for the year ended September 30, 2000 was $986.6 million, an increase of $518.3 million, or 110.7%, compared to fiscal 1999.</w:t>
      </w:r>
    </w:p>
    <w:p>
      <w:pPr>
        <w:spacing w:after="0" w:line="1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Revenue from Directory Systems decreased to $131.8 million for the year ended September 30, 2000, from $158.6 million for the prior fiscal year. The decrease in revenue from Directory Systems reflects a reduction in the volume of Directory Systems services required by our existing customers.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year ended September 30, 2000, revenue from customers in North America, Europe and the rest of the world accounted for 45.6%, 42.4% and 12.0%, respectively, compared to 36.1%, 41.8% and 22.1%, respectively, in the year ended September 30, 1999. The growth in North America was primarily attributable to revenue we gained from existing ITDS customers and to our forming or expanding relationships with new or existing customers in North America in fiscal 2000.</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Cost of License. Cost of license for fiscal 2000 was $5.6 million, an increase of $0.1 million from cost of license for the prior fiscal year. Cost of license includes amortization of purchased computer software and intellectual property rights. The increase in cost of license for fiscal 2000 was primarily attributable to new purchases of computer software in fiscal 2000 and the related amortization.</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Cost of Service. Cost of service for fiscal 2000 was $639.9 million, an increase of $282.1 million, or 78.8%, compared to cost of service of $357.8 million for the year ended September 30, 1999. Cost of service is predominantly related to salary and employee related expenses. The absolute increase in cost of service is consistent with the increase in revenue for fiscal 2000, and reflects increased employment levels required to support our continued growth.</w:t>
      </w:r>
    </w:p>
    <w:p>
      <w:pPr>
        <w:spacing w:after="0" w:line="17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Research and Development. Research and development expense is primarily comprised of compensation expense attributed to research and development activities, either in conjunction with customer projects or as part of our product development programs. In fiscal 2000, research and development expense was $74.9 million, or 6.7% of revenue, compared with $40.9 million, or 6.5% of revenue, in the previous fiscal year. The bulk of the increase in research and development expense represents ongoing expenditures primarily for CC&amp;B Systems, with the balance attributable to Directory Systems.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is primarily comprised of compensation expense and increased by 81.1% to $137.0 million, or 12.3% of revenue, in fiscal 2000, from $75.7 million, or</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12.1% of revenue, in the year ended September 30, 1999. The increase in selling, general and administrative expense is consistent with the increase in our revenue for fiscal 2000 and with our acquisitions of ITDS and Solect.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Amortization of Goodwill and Purchased Intangible Assets. Amortization of goodwill and purchased intangible assets in the year ended September 30, 2000 relates to the ITDS and Solect transactions.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In-process Research and Development and Other Indirect Acquisition-Related Costs. In-process research and development and other indirect acquisition-related costs in the year ended September 30, 2000</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3"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27</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consisted primarily of one-time charges related to the ITDS and Solect transactions of $19.9 million and $50.4 million, respectively, for write-offs of purchased in-process research and development.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Operating Income. Operating income for the year ended September 30, 2000 was $74.1 million, as compared with $147.0 million for the previous fiscal year, a decrease of 49.6%, primarily due to the ITDS and Solect acquisition-related charges. Pro forma operating income for the year ended September 30, 2000, excluding the ITDS and Solect acquisition-related charges, was $260.9 million, or 23.3% of revenue, as compared with $147.0 million, or 23.4% of revenue, in the year ended September 30, 1999, an increase of 77.5%.</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Other Income (Expense), Net. Other income (expense), net consists primarily of interest income. In the year ended September 30, 2000, other income, net was $10.7 million, an increase of $16.9 million from other expense, net of $6.2 million in the prior fiscal year. The increase in other income (expense), net is primarily attributed to increases in interest earned on cash equivalents and short-term interest-bearing investments.</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Income Taxes. Income taxes in fiscal 2000 were $78.9 million on income before income taxes of $84.9 million. Our effective tax rate in fiscal 2000 (calculated based on the income taxes out of the income before income taxes, excluding non recurring charges for write-offs of purchased in-process research and development and other indirect acquisition-related costs) was 49%, resulting from the non-cash amortization of goodwill related to the acquisitions of ITDS and Solect, much of which is not tax deductible. The pro forma effective tax rate for the year ended September 30, 2000, excluding the ITDS and Solect acquisition-related charges, was 30%. Income taxes were $42.2 million on income before income taxes of $140.8 million in fiscal 1999. Our effective tax rate in fiscal 1999 was 30%. See discussion below -- "Effective Tax Rate".</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Net Income. Net income was $6.0 million in the year ended September 30, 2000, as compared to $98.5 million for the previous fiscal year. Net income was 0.5% of revenue for fiscal 2000, as compared to 15.7% for fiscal 1999. Pro forma net income in fiscal 2000, excluding the ITDS and Solect acquisition-related charges, increased by 93.0% from fiscal 1999, reaching $190.1 million, representing 17.0% of revenue.</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Diluted Earnings per Share. Diluted earnings per share was $0.03 for the year ended September 30, 2000, as compared with $0.49 in fiscal 1999. Pro forma diluted earnings per share in the year ended September 30, 2000, excluding the ITDS and Solect acquisition-related charges, increased by 79.6% from the year ended September 30, 1999, reaching $0.88 per diluted share.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YEARS ENDED SEPTEMBER 30, 1999 AND 1998</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Revenue. Revenue for the year ended September 30, 1999 was $626.9 million, an increase of $223.1 million, or 55.3%, compared to fiscal 1998. The increase in revenue was primarily due to the growth in the demand for our CC&amp;B Systems solutions in our traditional target markets of high-end and mid-tier communications companies. In fiscal 1999,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services.</w:t>
      </w:r>
    </w:p>
    <w:p>
      <w:pPr>
        <w:spacing w:after="0" w:line="186"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License revenue increased from $42.9 million in fiscal 1998 to $74.4 million in the year ended September 30, 1999, an increase of 73.4%. Service revenue increased by $191.6 million, or 53.1%, in fiscal 1999, from $360.9 million in fiscal 1998 to $552.5 million.</w:t>
      </w:r>
    </w:p>
    <w:p>
      <w:pPr>
        <w:spacing w:after="0" w:line="186"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Total CC&amp;B Systems revenue for the year ended September 30, 1999 was $468.2 million, an increase of $216.4 million, or 85.9%, compared to fiscal 1998.</w:t>
      </w:r>
    </w:p>
    <w:p>
      <w:pPr>
        <w:spacing w:after="0" w:line="169"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Revenue from Directory Systems grew to $158.6 million for the year ended September 30, 1999, from $151.9 million for the prior fiscal year.</w:t>
      </w:r>
    </w:p>
    <w:p>
      <w:pPr>
        <w:spacing w:after="0" w:line="185"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5"/>
          <w:szCs w:val="15"/>
          <w:color w:val="auto"/>
        </w:rPr>
        <w:t>In the year ended September 30, 1999, revenue from customers in Europe, North America and the rest of the world accounted for 41.8%, 36.1% and 22.1%, respectively, compared to 27.2%, 52.2% and 20.6%, respectively, in the year ended September 30, 1998. The growth in revenue from customers in Europe was</w:t>
      </w:r>
    </w:p>
    <w:p>
      <w:pPr>
        <w:ind w:left="3740"/>
        <w:spacing w:after="0" w:line="236" w:lineRule="auto"/>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28</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primarily attributable to increased competition among communications companies within Europe and deregulation of the European market.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Cost of License. Cost of license for fiscal 1999 was $5.5 million, a decrease of $5.2 million, from cost of license for the prior fiscal year. Cost of license included amortization of purchased computer software and intellectual property rights. The decrease in cost of license for fiscal 1999 was attributable primarily to reductions in the required amortization of certain purchased computer software.</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Cost of Service. Cost of service for fiscal 1999 was $357.8 million, an increase of $126.4 million, or 54.7%, compared to cost of service of $231.4 million for the year ended September 30, 1998. Cost of service was predominantly related to salary and employee related expenses. The absolute increase in cost of service was consistent with the increase in revenue for the year ended September 30, 1999.</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attributed to research and development activities, either in conjunction with customer projects or as part of our product development programs. In fiscal 1999, research and development expense was $40.9 million, or 6.5% of revenue, compared with $25.6 million, or 6.3% of revenue, in the previous fiscal year. The increase in research and development expense represented ongoing expenditures primarily for CC&amp;B Systems and also for Directory Systems.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was primarily comprised of compensation expense and increased by 47.9% to $75.7 million, or 12.1% of revenue, in fiscal 1999, from $51.2 million, or 12.7% of revenue, in the year ended September 30, 1998. The absolute increase in selling, general and administrative expense was consistent with the increase in our revenue for fiscal 1999.</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Operating Income. Operating income in the year ended September 30, 1999 was $147.0 million, as compared with $84.9 million in the previous fiscal year, an increase of 73.1%. Operating income was 23.4% of revenue for fiscal 1999, as compared to 21.0% for fiscal 1998.</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Other Income (Expense), Net. Other income (expense), net consisted primarily of interest expense. In the year ended September 30, 1999, other expense, net was $6.2 million, a decrease of $17.9 million from the prior fiscal year. The decrease was primarily attributed to reductions in our bank debt through the use of cash from operations and the proceeds from our initial public offering in June 1998. Interest expense in fiscal 1998 related primarily to senior bank debt and subordinated debt.</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Income Taxes. Income taxes in fiscal 1999 were $42.2 million on income before income taxes of $140.8 million, representing an overall effective tax rate of 30%. In fiscal 1998, income taxes were $30.4 million on income before income taxes of $60.8 million, representing an overall effective tax rate of 50%. This higher tax rate resulted from significant interest expense in a tax jurisdiction where we were tax exempt, giving us no tax benefit to offset the tax incurred by us in other jurisdictions.</w:t>
      </w:r>
    </w:p>
    <w:p>
      <w:pPr>
        <w:spacing w:after="0" w:line="180" w:lineRule="exact"/>
        <w:rPr>
          <w:sz w:val="20"/>
          <w:szCs w:val="20"/>
          <w:color w:val="auto"/>
        </w:rPr>
      </w:pPr>
    </w:p>
    <w:p>
      <w:pPr>
        <w:ind w:left="460"/>
        <w:spacing w:after="0"/>
        <w:tabs>
          <w:tab w:leader="none" w:pos="166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5"/>
          <w:szCs w:val="15"/>
          <w:color w:val="auto"/>
        </w:rPr>
        <w:t>Net income was $98.5 million in the year ended September 30,</w:t>
      </w:r>
    </w:p>
    <w:p>
      <w:pPr>
        <w:spacing w:after="0"/>
        <w:rPr>
          <w:sz w:val="20"/>
          <w:szCs w:val="20"/>
          <w:color w:val="auto"/>
        </w:rPr>
      </w:pPr>
      <w:r>
        <w:rPr>
          <w:rFonts w:ascii="Courier New" w:cs="Courier New" w:eastAsia="Courier New" w:hAnsi="Courier New"/>
          <w:sz w:val="16"/>
          <w:szCs w:val="16"/>
          <w:color w:val="auto"/>
        </w:rPr>
        <w:t>1999 compared to $30.1 million for the previous fiscal year. Net income was</w:t>
      </w:r>
    </w:p>
    <w:p>
      <w:pPr>
        <w:spacing w:after="0" w:line="237" w:lineRule="auto"/>
        <w:rPr>
          <w:sz w:val="20"/>
          <w:szCs w:val="20"/>
          <w:color w:val="auto"/>
        </w:rPr>
      </w:pPr>
      <w:r>
        <w:rPr>
          <w:rFonts w:ascii="Courier New" w:cs="Courier New" w:eastAsia="Courier New" w:hAnsi="Courier New"/>
          <w:sz w:val="16"/>
          <w:szCs w:val="16"/>
          <w:color w:val="auto"/>
        </w:rPr>
        <w:t>15.7% of revenue for fiscal 1999, as compared to 7.5% for fiscal 1998.</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Diluted Earnings per Share. Diluted earnings per share increased from $0.19 in the year ended September 30, 1998 to $0.49 in fiscal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Cash and cash equivalents totaled $402.3 million as of September 30, 2000, compared to $85.2 million as of September 30, 1999. The increase in cash and cash equivalents is primarily attributable to cash flows from operations and, to a lesser degree, to cash balances of $31.9 million and $35.9 million we acquired as part of our acquisitions of ITDS and Solect, respectively, and to the exercise of employee stock options. Net cash provided by operating activities amounted to $287.6 million and $152.3 million for the years ended September 30, 2000 and 1999, respectively. A significant portion of our cash flow from operations during the year ended September 30, 2000 was used to invest in cash equivalents. We currently intend to retain our future earnings to support the further expansion of our business.</w:t>
      </w:r>
    </w:p>
    <w:p>
      <w:pPr>
        <w:sectPr>
          <w:pgSz w:w="11900" w:h="16838" w:orient="portrait"/>
          <w:cols w:equalWidth="0" w:num="1">
            <w:col w:w="10219"/>
          </w:cols>
          <w:pgMar w:left="240" w:top="293" w:right="1440" w:bottom="1440" w:gutter="0" w:footer="0" w:header="0"/>
        </w:sectPr>
      </w:pP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3"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29</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As of September 30, 2000, we had short-term revolving lines of credit totaling $140.0 million from various banks or bank groups, of which $20.0 million was outstanding.</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As of September 30, 2000, we also had utilized approximately $19.3 million of revolving credit facilities to support outstanding letters of credit or bank guarantees.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of September 30, 2000, we had positive working capital of $319.0 million, as compared to positive working capital of $35.9 million as of September 30, 1999. The increase in working capital is primarily attributable to cash generated from operating activities and to the cash obtained from our acquisitions of ITDS and Solect. In our opinion, current cash balances, cash generated from operations and our current lines of credit will provide sufficient resources to meet our near-term requirements.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of September 30, 2000, we had long-term obligations outstanding of $32.1 million in connection with leasing arrangements. 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DEFERRED TAX ASSETS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As of September 30, 2000, deferred tax assets of $16.7 million, derived primarily from carry-forward net operating losses relating to Solect pre-acquisition losses, were offset by valuation allowances due to the uncertainty of realizing any tax benefit for such losses. Upon the subsequent realization of any such net operating losses, the valuation allowance will be released, resulting in an offsetting reduction of the goodwill recorded in the Solect acquisition.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overall effective tax rate has historically been approximately 30% due to the various corporate income tax rates in the countries in which we operate and the relative magnitude of our business in those countries. Our consolidated effective tax rate (calculated based on the income taxes out of the income before income taxes, excluding non recurring charges for write-offs of purchased in-process research and development and other indirect acquisition-related costs) for the year ended September 30, 2000 was 49%, compared to 30% in the year ended September 30, 1999. This higher effective tax rate was attributable to amortization of goodwill related to our acquisitions of ITDS and Solect, much of which is not tax deductible. Excluding the impact of the ITDS and Solect acquisition-related charges, the effective tax rate for the year ended September 30, 2000 was 30%.</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3"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DIRECTORS, SENIOR MANAGEMENT AND EMPLOYEES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SENIOR MANAGEMENT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rely on the executive officers of our principal operating subsidiaries, including Amdocs, Inc. (the United States), Amdocs (UK) Limited (the United Kingdom), Amdocs Development Limited (Republic of Cyprus), Amdocs Management Limited (the United Kingdom), Amdocs (Israel) Limited (Israel), Amdocs Software Systems Ltd. (Ireland), International Telecommunication Data Systems, Inc. (the United States) and Solect Technology Group Inc. (Canada), to manage our business. In addition, Amdocs Management Limited, our management subsidiary, performs certain executive coordination functions for all of our operating subsidiaries.</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As of December 22, 2000, our directors, senior managers and key employees upon whose work we are dependent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ind w:left="1880"/>
              <w:spacing w:after="0"/>
              <w:rPr>
                <w:sz w:val="20"/>
                <w:szCs w:val="20"/>
                <w:color w:val="auto"/>
              </w:rPr>
            </w:pPr>
            <w:r>
              <w:rPr>
                <w:rFonts w:ascii="Courier New" w:cs="Courier New" w:eastAsia="Courier New" w:hAnsi="Courier New"/>
                <w:sz w:val="16"/>
                <w:szCs w:val="16"/>
                <w:color w:val="auto"/>
              </w:rPr>
              <w:t>NAME</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AGE</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r>
      <w:tr>
        <w:trPr>
          <w:trHeight w:val="180"/>
        </w:trPr>
        <w:tc>
          <w:tcPr>
            <w:tcW w:w="432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361"/>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Bruce K. Anderson(1)(2)......................</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and Chief</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Executive Officer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Robert A. Minicucci(1)(2)....................</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w w:val="97"/>
              </w:rPr>
              <w:t>Director and Chief Financial Officer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Avinoam Naor(2)..............................</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w w:val="97"/>
              </w:rPr>
              <w:t>Director; Chief Executive Officer of</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Amdocs Management 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Dov Baharav..................................</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and Chief</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w w:val="97"/>
              </w:rPr>
              <w:t>Financial Officer, Amdocs Management</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Courier New" w:cs="Courier New" w:eastAsia="Courier New" w:hAnsi="Courier New"/>
                <w:sz w:val="16"/>
                <w:szCs w:val="16"/>
                <w:color w:val="auto"/>
              </w:rPr>
              <w:t>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Nehemia Lemelbaum............................</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Amdocs</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Management 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Mario Segal..................................</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and Chief</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w w:val="97"/>
              </w:rPr>
              <w:t>Operating Officer, Amdocs Management</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Courier New" w:cs="Courier New" w:eastAsia="Courier New" w:hAnsi="Courier New"/>
                <w:sz w:val="16"/>
                <w:szCs w:val="16"/>
                <w:color w:val="auto"/>
              </w:rPr>
              <w:t>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Eli Gelman...................................</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Amdocs</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Management 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Paul Atkinson................................</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Amdocs</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Management 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Shlomo Baleli................................</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Amdocs</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Management 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Thomas G. O'Brien............................</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Treasurer and Secretary</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Simon Cassif.................................</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Amdocs (UK)</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Courier New" w:cs="Courier New" w:eastAsia="Courier New" w:hAnsi="Courier New"/>
                <w:sz w:val="16"/>
                <w:szCs w:val="16"/>
                <w:color w:val="auto"/>
              </w:rPr>
              <w:t>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Melinos Pissourios...........................</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w w:val="99"/>
              </w:rPr>
              <w:t>General Manager, Amdocs Development</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Courier New" w:cs="Courier New" w:eastAsia="Courier New" w:hAnsi="Courier New"/>
                <w:sz w:val="16"/>
                <w:szCs w:val="16"/>
                <w:color w:val="auto"/>
              </w:rPr>
              <w:t>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Kevin Picker.................................</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w w:val="97"/>
              </w:rPr>
              <w:t>Director and General Manager, Amdocs</w:t>
            </w:r>
          </w:p>
        </w:tc>
      </w:tr>
      <w:tr>
        <w:trPr>
          <w:trHeight w:val="180"/>
        </w:trPr>
        <w:tc>
          <w:tcPr>
            <w:tcW w:w="4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Courier New" w:cs="Courier New" w:eastAsia="Courier New" w:hAnsi="Courier New"/>
                <w:sz w:val="16"/>
                <w:szCs w:val="16"/>
                <w:color w:val="auto"/>
              </w:rPr>
              <w:t>(UK) Limited</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Adrian Gardner(1)(2)(3)......................</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James S. Kahan(1)(2).........................</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John T. McLennan(3)..........................</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Lawrence Perlman(3)..........................</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Michael J. Price.............................</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Modi Rosen...................................</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Ron Zuckerman................................</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w:t>
            </w:r>
          </w:p>
        </w:tc>
        <w:tc>
          <w:tcPr>
            <w:tcW w:w="352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w:t>
        <w:tab/>
        <w:t>Member of the Compensation Committee</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w:t>
        <w:tab/>
        <w:t>Member of Executive Committee</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w:t>
        <w:tab/>
        <w:t>Member of the Audit Committee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Bruce K. Anderson has been Chief Executive Officer and Chairman of the Board of Amdocs since September 1997. Since August 1978, he has been a general partner of WCAS, an investment firm that</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31</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specializes in the acquisition of companies in the information services, communications and health care industries. Investment partnerships affiliated with WCAS are collectively one of our largest shareholders. Mr. Anderson served for nine years with Automated Data Processing, Inc. ("ADP") until his resignation as Executive Vice President and a director of ADP, and President of ADP International, effective August 1978. Mr. Anderson serves on the board of Bridge Information Systems, Inc.</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 including Global Knowledge Networks, Inc., Alliance Data Systems, Inc., Headstrong, Inc. and Attachmate, Inc.</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Avinoam Naor has been a director of Amdocs Limited since January 1999 and is Chief Executive Officer of Amdocs Management Limited, having overall coordination responsibility for the operations and activities of our operating subsidiaries. Mr. Naor was a member of the team that founded Amdocs in 1982 and initially served as a Senior Vice President. He has been involved with software development for 28 years, working on projects for the development of application and infrastructure software for communications systems and developing and marketing directory assistance systems. Mr. Naor was also a member of the team that established the computerized system for Golden Pages, the Israeli yellow pages company.</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first as Vice President and then as President of Amdocs, Inc., our principal U.S. subsidiary. Prior to joining Amdocs, Mr. Baharav served as Chief Operating Officer of Optrotech Ltd., a publicly held company that develops, manufactures and markets electro-optical devices.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company, first as a senior consultant, and later as Managing Director. From 1967 to 1976, Mr. Lemelbaum was employed by the Ministry of Communications of Israel (in effect the organization that eventually became Bezeq, the Israel Telecommunication Corp. Ltd.), with responsibility for computer technology in the area of business data processing.</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Ensemble(TM)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Eli Gelman is a Senior Vice President of Amdocs Management Limited, with responsibility for sales and strategic alliances. He has over 20 years of experience in the software industry, including over 10 years with Amdocs. Prior to his current position, he was a division president. He headed Amdocs' United States sales and marketing operations and helped spearhead our entry into the CC&amp;B Systems market. Mr. Gelman was an account manager for our major European and North American installations, and has also led several major software development projects. Before joining Amdocs, Mr. Gelman was involved in the development of real-time software systems for communications networks.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Paul Atkinson has been a Senior Vice President of Amdocs Management Limited since October 2000, having overall responsibility for the Product Marketing and Marketing Communications departments.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3"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32</w:t>
      </w:r>
    </w:p>
    <w:p>
      <w:pPr>
        <w:spacing w:after="0" w:line="18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Mr. Atkinson served as Chief Executive Officer of Solect from 1994 until the acquisition of Solect by Amdocs in April 2000. Prior to joining Solect, Mr. Atkinson was the President and co-founder of Southwest Sun, the independent representative of Sun Microsystems in central Canada.</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Shlomo Baleli joined Amdocs in 1982 and has been a Senior Vice President of Amdocs Management Limited since October 2000. He has over 20 years experience in software engineering and in the development of software applications and infrastructure for communications systems and directory systems. Prior to joining Amdocs, he was a member of the team that established the computerized system for Golden Pages, the Israeli yellow pages company.</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billing and order management systems. Prior to joining Amdocs, Mr. Cassif was Chief Information Officer and Vice President, Systems and Computers at Bezeq, the Israel Telecommunication Corp. Ltd. Mr. Cassif held this position for twelve years, with full responsibility for Bezeq's information technology strategy, systems development, maintenance and operations.</w:t>
      </w:r>
    </w:p>
    <w:p>
      <w:pPr>
        <w:spacing w:after="0" w:line="17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Kevin Picker has been a director and the General Manager of Amdocs (UK) Limited since October 1999. He joined the Amdocs group in 1997 as the financial director of Directory Technology (PTY) Ltd. From May 1992 Mr. Picker was the general manager of Myers Tyres in Australia and prior to that financial director of KM Printing and Publishing. Mr. Picker is a member of the Institute of Chartered Accountants in Australia (1994), the Israeli Institute of Certified Public Accountants (1995) and the South African Institute of Chartered Accountants (1980).</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Adrian Gardner has been a director of Amdocs since April 1998. Mr. Gardner is a Managing Director of Lazard LLC, based in London, and works with technology and telecommunications-related companies. Prior to joining Lazard in 1989, Mr. Gardner qualified as a chartered accountant with Price Waterhouse (now PricewaterhouseCoopers). Mr. Gardner is a member of the Institute of Chartered Accountants in England &amp; Wales and a member of The Securities Institute in the United Kingdom.</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James S. Kahan has been a director of Amdocs since April 1998. Mr. Kahan has worked at SBC since 1983, and currently serves as its Senior Executive Vice President-Corporate Development, a position he has held since 1992. Prior to joining SBC, Mr. Kahan held various positions at several telecommunications companies, including Western Electric, Bell Laboratories, South Central Bell and AT&amp;T. SBCI, a wholly-owned subsidiary of SBC, is one of our largest shareholders.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John T. McLennan has been a director of Amdocs since November 1999. Since May 1999, he has served as Vice-Chair and Chief Executive Officer of AT&amp;T Canada. Mr. McLennan founded and was the President of Jenmark Consulting Inc. from 1997 until May 1999. From 1994 to 1997, Mr. McLennan served as the President and Chief Executive Officer of Bell Canada. Prior to that, he held various positions at several telecommunications companies, including BCE Mobile Communications and Cantel Inc. Mr. McLennan</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3"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33</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currently serves on the board of directors of Hummingbird Corporation and several other private software and communication companies.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Lawrence Perlman has been a director of Amdocs since April 1998. He was Chairman of Ceridian Corporation from 1992 through 1999, and its Chief Executive Officer from 1990 through 1999.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3"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Michael J. Price has been a director of Amdocs since January 1998. He is co-Chairman of FirstMark Communications International LLC, a broadband communications company in Europe. Prior to that, he worked at Lazard Freres &amp; Co. L.L.C., starting in 1987, serving first as a Vice President and then as a Managing Director, where he led its technology and telecommunications group. He is also a director of SpectraSite, a leading tower management company, and PeoplePC.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Modi Rosen has been a director of Amdocs since December 2000. He founded and has been a co-manager of Magnum Communications Fund, a venture capital fund specializing in the Israeli telecommunications industry, since 1999. From 1997 to 1999, he was a Vice-President of Monitor Company, an international consulting group, where he advised European wireless and wireline companies, including Siemens. From 1991 to 1997, Mr. Rosen was a managing partner at Shaldor, an Israeli consultancy firm.</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Ron Zuckerman has been a director of Amdocs since December 2000. He founded and has been Chairman of the Board of Precise Software Solutions, a Nasdaq-listed company and a provider of information technology infrastructure performance management software, since 1991. He also founded Sapiens International, a Nasdaq-listed company and global e-business solutions provider, where he has served as Chairman since 1998, and EC-Gate, a solutions provider for e-marketplaces, where he has served as Chairman since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directors who are not employees or affiliates of either the Company or any of our major shareholders have the choice of receiving as compensation either (i) an annual cash payment of $30,000 or (ii)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We reimburse all of our directors for their reasonable travel expenses incurred in connection with attending meetings of the board of directors or committees thereof.</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 total of 20 persons who served either as directors of Amdocs or members of its administrative, supervisory or management bodies during fiscal 2000 received remuneration from Amdocs. The aggregate remuneration paid by us to such persons was approximately $7.1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a former executive officer and to three former members of our board of directors.</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fiscal 2000, directors or members of our administrative, supervisory or management bodies were granted options to purchase a total of 21,112 ordinary shares at an average price of $43.45 per share, with vesting over three to four year terms. All options were issued pursuant to our 1998 Stock Option and Incentive Plan, as amended (the "Option Plan"). See "Employee Stock Option and Incentive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PRACTICES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34</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Other than an employment agreement between us and Mr. Naor, which provides that Mr. Naor shall be paid a cash severance upon termination of his employment, there are no service contracts between us and any of our directors providing for benefits upon termination of their employment.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BOARD COMMITTEES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Our Audit Committee consists of Messrs. Gardner, McLennan and Perlman, all of whom are independent directors, as required by the rules of the New York Stock Exchange, Inc. ("NYSE").</w:t>
      </w:r>
    </w:p>
    <w:p>
      <w:pPr>
        <w:spacing w:after="0" w:line="17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 Our Compensation Committee consists of Messrs. Anderson, Gardner, Kahan and Minicucci. None of the members of the Committee was an employee of ours at any time during fiscal 2000.</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have also established an Executive Committee that may act from time to time instead of the full board of directors and has such responsibilities as may be delegated to it by the board from time to time. Our Executive Committee consists of Messrs. Anderson, Gardner, Kahan, Miniccuci and Naor.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As of September 30, 2000, we employed on a full-time basis approximately 7,400 software and information technology specialists, engaged in research, development, maintenance and support activities, and approximately 1,000 managers and administrative professionals. We employ approximately 4,000 and 2,200 software and information technology specialists in Israel and North America, respectively, with the remaining principally located in Europe and the Asia-Pacific region. We often maintain teams of employees at a customer's premises to work on specific projects.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As of September 30, 1999, we employed on a full-time basis approximately 4,400 software and information technology specialists, engaged in research, development, maintenance and support activities, and approximately 600 managers and administrative professionals. We employed over 3,000 and 780 software and information technology specialists in Israel and North America, respectively, with the remaining located in Europe and the Asia-Pacific region.</w:t>
      </w:r>
    </w:p>
    <w:p>
      <w:pPr>
        <w:spacing w:after="0" w:line="17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As of September 30, 1998, we employed on a full-time basis approximately 2,900 software and information technology specialists, engaged in research, development, maintenance and support activities, and approximately 375 managers and administrative professionals. We employed over 2,100 and 500 software and information technology specialists in Israel and North America, respectively, with the remaining located in Europe and the Asia-Pacific region.</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have to comply with various labor and immigration laws throughout the world, including laws and regulations in Australia, Brazil, Canada, Europe, Israel, Japan and the United States. To date, compliance with such laws has not been a material burden for us. As the number of our employees increases over time, our compliance with such regulations could become more burdensome.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principal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3"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35</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employees by virtue of expansion orders of the Israeli Ministry of Labor and Welfare. A significant provision applicable to all employees in Israel under collective bargaining agreements and expansion orders is the automatic adjustment of wages in relation to increases in the consumer price index, or CPI. The amount and frequency of these adjustments are modified from time to time. We consider our relationship with our employees to be good and have never experienced a labor dispute, strike or work stoppage.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all employees in Brazil, including members of management, are represented by unions. Collective bargaining between employers and unions is mandatory, negotiated annually, and covers work conditions, including cost of living increases, minimum wages that exceed the government thresholds and overtime pay.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w:t>
      </w:r>
    </w:p>
    <w:p>
      <w:pPr>
        <w:spacing w:after="0" w:line="185" w:lineRule="exact"/>
        <w:rPr>
          <w:sz w:val="20"/>
          <w:szCs w:val="20"/>
          <w:color w:val="auto"/>
        </w:rPr>
      </w:pPr>
    </w:p>
    <w:p>
      <w:pPr>
        <w:ind w:right="3559" w:firstLine="188"/>
        <w:spacing w:after="0" w:line="236" w:lineRule="auto"/>
        <w:rPr>
          <w:sz w:val="20"/>
          <w:szCs w:val="20"/>
          <w:color w:val="auto"/>
        </w:rPr>
      </w:pPr>
      <w:r>
        <w:rPr>
          <w:rFonts w:ascii="Courier New" w:cs="Courier New" w:eastAsia="Courier New" w:hAnsi="Courier New"/>
          <w:sz w:val="16"/>
          <w:szCs w:val="16"/>
          <w:color w:val="auto"/>
        </w:rPr>
        <w:t>SECURITY OWNERSHIP OF DIRECTORS AND SENIOR MANAGEMENT AND CERTAIN KEY EMPLOYEES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of December 1, 2000, the aggregate number of our voting ordinary shares beneficially owned by our directors, senior managers and certain key employees was 68,369,254 shares. This number includes voting ordinary shares held by SBCI and WCAS since affiliates of SBCI and WCAS serve on our board of directors and, accordingly, such designees may be deemed to be the beneficial owners of the voting ordinary shares held by such entities. Each such designee disclaims beneficial ownership of such shares. The number also includes voting ordinary shares held by Amdocs International Limited ("AIL"), affiliates of which were on our board of directors at December 1, 2000 but have since resigned. See "Major Shareholders and Related Party Transactions -- Major Shareholders".</w:t>
      </w:r>
    </w:p>
    <w:p>
      <w:pPr>
        <w:spacing w:after="0" w:line="179"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Beneficial ownership by a person assumes the exercise of all options and warrants held by such person that are currently exercisable or are exercisable within 60 days of such date.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EMPLOYEE STOCK OPTION AND INCENTIVE PLAN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Option Plan provides for the grant by Amdocs of restricted shares or stock options to our directors, employees (including officers) and consultants. Of the 13,300,000 ordinary shares originally available for issuance under the Option Plan, options to purchase 10,427,565 ordinary shares have been granted as of December 1, 2000, and 2,872,435 ordinary shares remain available for future grants. The board of directors has authorized an increase of 19,000,000 ordinary shares to the Option Plan, subject to shareholder approval at our next general meeting of shareholders. The purpose of the Option Plan is to enable us to attract and retain qualified personnel and to motivate such persons by providing them with an equity participation in the Company.</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Option Plan provides for the granting of "incentive stock options" and "non-qualified stock options" to purchase ordinary shares and/or the granting of rights to purchase ordinary shares on a "restricted"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Option Plan is administered by the Compensation Committee, which determines all the terms of the awards (subject to the above), including which employees are granted awards. The board of directors may amend or terminate the Option Plan, provided that stockholder approval is required to increase the number of ordinary shares available under the Option Plan, to decrease the basis upon which the minimum exercise price of options is determined or to extend the term of an individual option or the period in which awards may be granted. Ordinary shares acquired upon exercise of an award are subject to certain restrictions on sale, transfer or hypothecation.</w:t>
      </w:r>
    </w:p>
    <w:p>
      <w:pPr>
        <w:spacing w:after="0" w:line="18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As of December 1, 2000, there were outstanding options to purchase an aggregate 9,261,093 ordinary shares at exercise prices ranging from $1.92 to $77.25 per share and no restricted shares had been awarded.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a result of the ITDS and Solect transactions, as of December 1, 2000, we are obligated to issue (and have reserved for issuance) an additional 566,592 and 1,087,337 ordinary shares, respectively, upon exercise of options that had previously been granted under the ITDS and Solect option plans. These options vest over a period of 3.5 years and have exercise prices ranging from $0.001 to $74.79 per share. No additional options have been or will be granted under these plans.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3" w:right="1440" w:bottom="1440" w:gutter="0" w:footer="0" w:header="0"/>
          <w:type w:val="continuous"/>
        </w:sectPr>
      </w:pPr>
    </w:p>
    <w:bookmarkStart w:id="36" w:name="page37"/>
    <w:bookmarkEnd w:id="36"/>
    <w:p>
      <w:pPr>
        <w:ind w:left="284"/>
        <w:spacing w:after="0"/>
        <w:rPr>
          <w:sz w:val="20"/>
          <w:szCs w:val="20"/>
          <w:color w:val="auto"/>
        </w:rPr>
      </w:pPr>
      <w:r>
        <w:rPr>
          <w:rFonts w:ascii="Courier New" w:cs="Courier New" w:eastAsia="Courier New" w:hAnsi="Courier New"/>
          <w:sz w:val="16"/>
          <w:szCs w:val="16"/>
          <w:color w:val="auto"/>
        </w:rPr>
        <w:t>36</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MAJOR SHAREHOLDERS AND RELATED PARTY TRANSACTIONS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MAJOR SHAREHOLDERS</w:t>
      </w:r>
    </w:p>
    <w:p>
      <w:pPr>
        <w:spacing w:after="0" w:line="185" w:lineRule="exact"/>
        <w:rPr>
          <w:sz w:val="20"/>
          <w:szCs w:val="20"/>
          <w:color w:val="auto"/>
        </w:rPr>
      </w:pPr>
    </w:p>
    <w:p>
      <w:pPr>
        <w:ind w:left="4" w:right="2819" w:firstLine="469"/>
        <w:spacing w:after="0" w:line="257" w:lineRule="auto"/>
        <w:rPr>
          <w:sz w:val="20"/>
          <w:szCs w:val="20"/>
          <w:color w:val="auto"/>
        </w:rPr>
      </w:pPr>
      <w:r>
        <w:rPr>
          <w:rFonts w:ascii="Courier New" w:cs="Courier New" w:eastAsia="Courier New" w:hAnsi="Courier New"/>
          <w:sz w:val="15"/>
          <w:szCs w:val="15"/>
          <w:color w:val="auto"/>
        </w:rPr>
        <w:t>Our voting ordinary shares are owned 13.8% by AXA Financial, Inc. and its affiliates, 10.4% by SBCI, 9.4% by Amdocs International Limited ("AIL"), a private company beneficially owned by Morris S. Kahn and 8.4% by Welsh, Carson, Anderson &amp; Stowe ("WCAS"), a private investment firm, and its affiliates.</w:t>
      </w:r>
    </w:p>
    <w:p>
      <w:pPr>
        <w:spacing w:after="0" w:line="17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As a result of the concentration of ownership of our voting ordinary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87" w:lineRule="exact"/>
        <w:rPr>
          <w:sz w:val="20"/>
          <w:szCs w:val="20"/>
          <w:color w:val="auto"/>
        </w:rPr>
      </w:pPr>
    </w:p>
    <w:p>
      <w:pPr>
        <w:ind w:left="4" w:right="2819" w:firstLine="469"/>
        <w:spacing w:after="0" w:line="259"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as of December 1, 2000 of any person known by us to be the beneficial owner of more than 5% of our outstanding voting ordinary shares.</w:t>
      </w:r>
    </w:p>
    <w:p>
      <w:pPr>
        <w:spacing w:after="0" w:line="200" w:lineRule="exact"/>
        <w:rPr>
          <w:sz w:val="20"/>
          <w:szCs w:val="20"/>
          <w:color w:val="auto"/>
        </w:rPr>
      </w:pP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SHARES</w:t>
            </w:r>
          </w:p>
        </w:tc>
        <w:tc>
          <w:tcPr>
            <w:tcW w:w="126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BENEFICIALLY</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PERCENTAGE</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NAME AND ADDRESS</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6"/>
              </w:rPr>
              <w:t>OWNED(1)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OWNERSHIP(2)</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AXA Financial, Inc.(3)......................................</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27,453,122</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13.8%</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1290 Avenue of the Americas</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New York, New York 10104</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SBC International Inc.(4)...................................</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20,654,138</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175 E. Houston Street</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San Antonio, Texas 78205-2233</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Amdocs International Limited(5).............................</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18,744,442</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9.4%</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Suite 5, Tower Hill House</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Le Bordage, St. Peter Port</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Guernsey GY1 3QT</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The Channel Islands</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Welsh, Carson, Anderson &amp; Stowe(6)..........................</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16,752,911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8.4%</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320 Park Avenue, Suite 2500</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New York, New York 10022</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719" w:hanging="384"/>
        <w:spacing w:after="0" w:line="237" w:lineRule="auto"/>
        <w:tabs>
          <w:tab w:leader="none" w:pos="3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entities identified in this table have sole voting and investment power with respect to all voting ordinary shares shown as beneficially owned by them, subject to community property laws, where applicable.</w:t>
      </w:r>
    </w:p>
    <w:p>
      <w:pPr>
        <w:spacing w:after="0" w:line="185" w:lineRule="exact"/>
        <w:rPr>
          <w:rFonts w:ascii="Courier New" w:cs="Courier New" w:eastAsia="Courier New" w:hAnsi="Courier New"/>
          <w:sz w:val="16"/>
          <w:szCs w:val="16"/>
          <w:color w:val="auto"/>
        </w:rPr>
      </w:pPr>
    </w:p>
    <w:p>
      <w:pPr>
        <w:ind w:left="384" w:right="3379" w:hanging="384"/>
        <w:spacing w:after="0" w:line="236" w:lineRule="auto"/>
        <w:tabs>
          <w:tab w:leader="none" w:pos="3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percentages shown are based on 198,370,603 voting ordinary shares outstanding on December 1, 2000.</w:t>
      </w:r>
    </w:p>
    <w:p>
      <w:pPr>
        <w:spacing w:after="0" w:line="184"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26,911,722 shares held indirectly through AXA Financial's majority-owned subsidiary Alliance Capital Management L.P. and 541,400 shares held indirectly through AXA Financial's wholly-owned subsidiary the Equitable Life Assurance Society of the United States.</w:t>
      </w:r>
    </w:p>
    <w:p>
      <w:pPr>
        <w:spacing w:after="0" w:line="185" w:lineRule="exact"/>
        <w:rPr>
          <w:rFonts w:ascii="Courier New" w:cs="Courier New" w:eastAsia="Courier New" w:hAnsi="Courier New"/>
          <w:sz w:val="16"/>
          <w:szCs w:val="16"/>
          <w:color w:val="auto"/>
        </w:rPr>
      </w:pPr>
    </w:p>
    <w:p>
      <w:pPr>
        <w:ind w:left="384" w:right="2819" w:hanging="384"/>
        <w:spacing w:after="0" w:line="238" w:lineRule="auto"/>
        <w:tabs>
          <w:tab w:leader="none" w:pos="3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SBCI is a wholly-owned subsidiary of SBC, a company whose shares are publicly traded on the NYSE. SBCI also owns 22,864,373 non-voting ordinary shares, which, together with its voting ordinary shares, represent 19.7% of our aggregate outstanding shares as of December 1, 2000. SBCI is the only shareholder that holds our non-voting ordinary shares. James S. Kahan, Senior Executive Vice President-Corporate Development of SBC, serves on our board of directors.</w:t>
      </w:r>
    </w:p>
    <w:p>
      <w:pPr>
        <w:spacing w:after="0" w:line="184" w:lineRule="exact"/>
        <w:rPr>
          <w:rFonts w:ascii="Courier New" w:cs="Courier New" w:eastAsia="Courier New" w:hAnsi="Courier New"/>
          <w:sz w:val="16"/>
          <w:szCs w:val="16"/>
          <w:color w:val="auto"/>
        </w:rPr>
      </w:pPr>
    </w:p>
    <w:p>
      <w:pPr>
        <w:ind w:left="384" w:right="2719" w:hanging="384"/>
        <w:spacing w:after="0" w:line="256" w:lineRule="auto"/>
        <w:tabs>
          <w:tab w:leader="none" w:pos="3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voting ordinary shares that AIL may be required to deliver to the Amdocs Automatic Common Exchange Security Trust (the "TRACES Trust") upon the exchange of Automatic Common Exchange Securities that were issued and sold by the TRACES Trust in June 1999. The exchange date for the Automatic Common Exchange Securities will occur no earlier than June 11, 2002.</w:t>
      </w:r>
    </w:p>
    <w:p>
      <w:pPr>
        <w:sectPr>
          <w:pgSz w:w="11900" w:h="16838" w:orient="portrait"/>
          <w:cols w:equalWidth="0" w:num="1">
            <w:col w:w="10223"/>
          </w:cols>
          <w:pgMar w:left="236" w:top="293" w:right="1440" w:bottom="1440" w:gutter="0" w:footer="0" w:header="0"/>
        </w:sectPr>
      </w:pPr>
    </w:p>
    <w:p>
      <w:pPr>
        <w:spacing w:after="0" w:line="17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3"/>
          </w:cols>
          <w:pgMar w:left="236" w:top="293" w:right="1440" w:bottom="1440" w:gutter="0" w:footer="0" w:header="0"/>
          <w:type w:val="continuous"/>
        </w:sectPr>
      </w:pPr>
    </w:p>
    <w:bookmarkStart w:id="37" w:name="page38"/>
    <w:bookmarkEnd w:id="37"/>
    <w:p>
      <w:pPr>
        <w:ind w:left="284"/>
        <w:spacing w:after="0"/>
        <w:rPr>
          <w:sz w:val="20"/>
          <w:szCs w:val="20"/>
          <w:color w:val="auto"/>
        </w:rPr>
      </w:pPr>
      <w:r>
        <w:rPr>
          <w:rFonts w:ascii="Courier New" w:cs="Courier New" w:eastAsia="Courier New" w:hAnsi="Courier New"/>
          <w:sz w:val="16"/>
          <w:szCs w:val="16"/>
          <w:color w:val="auto"/>
        </w:rPr>
        <w:t>37</w:t>
      </w:r>
    </w:p>
    <w:p>
      <w:pPr>
        <w:spacing w:after="0" w:line="185" w:lineRule="exact"/>
        <w:rPr>
          <w:sz w:val="20"/>
          <w:szCs w:val="20"/>
          <w:color w:val="auto"/>
        </w:rPr>
      </w:pPr>
    </w:p>
    <w:p>
      <w:pPr>
        <w:ind w:left="384" w:right="2719" w:hanging="384"/>
        <w:spacing w:after="0" w:line="238" w:lineRule="auto"/>
        <w:tabs>
          <w:tab w:leader="none" w:pos="38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10,857,994 voting ordinary shares held by Welsh, Carson, Anderson &amp; Stowe VII, L.P., 3,107,681 voting ordinary shares held by Welsh, Carson, Anderson &amp; Stowe VI, L.P. and 2,787,236 voting ordinary shares held by WCAS Capital Partners III, L.P. Bruce K. Anderson and Robert A. Minicucci, principals of the various WCAS entities, serve on our board of directors and as Chairman of the Board and Chief Executive Officer of Amdocs, and Chief Financial Officer of Amdocs, respectively.</w:t>
      </w:r>
    </w:p>
    <w:p>
      <w:pPr>
        <w:spacing w:after="0" w:line="185"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Pursuant to a call option agreement entered into in September 1997 among various of our shareholders as of that date, a call option was exercised in November 1999, without the payment of any consideration, as a result of certain revenue and cash flow targets having been met by us, which resulted in the relative ownership of certain of our shareholders increasing or decreasing with no change in the aggregate number of our outstanding ordinary shares.</w:t>
      </w:r>
    </w:p>
    <w:p>
      <w:pPr>
        <w:spacing w:after="0" w:line="17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As of December 1, 2000, our ordinary shares were held by approximately 274 recordholders. Based on a review of the information provided to us by our transfer agent, 180 recordholders, holding approximately 83.0% of our outstanding ordinary shares, were residents of the United States.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RELATED PARTY TRANSACTIONS</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INVESTMENT AGREEMENTS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In September 1997, Amdocs and affiliates of WCAS and certain other investors (the "WCAS Investors") entered into a Share Subscription Agreement under which the WCAS Investors acquired from us on September 22, 1997, $3.27 million principal amount of junior promissory notes and ordinary shares issued by us representing 8.7% of our then outstanding equity for $61.2 million. On that date, Amdocs and the WCAS Investors also entered into a Conditional Investment Agreement, under which the WCAS Investors agreed, subject to the satisfaction of specific revenue and cash flow targets through November 30, 1997, to acquire additional shares of Amdocs which, when added to the shares acquired under the Share Subscription Agreement, would constitute 35.0% of our outstanding equity as of September 22, 1997. Concurrently with the signing of the Conditional Investment Agreement, a subsidiary of Amdocs, European Software Marketing Ltd. ("ESM"), entered into a Note Purchase Agreement with WCAS Capital Partners III, L.P., an investment partnership affiliated with WCAS, and several other investors, providing for the issuance of up to $125.0 million principal amount of 10% subordinated notes of ESM, subject to the satisfaction of the same financial targets set forth in the Conditional Investment Agreement. In January 1998, with the financial targets having been met, ESM sold $123.5 million principal amount of subordinated notes under the Note Purchase Agreement for a purchase price equal to their principal amount. On March 30, 1998, we completed the transactions contemplated by the Conditional Investment Agreement by issuing and selling to the WCAS Investors 51,507,716 ordinary shares for $95.83 million in cash and the surrender of the $3.27 million principal amount of junior promissory notes issued by us in September 1997.</w:t>
      </w:r>
    </w:p>
    <w:p>
      <w:pPr>
        <w:spacing w:after="0" w:line="35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proceeds of the equity and subordinated debt investments made under the Share Subscription Agreement, the Conditional Investment Agreement and the Note Purchase Agreement were used, together with the proceeds of a senior bank debt financing and internally generated funds, to acquire for $40.0 million certain intellectual property rights from operating subsidiaries of SBC and to fund an internal corporate reorganization. Following the reorganization, $478.7 million in dividends were paid to our shareholders, including a total of $39.9 million to the WCAS Investors.</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SHAREHOLDERS AGREEMENTS</w:t>
      </w:r>
    </w:p>
    <w:p>
      <w:pPr>
        <w:spacing w:after="0" w:line="185"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In connection with the Share Subscription Agreement and Conditional Investment Agreement, SBCI, WCAS (on behalf of the WCAS Investors), AIL and Amdocs, entered into a Shareholders Agreement, under</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3"/>
          </w:cols>
          <w:pgMar w:left="236" w:top="293"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38</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which these shareholders have certain rights to have their shares registered for sale to the public under the Securities Act of 1933, as amended.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Pursuant to separate Shareholders Agreements entered into in 1995 among various of our shareholders as of that date, the parties thereto have, subject to the occurrence of specified events, call and put rights with respect to certain shares held by the parties. These rights expire ratably over time and fully expire in 2002. The exercise of such rights will not affect the number of our outstanding ordinary shares.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RELATIONSHIP WITH SBC</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fiscal 2000, 1999 and 1998, SBC and those subsidiaries accounted for approximately 12.6%, 15.9% and 20.8%, respectively, of our revenue.</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March 1999, we entered into an agreement with a subsidiary of SBC, under which SBC has agreed that the level of support and development services that we provide to SBC and its subsidiaries over the subsequent three years will be at least equal to a substantial portion of the services we provided to SBC as of such date.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RELATIONSHIPS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Since fiscal 1997, we have provided a CC&amp;B Systems and related customization and implementation services to GoldenLines Limited, a provider of international telephone service for calls to and from Israel. SBC and Morris S. Kahn have a significant beneficial interest in GoldenLines.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SBC and Mr. Kahn also are the beneficial owners of a company that leases certain office facilities and provides certain miscellaneous support services to us in Israel.</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FINANCIAL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185" w:lineRule="exact"/>
        <w:rPr>
          <w:sz w:val="20"/>
          <w:szCs w:val="20"/>
          <w:color w:val="auto"/>
        </w:rPr>
      </w:pPr>
    </w:p>
    <w:p>
      <w:pPr>
        <w:ind w:right="3379" w:firstLine="469"/>
        <w:spacing w:after="0" w:line="263" w:lineRule="auto"/>
        <w:rPr>
          <w:sz w:val="20"/>
          <w:szCs w:val="20"/>
          <w:color w:val="auto"/>
        </w:rPr>
      </w:pPr>
      <w:r>
        <w:rPr>
          <w:rFonts w:ascii="Courier New" w:cs="Courier New" w:eastAsia="Courier New" w:hAnsi="Courier New"/>
          <w:sz w:val="15"/>
          <w:szCs w:val="15"/>
          <w:color w:val="auto"/>
        </w:rPr>
        <w:t>See "Financial Statements" for our audited Consolidated Financial Statements and Financial Statement Schedule filed as part of this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are not involved in any material legal proceedings.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POLICY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did not pay any cash dividends on our ordinary shares in fiscal 2000 or 1999. We paid cash dividends totaling $478.7 million, $19.3 million and $37.9 million on our ordinary shares in each of fiscal 1998, 1997 and 1996, respectively. After the payment of the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 as well as other conditions we deem relevant. The terms of our existing debt and any additional debt that may be incurred by us may effectively limit our ability to pay dividends.</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3" w:right="1440" w:bottom="1440" w:gutter="0" w:footer="0" w:header="0"/>
        </w:sectPr>
      </w:pPr>
    </w:p>
    <w:bookmarkStart w:id="39" w:name="page40"/>
    <w:bookmarkEnd w:id="39"/>
    <w:p>
      <w:pPr>
        <w:ind w:left="284"/>
        <w:spacing w:after="0"/>
        <w:rPr>
          <w:sz w:val="20"/>
          <w:szCs w:val="20"/>
          <w:color w:val="auto"/>
        </w:rPr>
      </w:pPr>
      <w:r>
        <w:rPr>
          <w:rFonts w:ascii="Courier New" w:cs="Courier New" w:eastAsia="Courier New" w:hAnsi="Courier New"/>
          <w:sz w:val="16"/>
          <w:szCs w:val="16"/>
          <w:color w:val="auto"/>
        </w:rPr>
        <w:t>39</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THE OFFER AND LISTING</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Our ordinary shares have been quoted on the NYSE since June 19, 1998, under the symbol "DOX". The annual high and low reported sale prices for the ordinary shares were $96.00 and $19.81, respectively, for fiscal 2000 and were $30.25 and $8.75, respectively, for fiscal 1999. Through November 30, 2000, the high and low reported sale prices for the ordinary shares were as follows:</w:t>
      </w:r>
    </w:p>
    <w:p>
      <w:pPr>
        <w:spacing w:after="0" w:line="200" w:lineRule="exact"/>
        <w:rPr>
          <w:sz w:val="20"/>
          <w:szCs w:val="20"/>
          <w:color w:val="auto"/>
        </w:rPr>
      </w:pPr>
    </w:p>
    <w:p>
      <w:pPr>
        <w:spacing w:after="0" w:line="34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HIGH</w:t>
            </w:r>
          </w:p>
        </w:tc>
        <w:tc>
          <w:tcPr>
            <w:tcW w:w="220" w:type="dxa"/>
            <w:vAlign w:val="bottom"/>
          </w:tcPr>
          <w:p>
            <w:pPr>
              <w:spacing w:after="0"/>
              <w:rPr>
                <w:sz w:val="15"/>
                <w:szCs w:val="15"/>
                <w:color w:val="auto"/>
              </w:rPr>
            </w:pPr>
          </w:p>
        </w:tc>
        <w:tc>
          <w:tcPr>
            <w:tcW w:w="4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LOW</w:t>
            </w:r>
          </w:p>
        </w:tc>
      </w:tr>
      <w:tr>
        <w:trPr>
          <w:trHeight w:val="180"/>
        </w:trPr>
        <w:tc>
          <w:tcPr>
            <w:tcW w:w="57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Fiscal Year ending September 30, 1998:</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 (since June 19, 1998).......................</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$16.50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14.00</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$16.38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8.19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Fiscal Year ending September 30, 1999:</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$17.50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$26.38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13.50</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$29.69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18.38</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$30.25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20.00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Fiscal Year ending September 30, 2000:</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$37.94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19.81</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$96.00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32.44</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$88.75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49.00</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$88.75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59.38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Most recent six months: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June, 2000................................................</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$81.50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62.50</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July, 2000................................................</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$88.75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66.13</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August, 2000..............................................</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$73.38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59.38</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September, 2000...........................................</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$72.75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60.00</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October, 2000.............................................</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$67.38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53.88</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November, 2000............................................</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7"/>
              </w:rPr>
              <w:t>$73.50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51.63</w:t>
            </w:r>
          </w:p>
        </w:tc>
      </w:tr>
    </w:tbl>
    <w:p>
      <w:pPr>
        <w:spacing w:after="0" w:line="360" w:lineRule="exact"/>
        <w:rPr>
          <w:sz w:val="20"/>
          <w:szCs w:val="20"/>
          <w:color w:val="auto"/>
        </w:rPr>
      </w:pPr>
    </w:p>
    <w:p>
      <w:pPr>
        <w:ind w:left="4"/>
        <w:spacing w:after="0"/>
        <w:tabs>
          <w:tab w:leader="none" w:pos="923"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ADDITIONAL INFORMATION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MEMORANDUM AND ARTICLES OF ASSOCIATION</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Company is registered at the Greffe (Companies Registry) in Guernsey, the Channel Islands and has been assigned company number 19528, registered office situated at Suite 5, Tower Hill House, Le Bordage, St Peter Port, Island of Guernsey, GY1 3QT, Channel Islands. The telephone number at that location is 011-44-1481-728444.</w:t>
      </w:r>
    </w:p>
    <w:p>
      <w:pPr>
        <w:spacing w:after="0" w:line="187"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purpose of the Company is to perform any and all corporate activities permissible under Guernsey law and are set forth in detail at Clause 3(1) to</w:t>
      </w:r>
    </w:p>
    <w:p>
      <w:pPr>
        <w:spacing w:after="0" w:line="1" w:lineRule="exact"/>
        <w:rPr>
          <w:sz w:val="20"/>
          <w:szCs w:val="20"/>
          <w:color w:val="auto"/>
        </w:rPr>
      </w:pPr>
    </w:p>
    <w:p>
      <w:pPr>
        <w:ind w:left="4" w:right="3479" w:hanging="4"/>
        <w:spacing w:after="0" w:line="236" w:lineRule="auto"/>
        <w:tabs>
          <w:tab w:leader="none" w:pos="47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Memorandum of Association of the Company (the "Memorandum of Association").</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21 of the Articles of Association provides that the remuneration of the directors shall from time to time be determined by the Company by ordinary resolution. No provision is made in the Articles of Association for directors to vote compensation to themselves or any members of their body under any circumstances. Article 22 provides that directors may exercise all the powers of the 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186"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3"/>
          </w:cols>
          <w:pgMar w:left="236" w:top="293"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40</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The rights, preferences and restrictions attaching to each class of the shares are as follows: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PREFERRED SHARES</w:t>
      </w:r>
    </w:p>
    <w:p>
      <w:pPr>
        <w:spacing w:after="0" w:line="185" w:lineRule="exact"/>
        <w:rPr>
          <w:sz w:val="20"/>
          <w:szCs w:val="20"/>
          <w:color w:val="auto"/>
        </w:rPr>
      </w:pPr>
    </w:p>
    <w:p>
      <w:pPr>
        <w:ind w:left="660" w:right="2899" w:hanging="195"/>
        <w:spacing w:after="0" w:line="236"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 the preferred shares may be issued from time to time in one or more series of any number of shares up to the amount authorized.</w:t>
      </w:r>
    </w:p>
    <w:p>
      <w:pPr>
        <w:spacing w:after="0" w:line="184"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6"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85"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186"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ORDINARY SHARES AND NON-VOTING ORDINARY SHARES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Except as otherwise provided by the Memorandum of Association and Articles of Association, the ordinary shares and non-voting ordinary shares are identical and entitle holders thereof to the same rights and privileges.</w:t>
      </w:r>
    </w:p>
    <w:p>
      <w:pPr>
        <w:spacing w:after="0" w:line="185" w:lineRule="exact"/>
        <w:rPr>
          <w:sz w:val="20"/>
          <w:szCs w:val="20"/>
          <w:color w:val="auto"/>
        </w:rPr>
      </w:pPr>
    </w:p>
    <w:p>
      <w:pPr>
        <w:ind w:left="660" w:right="271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 when and as dividends are declared on the shares of the Company the holders of voting ordinary shares and non-voting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88"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188"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187" w:lineRule="exact"/>
        <w:rPr>
          <w:rFonts w:ascii="Courier New" w:cs="Courier New" w:eastAsia="Courier New" w:hAnsi="Courier New"/>
          <w:sz w:val="16"/>
          <w:szCs w:val="16"/>
          <w:color w:val="auto"/>
        </w:rPr>
      </w:pPr>
    </w:p>
    <w:p>
      <w:pPr>
        <w:ind w:left="660" w:right="2999" w:hanging="195"/>
        <w:spacing w:after="0" w:line="259" w:lineRule="auto"/>
        <w:tabs>
          <w:tab w:leader="none" w:pos="6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171"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Preferences -- except for liquidation preference, the voting ordinary shares and non-voting ordinary shares are subject to all the powers, rights, privileges, preferences and priorities of the preferred shares as are set out in the Articles of Association.</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41</w:t>
      </w:r>
    </w:p>
    <w:p>
      <w:pPr>
        <w:spacing w:after="0" w:line="185" w:lineRule="exact"/>
        <w:rPr>
          <w:sz w:val="20"/>
          <w:szCs w:val="20"/>
          <w:color w:val="auto"/>
        </w:rPr>
      </w:pPr>
    </w:p>
    <w:p>
      <w:pPr>
        <w:jc w:val="both"/>
        <w:ind w:right="2719" w:firstLine="469"/>
        <w:spacing w:after="0" w:line="259" w:lineRule="auto"/>
        <w:rPr>
          <w:sz w:val="20"/>
          <w:szCs w:val="20"/>
          <w:color w:val="auto"/>
        </w:rPr>
      </w:pPr>
      <w:r>
        <w:rPr>
          <w:rFonts w:ascii="Courier New" w:cs="Courier New" w:eastAsia="Courier New" w:hAnsi="Courier New"/>
          <w:sz w:val="15"/>
          <w:szCs w:val="15"/>
          <w:color w:val="auto"/>
        </w:rPr>
        <w:t>As regards both preferred shares and voting and non-voting ordinary shares, the Company has power to purchase any of its own shares, whether or not they are redeemable and may make a payment out of capital for such purchase.</w:t>
      </w:r>
    </w:p>
    <w:p>
      <w:pPr>
        <w:spacing w:after="0" w:line="171"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There are no provisions for a classified board of directors or for cumulative voting for directors.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Article 8 of the Articles of Association provides that all or any of the rights, privileges, or conditions attached to any class or group of shares may be changed as follows:</w:t>
      </w:r>
    </w:p>
    <w:p>
      <w:pPr>
        <w:spacing w:after="0" w:line="185" w:lineRule="exact"/>
        <w:rPr>
          <w:sz w:val="20"/>
          <w:szCs w:val="20"/>
          <w:color w:val="auto"/>
        </w:rPr>
      </w:pPr>
    </w:p>
    <w:p>
      <w:pPr>
        <w:ind w:left="660" w:right="2719" w:hanging="195"/>
        <w:spacing w:after="0" w:line="257" w:lineRule="auto"/>
        <w:tabs>
          <w:tab w:leader="none" w:pos="6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7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17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Provisions in respect of the holding of general meetings and extraordinary general meetings are set out at Articles 14, 15 and 16 of the Articles of Association. The Articles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35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There are no limitations on the rights to own securities, including the rights of non-resident or foreign shareholders to hold or exercise voting rights on the securities.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disclose such ownership. In addition, holders of more than 5% of a registered equity security must disclose such ownership.</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and the</w:t>
      </w:r>
    </w:p>
    <w:p>
      <w:pPr>
        <w:sectPr>
          <w:pgSz w:w="11900" w:h="16838" w:orient="portrait"/>
          <w:cols w:equalWidth="0" w:num="1">
            <w:col w:w="10219"/>
          </w:cols>
          <w:pgMar w:left="240" w:top="293" w:right="1440" w:bottom="1440" w:gutter="0" w:footer="0" w:header="0"/>
        </w:sectPr>
      </w:pP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3"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42</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CONTRACTS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Other than the ITDS and Solect acquisition transaction agreements and related documents, in the past two years we have not entered into any material contracts other than contracts entered into in the ordinary course of our business. See "Information on the Company -- History and Development of Amdocs".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CONTROLS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TAXATION</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TAXATION OF THE COMPANY</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overall effective tax rate has historically been approximately 30% due to the various corporate income tax rates in the countries in which we operate and the relative magnitude of our activities in those countries. Our consolidated effective tax rate (calculated based on the income taxes out of the income before income taxes, excluding nonrecurring charges for write-offs of purchased in-process research and development and other indirect acquisition-related costs) for fiscal 2000 was 49%. This higher effective tax rate was attributable to amortization of goodwill related to our acquisitions of ITDS and Solect, much of which is not tax deductible. Excluding the impact of the ITDS and Solect acquisition-related charges, the effective tax rate for fiscal 2000 was 30%.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Ireland and Israel. The loss of any such tax benefits could have an adverse effect on our effective tax rate.</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We qualify as an exempt company (i.e., our shareholders are not Guernsey residents and we do not carry on business in Guernsey) so we generally are not subject to taxation in Guernsey.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Cyprus Tax Considerations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conducted by it are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3"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43</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Irish Tax Considerations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Our Irish subsidiary, Amdocs Software Systems Ltd., operates a development center. The corporation tax rate on its trading activities is 24% for 2000 and will decline to 20% in 2001 and to 16% in 2002, and finally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is subject to a corporation tax rate in Ireland of 10% with respect to its manufacturing activities. This tax rate on manufacturing activities will be available to our Irish subsidiary until December 31, 2002. As of January 1, 2003, our Irish subsidiary will be subject to a single corporation tax rate of 12.5% on all of its trading and manufacturing activities.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Israeli Tax Considerations</w:t>
      </w:r>
    </w:p>
    <w:p>
      <w:pPr>
        <w:spacing w:after="0" w:line="185" w:lineRule="exact"/>
        <w:rPr>
          <w:sz w:val="20"/>
          <w:szCs w:val="20"/>
          <w:color w:val="auto"/>
        </w:rPr>
      </w:pPr>
    </w:p>
    <w:p>
      <w:pPr>
        <w:jc w:val="both"/>
        <w:ind w:right="3279" w:firstLine="469"/>
        <w:spacing w:after="0" w:line="237" w:lineRule="auto"/>
        <w:rPr>
          <w:sz w:val="20"/>
          <w:szCs w:val="20"/>
          <w:color w:val="auto"/>
        </w:rPr>
      </w:pPr>
      <w:r>
        <w:rPr>
          <w:rFonts w:ascii="Courier New" w:cs="Courier New" w:eastAsia="Courier New" w:hAnsi="Courier New"/>
          <w:sz w:val="16"/>
          <w:szCs w:val="16"/>
          <w:color w:val="auto"/>
        </w:rPr>
        <w:t>Our Israeli subsidiary, Amdocs (Israel) Limited, operates our largest development center. Discussed below are certain Israeli tax considerations relating to our Israeli subsidiary.</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General Corporate Taxation in Israel. 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76"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79"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Tax Benefits. Taxable income derived from an Approved Enterprise is subject to a reduced corporate tax rate of 25% until the earlier of</w:t>
      </w:r>
    </w:p>
    <w:p>
      <w:pPr>
        <w:spacing w:after="0" w:line="185" w:lineRule="exact"/>
        <w:rPr>
          <w:sz w:val="20"/>
          <w:szCs w:val="20"/>
          <w:color w:val="auto"/>
        </w:rPr>
      </w:pPr>
    </w:p>
    <w:p>
      <w:pPr>
        <w:ind w:left="660" w:right="2719" w:hanging="195"/>
        <w:spacing w:after="0" w:line="237" w:lineRule="auto"/>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seven consecutive years (or ten in the case of an FIC (as defined below)) commencing in the year in which the Approved Enterprise first generates taxable income,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 years from the year of commencement of production,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fourteen years from the year of the approval of the Approved Enterprise status.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w:t>
      </w:r>
    </w:p>
    <w:p>
      <w:pPr>
        <w:sectPr>
          <w:pgSz w:w="11900" w:h="16838" w:orient="portrait"/>
          <w:cols w:equalWidth="0" w:num="1">
            <w:col w:w="10219"/>
          </w:cols>
          <w:pgMar w:left="240" w:top="293" w:right="1440" w:bottom="1440" w:gutter="0" w:footer="0" w:header="0"/>
        </w:sectPr>
      </w:pP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44</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35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TAXATION OF HOLDERS OF ORDINARY SHARES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United States Federal Income Tax Considerations</w:t>
      </w:r>
    </w:p>
    <w:p>
      <w:pPr>
        <w:spacing w:after="0" w:line="185" w:lineRule="exact"/>
        <w:rPr>
          <w:sz w:val="20"/>
          <w:szCs w:val="20"/>
          <w:color w:val="auto"/>
        </w:rPr>
      </w:pPr>
    </w:p>
    <w:p>
      <w:pPr>
        <w:ind w:right="3279" w:firstLine="469"/>
        <w:spacing w:after="0" w:line="263" w:lineRule="auto"/>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our ordinary shares that is</w:t>
      </w:r>
    </w:p>
    <w:p>
      <w:pPr>
        <w:spacing w:after="0" w:line="164" w:lineRule="exact"/>
        <w:rPr>
          <w:sz w:val="20"/>
          <w:szCs w:val="20"/>
          <w:color w:val="auto"/>
        </w:rPr>
      </w:pPr>
    </w:p>
    <w:p>
      <w:pPr>
        <w:ind w:left="1020" w:hanging="555"/>
        <w:spacing w:after="0"/>
        <w:tabs>
          <w:tab w:leader="none" w:pos="10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4" w:lineRule="exact"/>
        <w:rPr>
          <w:rFonts w:ascii="Courier New" w:cs="Courier New" w:eastAsia="Courier New" w:hAnsi="Courier New"/>
          <w:sz w:val="16"/>
          <w:szCs w:val="16"/>
          <w:color w:val="auto"/>
        </w:rPr>
      </w:pPr>
    </w:p>
    <w:p>
      <w:pPr>
        <w:ind w:left="1020" w:right="3179" w:hanging="555"/>
        <w:spacing w:after="0" w:line="236" w:lineRule="auto"/>
        <w:tabs>
          <w:tab w:leader="none" w:pos="10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created or organized in, or under the laws of, the United States or of any state thereof,</w:t>
      </w:r>
    </w:p>
    <w:p>
      <w:pPr>
        <w:spacing w:after="0" w:line="184" w:lineRule="exact"/>
        <w:rPr>
          <w:rFonts w:ascii="Courier New" w:cs="Courier New" w:eastAsia="Courier New" w:hAnsi="Courier New"/>
          <w:sz w:val="16"/>
          <w:szCs w:val="16"/>
          <w:color w:val="auto"/>
        </w:rPr>
      </w:pPr>
    </w:p>
    <w:p>
      <w:pPr>
        <w:ind w:left="1020" w:right="2899" w:hanging="555"/>
        <w:spacing w:after="0" w:line="237" w:lineRule="auto"/>
        <w:tabs>
          <w:tab w:leader="none" w:pos="10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includable in gross income for United States federal income tax purposes regardless of its source, or</w:t>
      </w:r>
    </w:p>
    <w:p>
      <w:pPr>
        <w:spacing w:after="0" w:line="184" w:lineRule="exact"/>
        <w:rPr>
          <w:rFonts w:ascii="Courier New" w:cs="Courier New" w:eastAsia="Courier New" w:hAnsi="Courier New"/>
          <w:sz w:val="16"/>
          <w:szCs w:val="16"/>
          <w:color w:val="auto"/>
        </w:rPr>
      </w:pPr>
    </w:p>
    <w:p>
      <w:pPr>
        <w:ind w:left="940" w:right="2999" w:hanging="475"/>
        <w:spacing w:after="0" w:line="237" w:lineRule="auto"/>
        <w:tabs>
          <w:tab w:leader="none" w:pos="9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court within the United States is able to exercise primary supervision over the administration of the trust and one or more U.S. persons has the authority to control all substantial decisions of the trust.</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3"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45</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9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Internal Revenue Service ("IRS")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46</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Certain Guernsey Tax Considerations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There are no capital gains, gift or inheritance taxes levied by Guernsey, and the ordinary shares generally are not subject to any transfer taxes, stamp duties or similar charges on issuance or transfer.</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QUANTITATIVE AND QUALITATIVE DISCLOSURE ABOUT MARKET RISK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Approximately 89% of our revenue is in dollars or linked to the dollar and therefore the dollar is our functional currency. Approximately 58% of our operating expenses are paid in dollars or are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September 30, 2000, we had hedged most of our significant exposures in currencies other than the dollar.</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RISK</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20 to our Consolidated Financial Statements included elsewhere in this report. The following table summarizes our foreign currency forward exchange agreements as of September 30, 2000. The table (all dollar amounts in millions) presents the notional amounts, weighted average exchange rates by expected (contractual) maturity dates, and fair value of the total derivative instruments as of September 30, 2000. Notional values and average contract rates are calculated based on forward rates as of September 30, 2000, dollar translated.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1"/>
              </w:rPr>
              <w:t>AS OF</w:t>
            </w:r>
          </w:p>
        </w:tc>
      </w:tr>
      <w:tr>
        <w:trPr>
          <w:trHeight w:val="180"/>
        </w:trPr>
        <w:tc>
          <w:tcPr>
            <w:tcW w:w="4120" w:type="dxa"/>
            <w:vAlign w:val="bottom"/>
          </w:tcPr>
          <w:p>
            <w:pPr>
              <w:spacing w:after="0"/>
              <w:rPr>
                <w:sz w:val="15"/>
                <w:szCs w:val="15"/>
                <w:color w:val="auto"/>
              </w:rPr>
            </w:pPr>
          </w:p>
        </w:tc>
        <w:tc>
          <w:tcPr>
            <w:tcW w:w="34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FOR THE YEAR ENDED SEPTEMBER 30,</w:t>
            </w:r>
          </w:p>
        </w:tc>
        <w:tc>
          <w:tcPr>
            <w:tcW w:w="1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SEPTEMBER 30, 2000</w:t>
            </w:r>
          </w:p>
        </w:tc>
      </w:tr>
      <w:tr>
        <w:trPr>
          <w:trHeight w:val="180"/>
        </w:trPr>
        <w:tc>
          <w:tcPr>
            <w:tcW w:w="412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4"/>
                <w:szCs w:val="4"/>
                <w:color w:val="auto"/>
              </w:rPr>
              <w:t>---------------------------------</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FAIR VALUE OF</w:t>
            </w:r>
          </w:p>
        </w:tc>
      </w:tr>
      <w:tr>
        <w:trPr>
          <w:trHeight w:val="180"/>
        </w:trPr>
        <w:tc>
          <w:tcPr>
            <w:tcW w:w="4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2001</w:t>
            </w:r>
          </w:p>
        </w:tc>
        <w:tc>
          <w:tcPr>
            <w:tcW w:w="480" w:type="dxa"/>
            <w:vAlign w:val="bottom"/>
          </w:tcPr>
          <w:p>
            <w:pPr>
              <w:spacing w:after="0"/>
              <w:rPr>
                <w:sz w:val="15"/>
                <w:szCs w:val="15"/>
                <w:color w:val="auto"/>
              </w:rPr>
            </w:pPr>
          </w:p>
        </w:tc>
        <w:tc>
          <w:tcPr>
            <w:tcW w:w="6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8"/>
              </w:rPr>
              <w:t>2002</w:t>
            </w:r>
          </w:p>
        </w:tc>
        <w:tc>
          <w:tcPr>
            <w:tcW w:w="13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2003</w:t>
            </w:r>
          </w:p>
        </w:tc>
        <w:tc>
          <w:tcPr>
            <w:tcW w:w="1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DERIVATIVE</w:t>
            </w:r>
          </w:p>
        </w:tc>
      </w:tr>
      <w:tr>
        <w:trPr>
          <w:trHeight w:val="180"/>
        </w:trPr>
        <w:tc>
          <w:tcPr>
            <w:tcW w:w="412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4"/>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w w:val="97"/>
              </w:rPr>
              <w:t>Forward contracts to sell foreign currency in dollars: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British Pounds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Notional value...........................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19.35</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(1.10)</w:t>
            </w: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Average contract rate....................</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Canadian Dollars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Notional value...........................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6.37</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(0.17)</w:t>
            </w: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Average contract rate....................</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1.46</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1.46</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Euro (Deutsche Marks)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Notional value...........................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0.18</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Average contract rate....................</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2.19</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w w:val="97"/>
              </w:rPr>
              <w:t>Forward contracts to buy foreign currency for dollars:</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Australian Dollars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Notional value...........................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6.00</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4.70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3.05</w:t>
            </w: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Average contract rate....................</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0.61</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0.65</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0.65</w:t>
            </w:r>
          </w:p>
        </w:tc>
        <w:tc>
          <w:tcPr>
            <w:tcW w:w="6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Israeli Shekels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Notional value...........................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196.70</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(4.79)</w:t>
            </w: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Average contract rate....................</w:t>
            </w:r>
          </w:p>
        </w:tc>
        <w:tc>
          <w:tcPr>
            <w:tcW w:w="2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w:t>
            </w:r>
          </w:p>
        </w:tc>
        <w:tc>
          <w:tcPr>
            <w:tcW w:w="4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541"/>
        </w:trPr>
        <w:tc>
          <w:tcPr>
            <w:tcW w:w="4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1"/>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  Less than $100,000</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INTEREST RATE RISK</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1"/>
        </w:trPr>
        <w:tc>
          <w:tcPr>
            <w:tcW w:w="6180" w:type="dxa"/>
            <w:vAlign w:val="bottom"/>
            <w:gridSpan w:val="5"/>
          </w:tcPr>
          <w:p>
            <w:pPr>
              <w:ind w:left="460"/>
              <w:spacing w:after="0"/>
              <w:rPr>
                <w:sz w:val="20"/>
                <w:szCs w:val="20"/>
                <w:color w:val="auto"/>
              </w:rPr>
            </w:pPr>
            <w:r>
              <w:rPr>
                <w:rFonts w:ascii="Courier New" w:cs="Courier New" w:eastAsia="Courier New" w:hAnsi="Courier New"/>
                <w:sz w:val="16"/>
                <w:szCs w:val="16"/>
                <w:color w:val="auto"/>
                <w:w w:val="98"/>
              </w:rPr>
              <w:t>Our interest expenses and income are sensitive to changes in</w:t>
            </w:r>
          </w:p>
        </w:tc>
        <w:tc>
          <w:tcPr>
            <w:tcW w:w="13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6"/>
              </w:rPr>
              <w:t>interest</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w w:val="99"/>
              </w:rPr>
              <w:t>rates, as all of our cash reserves and borrowings are</w:t>
            </w:r>
          </w:p>
        </w:tc>
        <w:tc>
          <w:tcPr>
            <w:tcW w:w="2480" w:type="dxa"/>
            <w:vAlign w:val="bottom"/>
            <w:gridSpan w:val="3"/>
          </w:tcPr>
          <w:p>
            <w:pPr>
              <w:jc w:val="right"/>
              <w:ind w:right="142"/>
              <w:spacing w:after="0"/>
              <w:rPr>
                <w:sz w:val="20"/>
                <w:szCs w:val="20"/>
                <w:color w:val="auto"/>
              </w:rPr>
            </w:pPr>
            <w:r>
              <w:rPr>
                <w:rFonts w:ascii="Courier New" w:cs="Courier New" w:eastAsia="Courier New" w:hAnsi="Courier New"/>
                <w:sz w:val="16"/>
                <w:szCs w:val="16"/>
                <w:color w:val="auto"/>
                <w:w w:val="97"/>
              </w:rPr>
              <w:t>subject to interest rate</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540" w:type="dxa"/>
            <w:vAlign w:val="bottom"/>
            <w:gridSpan w:val="6"/>
          </w:tcPr>
          <w:p>
            <w:pPr>
              <w:spacing w:after="0"/>
              <w:rPr>
                <w:sz w:val="20"/>
                <w:szCs w:val="20"/>
                <w:color w:val="auto"/>
              </w:rPr>
            </w:pPr>
            <w:r>
              <w:rPr>
                <w:rFonts w:ascii="Courier New" w:cs="Courier New" w:eastAsia="Courier New" w:hAnsi="Courier New"/>
                <w:sz w:val="16"/>
                <w:szCs w:val="16"/>
                <w:color w:val="auto"/>
              </w:rPr>
              <w:t>changes. Excess liquidity is invested in short-term interest-bearing</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80" w:type="dxa"/>
            <w:vAlign w:val="bottom"/>
            <w:gridSpan w:val="5"/>
          </w:tcPr>
          <w:p>
            <w:pPr>
              <w:spacing w:after="0"/>
              <w:rPr>
                <w:sz w:val="20"/>
                <w:szCs w:val="20"/>
                <w:color w:val="auto"/>
              </w:rPr>
            </w:pPr>
            <w:r>
              <w:rPr>
                <w:rFonts w:ascii="Courier New" w:cs="Courier New" w:eastAsia="Courier New" w:hAnsi="Courier New"/>
                <w:sz w:val="16"/>
                <w:szCs w:val="16"/>
                <w:color w:val="auto"/>
                <w:w w:val="98"/>
              </w:rPr>
              <w:t>investments. Such short-term interest-bearing investments consist</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primarily of</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540" w:type="dxa"/>
            <w:vAlign w:val="bottom"/>
            <w:gridSpan w:val="6"/>
          </w:tcPr>
          <w:p>
            <w:pPr>
              <w:spacing w:after="0"/>
              <w:rPr>
                <w:sz w:val="20"/>
                <w:szCs w:val="20"/>
                <w:color w:val="auto"/>
              </w:rPr>
            </w:pPr>
            <w:r>
              <w:rPr>
                <w:rFonts w:ascii="Courier New" w:cs="Courier New" w:eastAsia="Courier New" w:hAnsi="Courier New"/>
                <w:sz w:val="16"/>
                <w:szCs w:val="16"/>
                <w:color w:val="auto"/>
              </w:rPr>
              <w:t>United States governmental securities and commercial paper and currently bear</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w w:val="99"/>
              </w:rPr>
              <w:t>minimal interest rate risk. As of September 30, 2000,</w:t>
            </w: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we had approximately $20.0</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540" w:type="dxa"/>
            <w:vAlign w:val="bottom"/>
            <w:gridSpan w:val="6"/>
          </w:tcPr>
          <w:p>
            <w:pPr>
              <w:spacing w:after="0"/>
              <w:rPr>
                <w:sz w:val="20"/>
                <w:szCs w:val="20"/>
                <w:color w:val="auto"/>
              </w:rPr>
            </w:pPr>
            <w:r>
              <w:rPr>
                <w:rFonts w:ascii="Courier New" w:cs="Courier New" w:eastAsia="Courier New" w:hAnsi="Courier New"/>
                <w:sz w:val="16"/>
                <w:szCs w:val="16"/>
                <w:color w:val="auto"/>
              </w:rPr>
              <w:t>million outstanding on our revolving line of credit and short-term credit</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540" w:type="dxa"/>
            <w:vAlign w:val="bottom"/>
            <w:gridSpan w:val="6"/>
          </w:tcPr>
          <w:p>
            <w:pPr>
              <w:spacing w:after="0"/>
              <w:rPr>
                <w:sz w:val="20"/>
                <w:szCs w:val="20"/>
                <w:color w:val="auto"/>
              </w:rPr>
            </w:pPr>
            <w:r>
              <w:rPr>
                <w:rFonts w:ascii="Courier New" w:cs="Courier New" w:eastAsia="Courier New" w:hAnsi="Courier New"/>
                <w:sz w:val="16"/>
                <w:szCs w:val="16"/>
                <w:color w:val="auto"/>
              </w:rPr>
              <w:t>agreements and $32.1 million recorded as long-term lease obligations, which in</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aggregate bear minimal interest rate risk.</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5"/>
          <w:szCs w:val="15"/>
          <w:color w:val="auto"/>
        </w:rPr>
        <w:t>DESCRIPTION OF SECURITIES OTHER THAN EQUITY SECURITIES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3"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48</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5"/>
          <w:szCs w:val="15"/>
          <w:color w:val="auto"/>
        </w:rPr>
        <w:t>DEFAULTS, DIVIDEND ARREARAGES AND DELINQUENCIES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85" w:lineRule="exact"/>
        <w:rPr>
          <w:sz w:val="20"/>
          <w:szCs w:val="20"/>
          <w:color w:val="auto"/>
        </w:rPr>
      </w:pPr>
    </w:p>
    <w:p>
      <w:pPr>
        <w:ind w:left="940" w:right="2999" w:hanging="937"/>
        <w:spacing w:after="0" w:line="236" w:lineRule="auto"/>
        <w:tabs>
          <w:tab w:leader="none" w:pos="920" w:val="left"/>
        </w:tabs>
        <w:rPr>
          <w:sz w:val="20"/>
          <w:szCs w:val="20"/>
          <w:color w:val="auto"/>
        </w:rPr>
      </w:pPr>
      <w:r>
        <w:rPr>
          <w:rFonts w:ascii="Courier New" w:cs="Courier New" w:eastAsia="Courier New" w:hAnsi="Courier New"/>
          <w:sz w:val="16"/>
          <w:szCs w:val="16"/>
          <w:color w:val="auto"/>
        </w:rPr>
        <w:t>ITEM 14.</w:t>
        <w:tab/>
        <w:t>MATERIAL MODIFICATIONS TO THE RIGHTS OF SECURITY HOLDERS AND USE OF PROCEEDS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PART III</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FINANCIAL STATEMENTS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18.</w:t>
      </w:r>
      <w:r>
        <w:rPr>
          <w:sz w:val="20"/>
          <w:szCs w:val="20"/>
          <w:color w:val="auto"/>
        </w:rPr>
        <w:tab/>
      </w:r>
      <w:r>
        <w:rPr>
          <w:rFonts w:ascii="Courier New" w:cs="Courier New" w:eastAsia="Courier New" w:hAnsi="Courier New"/>
          <w:sz w:val="15"/>
          <w:szCs w:val="15"/>
          <w:color w:val="auto"/>
        </w:rPr>
        <w:t>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AND SCHEDULE</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following Consolidated Financial Statements and Financial Statement Schedule are included at the end of this report: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FINANCIAL STATEMENTS</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Report of Independent Auditors</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Consolidated Balance Sheets as of September 30, 2000 and 1999</w:t>
      </w:r>
    </w:p>
    <w:p>
      <w:pPr>
        <w:spacing w:after="0" w:line="185" w:lineRule="exact"/>
        <w:rPr>
          <w:sz w:val="20"/>
          <w:szCs w:val="20"/>
          <w:color w:val="auto"/>
        </w:rPr>
      </w:pPr>
    </w:p>
    <w:p>
      <w:pPr>
        <w:ind w:left="740" w:right="2819"/>
        <w:spacing w:after="0" w:line="236" w:lineRule="auto"/>
        <w:rPr>
          <w:sz w:val="20"/>
          <w:szCs w:val="20"/>
          <w:color w:val="auto"/>
        </w:rPr>
      </w:pPr>
      <w:r>
        <w:rPr>
          <w:rFonts w:ascii="Courier New" w:cs="Courier New" w:eastAsia="Courier New" w:hAnsi="Courier New"/>
          <w:sz w:val="16"/>
          <w:szCs w:val="16"/>
          <w:color w:val="auto"/>
        </w:rPr>
        <w:t>Consolidated Statements of Operations for the years ended September 30, 2000, 1999 and 1998</w:t>
      </w:r>
    </w:p>
    <w:p>
      <w:pPr>
        <w:spacing w:after="0" w:line="185" w:lineRule="exact"/>
        <w:rPr>
          <w:sz w:val="20"/>
          <w:szCs w:val="20"/>
          <w:color w:val="auto"/>
        </w:rPr>
      </w:pPr>
    </w:p>
    <w:p>
      <w:pPr>
        <w:ind w:left="740" w:right="2719"/>
        <w:spacing w:after="0" w:line="236" w:lineRule="auto"/>
        <w:rPr>
          <w:sz w:val="20"/>
          <w:szCs w:val="20"/>
          <w:color w:val="auto"/>
        </w:rPr>
      </w:pPr>
      <w:r>
        <w:rPr>
          <w:rFonts w:ascii="Courier New" w:cs="Courier New" w:eastAsia="Courier New" w:hAnsi="Courier New"/>
          <w:sz w:val="16"/>
          <w:szCs w:val="16"/>
          <w:color w:val="auto"/>
        </w:rPr>
        <w:t>Consolidated Statements of Changes in Shareholders' Equity (Deficit) for the years ended September 30, 2000, 1999 and 1998</w:t>
      </w:r>
    </w:p>
    <w:p>
      <w:pPr>
        <w:spacing w:after="0" w:line="185" w:lineRule="exact"/>
        <w:rPr>
          <w:sz w:val="20"/>
          <w:szCs w:val="20"/>
          <w:color w:val="auto"/>
        </w:rPr>
      </w:pPr>
    </w:p>
    <w:p>
      <w:pPr>
        <w:ind w:left="740" w:right="2819"/>
        <w:spacing w:after="0" w:line="236" w:lineRule="auto"/>
        <w:rPr>
          <w:sz w:val="20"/>
          <w:szCs w:val="20"/>
          <w:color w:val="auto"/>
        </w:rPr>
      </w:pPr>
      <w:r>
        <w:rPr>
          <w:rFonts w:ascii="Courier New" w:cs="Courier New" w:eastAsia="Courier New" w:hAnsi="Courier New"/>
          <w:sz w:val="16"/>
          <w:szCs w:val="16"/>
          <w:color w:val="auto"/>
        </w:rPr>
        <w:t>Consolidated Statements of Cash Flows for the years ended September 30, 2000, 1999 and 1998</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FINANCIAL STATEMENT SCHEDULE</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19.</w:t>
            </w:r>
          </w:p>
        </w:tc>
        <w:tc>
          <w:tcPr>
            <w:tcW w:w="5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EXHIBITS</w:t>
            </w:r>
          </w:p>
        </w:tc>
      </w:tr>
      <w:tr>
        <w:trPr>
          <w:trHeight w:val="721"/>
        </w:trPr>
        <w:tc>
          <w:tcPr>
            <w:tcW w:w="8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Memorandum and Articles of Association of Amdocs Limited</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(Exhibits 3.1 and 3.2 to Amdocs' Registration Statement on</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Voting and Exchange Trust Agreement dated as of April 5,</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2000 among Amdocs Limited, Amdocs (Denmark) ApS., Amdocs</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Holdings ULC, Solect Technology Group Inc. and The Trust</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Company of Bank of Montreal</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*4.a.1</w:t>
            </w: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Agreement and Plan of Merger dated as of September 3, 1999</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among Amdocs Limited, Ivan Acquisition Corp. and</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International Telecommunication Data Systems, Inc. (Exhibit</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2.1 to Amdocs' Current Report on Form 6-K dated September</w:t>
            </w:r>
          </w:p>
        </w:tc>
      </w:tr>
      <w:tr>
        <w:trPr>
          <w:trHeight w:val="180"/>
        </w:trPr>
        <w:tc>
          <w:tcPr>
            <w:tcW w:w="840" w:type="dxa"/>
            <w:vAlign w:val="bottom"/>
          </w:tcPr>
          <w:p>
            <w:pPr>
              <w:spacing w:after="0"/>
              <w:rPr>
                <w:sz w:val="15"/>
                <w:szCs w:val="15"/>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10,</w:t>
            </w:r>
          </w:p>
        </w:tc>
        <w:tc>
          <w:tcPr>
            <w:tcW w:w="5200" w:type="dxa"/>
            <w:vAlign w:val="bottom"/>
          </w:tcPr>
          <w:p>
            <w:pPr>
              <w:jc w:val="right"/>
              <w:ind w:right="46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*4.a.2</w:t>
            </w: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Combination Agreement dated as of February 28, 2000 among</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Amdocs Limited, Solect Technology Group Inc., Amdocs</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(Denmark) ApS. and Amdocs Holdings ULC (Exhibit 2.1 to</w:t>
            </w:r>
          </w:p>
        </w:tc>
      </w:tr>
      <w:tr>
        <w:trPr>
          <w:trHeight w:val="180"/>
        </w:trPr>
        <w:tc>
          <w:tcPr>
            <w:tcW w:w="840" w:type="dxa"/>
            <w:vAlign w:val="bottom"/>
          </w:tcPr>
          <w:p>
            <w:pPr>
              <w:spacing w:after="0"/>
              <w:rPr>
                <w:sz w:val="15"/>
                <w:szCs w:val="15"/>
                <w:color w:val="auto"/>
              </w:rPr>
            </w:pP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Amdocs' Current Report on Form 6-K dated March 3, 2000)</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Subsidiaries of Amdocs Limited</w:t>
            </w:r>
          </w:p>
        </w:tc>
      </w:tr>
      <w:tr>
        <w:trPr>
          <w:trHeight w:val="180"/>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10.a.1</w:t>
            </w:r>
          </w:p>
        </w:tc>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Consent of Ernst &amp; Young LLP</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Previously filed.</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49</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/s/ THOMAS G. O'BRIEN</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Thomas G. O'Brien</w:t>
      </w:r>
    </w:p>
    <w:p>
      <w:pPr>
        <w:ind w:left="3940"/>
        <w:spacing w:after="0"/>
        <w:rPr>
          <w:sz w:val="20"/>
          <w:szCs w:val="20"/>
          <w:color w:val="auto"/>
        </w:rPr>
      </w:pPr>
      <w:r>
        <w:rPr>
          <w:rFonts w:ascii="Courier New" w:cs="Courier New" w:eastAsia="Courier New" w:hAnsi="Courier New"/>
          <w:sz w:val="16"/>
          <w:szCs w:val="16"/>
          <w:color w:val="auto"/>
        </w:rPr>
        <w:t>Treasurer and Secretary</w:t>
      </w:r>
    </w:p>
    <w:p>
      <w:pPr>
        <w:ind w:left="3940"/>
        <w:spacing w:after="0" w:line="237" w:lineRule="auto"/>
        <w:rPr>
          <w:sz w:val="20"/>
          <w:szCs w:val="20"/>
          <w:color w:val="auto"/>
        </w:rPr>
      </w:pPr>
      <w:r>
        <w:rPr>
          <w:rFonts w:ascii="Courier New" w:cs="Courier New" w:eastAsia="Courier New" w:hAnsi="Courier New"/>
          <w:sz w:val="16"/>
          <w:szCs w:val="16"/>
          <w:color w:val="auto"/>
        </w:rPr>
        <w:t>Authorized U.S. Representative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3, 2001</w:t>
      </w:r>
    </w:p>
    <w:p>
      <w:pPr>
        <w:sectPr>
          <w:pgSz w:w="11900" w:h="16838" w:orient="portrait"/>
          <w:cols w:equalWidth="0" w:num="1">
            <w:col w:w="10219"/>
          </w:cols>
          <w:pgMar w:left="240" w:top="293"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50</w:t>
      </w:r>
    </w:p>
    <w:p>
      <w:pPr>
        <w:jc w:val="center"/>
        <w:ind w:right="2719"/>
        <w:spacing w:after="0"/>
        <w:rPr>
          <w:sz w:val="20"/>
          <w:szCs w:val="20"/>
          <w:color w:val="auto"/>
        </w:rPr>
      </w:pPr>
      <w:r>
        <w:rPr>
          <w:rFonts w:ascii="Courier New" w:cs="Courier New" w:eastAsia="Courier New" w:hAnsi="Courier New"/>
          <w:sz w:val="16"/>
          <w:szCs w:val="16"/>
          <w:color w:val="auto"/>
        </w:rPr>
        <w:t>INDEX TO AUDITED CONSOLIDATED FINANCIAL STATEMENTS</w:t>
      </w:r>
    </w:p>
    <w:p>
      <w:pPr>
        <w:jc w:val="center"/>
        <w:ind w:right="2719"/>
        <w:spacing w:after="0" w:line="237" w:lineRule="auto"/>
        <w:rPr>
          <w:sz w:val="20"/>
          <w:szCs w:val="20"/>
          <w:color w:val="auto"/>
        </w:rPr>
      </w:pPr>
      <w:r>
        <w:rPr>
          <w:rFonts w:ascii="Courier New" w:cs="Courier New" w:eastAsia="Courier New" w:hAnsi="Courier New"/>
          <w:sz w:val="16"/>
          <w:szCs w:val="16"/>
          <w:color w:val="auto"/>
        </w:rPr>
        <w:t>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320" w:type="dxa"/>
            <w:vAlign w:val="bottom"/>
          </w:tcPr>
          <w:p>
            <w:pPr>
              <w:spacing w:after="0"/>
              <w:rPr>
                <w:sz w:val="15"/>
                <w:szCs w:val="15"/>
                <w:color w:val="auto"/>
              </w:rPr>
            </w:pP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Report of Independent Auditors.........................................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F-2</w:t>
            </w: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Consolidated Balance Sheets as of September 30, 2000 and 1999..........</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F-3</w:t>
            </w: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Statements of Operations for the years ended</w:t>
            </w:r>
          </w:p>
        </w:tc>
        <w:tc>
          <w:tcPr>
            <w:tcW w:w="320" w:type="dxa"/>
            <w:vAlign w:val="bottom"/>
          </w:tcPr>
          <w:p>
            <w:pPr>
              <w:spacing w:after="0"/>
              <w:rPr>
                <w:sz w:val="24"/>
                <w:szCs w:val="24"/>
                <w:color w:val="auto"/>
              </w:rPr>
            </w:pPr>
          </w:p>
        </w:tc>
      </w:tr>
      <w:tr>
        <w:trPr>
          <w:trHeight w:val="180"/>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September 30, 2000, 1999 and 1998......................................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F-4</w:t>
            </w: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Statements of Changes in Shareholders' Equity (Deficit)</w:t>
            </w:r>
          </w:p>
        </w:tc>
        <w:tc>
          <w:tcPr>
            <w:tcW w:w="320" w:type="dxa"/>
            <w:vAlign w:val="bottom"/>
          </w:tcPr>
          <w:p>
            <w:pPr>
              <w:spacing w:after="0"/>
              <w:rPr>
                <w:sz w:val="24"/>
                <w:szCs w:val="24"/>
                <w:color w:val="auto"/>
              </w:rPr>
            </w:pPr>
          </w:p>
        </w:tc>
      </w:tr>
      <w:tr>
        <w:trPr>
          <w:trHeight w:val="180"/>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for the years ended September 30, 2000, 1999 and 1998..................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F-5</w:t>
            </w: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Statements of Cash Flows for the years ended</w:t>
            </w:r>
          </w:p>
        </w:tc>
        <w:tc>
          <w:tcPr>
            <w:tcW w:w="320" w:type="dxa"/>
            <w:vAlign w:val="bottom"/>
          </w:tcPr>
          <w:p>
            <w:pPr>
              <w:spacing w:after="0"/>
              <w:rPr>
                <w:sz w:val="24"/>
                <w:szCs w:val="24"/>
                <w:color w:val="auto"/>
              </w:rPr>
            </w:pPr>
          </w:p>
        </w:tc>
      </w:tr>
      <w:tr>
        <w:trPr>
          <w:trHeight w:val="180"/>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September 30, 2000, 1999 and 1998......................................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F-6</w:t>
            </w: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F-8</w:t>
            </w:r>
          </w:p>
        </w:tc>
      </w:tr>
      <w:tr>
        <w:trPr>
          <w:trHeight w:val="361"/>
        </w:trPr>
        <w:tc>
          <w:tcPr>
            <w:tcW w:w="7180" w:type="dxa"/>
            <w:vAlign w:val="bottom"/>
          </w:tcPr>
          <w:p>
            <w:pPr>
              <w:spacing w:after="0"/>
              <w:rPr>
                <w:sz w:val="20"/>
                <w:szCs w:val="20"/>
                <w:color w:val="auto"/>
              </w:rPr>
            </w:pPr>
            <w:r>
              <w:rPr>
                <w:rFonts w:ascii="Courier New" w:cs="Courier New" w:eastAsia="Courier New" w:hAnsi="Courier New"/>
                <w:sz w:val="16"/>
                <w:szCs w:val="16"/>
                <w:color w:val="auto"/>
              </w:rPr>
              <w:t>Financial Statement Schedule</w:t>
            </w:r>
          </w:p>
        </w:tc>
        <w:tc>
          <w:tcPr>
            <w:tcW w:w="320" w:type="dxa"/>
            <w:vAlign w:val="bottom"/>
          </w:tcPr>
          <w:p>
            <w:pPr>
              <w:spacing w:after="0"/>
              <w:rPr>
                <w:sz w:val="24"/>
                <w:szCs w:val="24"/>
                <w:color w:val="auto"/>
              </w:rPr>
            </w:pPr>
          </w:p>
        </w:tc>
      </w:tr>
      <w:tr>
        <w:trPr>
          <w:trHeight w:val="361"/>
        </w:trPr>
        <w:tc>
          <w:tcPr>
            <w:tcW w:w="7180" w:type="dxa"/>
            <w:vAlign w:val="bottom"/>
          </w:tcPr>
          <w:p>
            <w:pPr>
              <w:ind w:left="460"/>
              <w:spacing w:after="0"/>
              <w:rPr>
                <w:sz w:val="20"/>
                <w:szCs w:val="20"/>
                <w:color w:val="auto"/>
              </w:rPr>
            </w:pPr>
            <w:r>
              <w:rPr>
                <w:rFonts w:ascii="Courier New" w:cs="Courier New" w:eastAsia="Courier New" w:hAnsi="Courier New"/>
                <w:sz w:val="16"/>
                <w:szCs w:val="16"/>
                <w:color w:val="auto"/>
                <w:w w:val="98"/>
              </w:rPr>
              <w:t>Valuation and Qualifying Accounts......................................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S-1</w:t>
            </w:r>
          </w:p>
        </w:tc>
      </w:tr>
      <w:tr>
        <w:trPr>
          <w:trHeight w:val="902"/>
        </w:trPr>
        <w:tc>
          <w:tcPr>
            <w:tcW w:w="7180" w:type="dxa"/>
            <w:vAlign w:val="bottom"/>
          </w:tcPr>
          <w:p>
            <w:pPr>
              <w:ind w:left="3560"/>
              <w:spacing w:after="0"/>
              <w:rPr>
                <w:sz w:val="20"/>
                <w:szCs w:val="20"/>
                <w:color w:val="auto"/>
              </w:rPr>
            </w:pPr>
            <w:r>
              <w:rPr>
                <w:rFonts w:ascii="Courier New" w:cs="Courier New" w:eastAsia="Courier New" w:hAnsi="Courier New"/>
                <w:sz w:val="16"/>
                <w:szCs w:val="16"/>
                <w:color w:val="auto"/>
              </w:rPr>
              <w:t>F-1</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51</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REPORT OF INDEPENDENT AUDITORS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w:t>
      </w:r>
    </w:p>
    <w:p>
      <w:pPr>
        <w:spacing w:after="0"/>
        <w:rPr>
          <w:sz w:val="20"/>
          <w:szCs w:val="20"/>
          <w:color w:val="auto"/>
        </w:rPr>
      </w:pPr>
      <w:r>
        <w:rPr>
          <w:rFonts w:ascii="Courier New" w:cs="Courier New" w:eastAsia="Courier New" w:hAnsi="Courier New"/>
          <w:sz w:val="16"/>
          <w:szCs w:val="16"/>
          <w:color w:val="auto"/>
        </w:rPr>
        <w:t>Amdocs Limited</w:t>
      </w:r>
    </w:p>
    <w:p>
      <w:pPr>
        <w:spacing w:after="0" w:line="184"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2000 and 1999, and the related statements of operations, changes in stockholders' equity (deficit) and cash flows for each of the three years in the period ended September 30, 2000. Our audits also included the financial statement schedule listed in the index at Item 18.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2000 and 1999, and the consolidated results of its operations and its cash flows for each of the three years in the period ended September 30, 2000, in conformity with accounting principles generally accepted in the United States. Also, in our opinion, the related financial statement schedule, when considered in relation to the basic consolidated financial statements taken as a whole, presents fairly in all material respects the information set forth therein.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Missouri</w:t>
      </w:r>
    </w:p>
    <w:p>
      <w:pPr>
        <w:spacing w:after="0"/>
        <w:rPr>
          <w:sz w:val="20"/>
          <w:szCs w:val="20"/>
          <w:color w:val="auto"/>
        </w:rPr>
      </w:pPr>
      <w:r>
        <w:rPr>
          <w:rFonts w:ascii="Courier New" w:cs="Courier New" w:eastAsia="Courier New" w:hAnsi="Courier New"/>
          <w:sz w:val="16"/>
          <w:szCs w:val="16"/>
          <w:color w:val="auto"/>
        </w:rPr>
        <w:t>November 2, 2000</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293"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52</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AMDOCS LIMITED</w:t>
      </w:r>
    </w:p>
    <w:p>
      <w:pPr>
        <w:ind w:left="2440"/>
        <w:spacing w:after="0"/>
        <w:rPr>
          <w:sz w:val="20"/>
          <w:szCs w:val="20"/>
          <w:color w:val="auto"/>
        </w:rPr>
      </w:pPr>
      <w:r>
        <w:rPr>
          <w:rFonts w:ascii="Courier New" w:cs="Courier New" w:eastAsia="Courier New" w:hAnsi="Courier New"/>
          <w:sz w:val="16"/>
          <w:szCs w:val="16"/>
          <w:color w:val="auto"/>
        </w:rPr>
        <w:t>CONSOLIDATED BALANCE SHEETS</w:t>
      </w:r>
    </w:p>
    <w:p>
      <w:pPr>
        <w:ind w:left="1960"/>
        <w:spacing w:after="0" w:line="237"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AS OF SEPTEMBER 30,</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90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spacing w:after="0"/>
              <w:rPr>
                <w:sz w:val="15"/>
                <w:szCs w:val="15"/>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1960" w:type="dxa"/>
            <w:vAlign w:val="bottom"/>
          </w:tcPr>
          <w:p>
            <w:pPr>
              <w:spacing w:after="0"/>
              <w:rPr>
                <w:sz w:val="24"/>
                <w:szCs w:val="24"/>
                <w:color w:val="auto"/>
              </w:rPr>
            </w:pPr>
          </w:p>
        </w:tc>
        <w:tc>
          <w:tcPr>
            <w:tcW w:w="37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402,300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85,174</w:t>
            </w:r>
          </w:p>
        </w:tc>
      </w:tr>
      <w:tr>
        <w:trPr>
          <w:trHeight w:val="180"/>
        </w:trPr>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 receivable, including unbilled of $4,203 and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$4,243, less allowances of $6,868 and $0, in 2000 and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1999, respectively(*)..................................</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263,100</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159,312</w:t>
            </w:r>
          </w:p>
        </w:tc>
      </w:tr>
      <w:tr>
        <w:trPr>
          <w:trHeight w:val="180"/>
        </w:trPr>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Deferred income taxes and taxes receivable................</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35,179</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29,899</w:t>
            </w:r>
          </w:p>
        </w:tc>
      </w:tr>
      <w:tr>
        <w:trPr>
          <w:trHeight w:val="180"/>
        </w:trPr>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Prepaid expenses and other current assets.................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34,327</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16,390</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current assets..............................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734,906</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290,775</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Equipment, vehicles and leasehold improvements, net.........</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128,081</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83,997</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w w:val="96"/>
              </w:rPr>
              <w:t>Deferred income taxes</w:t>
            </w:r>
          </w:p>
        </w:tc>
        <w:tc>
          <w:tcPr>
            <w:tcW w:w="3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13,900</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5,605</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Goodwill and other intangible assets, net...................</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4"/>
              </w:rPr>
              <w:t>1,011,053</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22,798</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noncurrent assets.....................................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47,145</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26,836</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assets......................................</w:t>
            </w: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$1,935,085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430,011</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spacing w:after="0"/>
              <w:rPr>
                <w:sz w:val="15"/>
                <w:szCs w:val="15"/>
                <w:color w:val="auto"/>
              </w:rPr>
            </w:pPr>
          </w:p>
        </w:tc>
        <w:tc>
          <w:tcPr>
            <w:tcW w:w="3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LIABILITIES AND SHAREHOLDERS' EQUITY</w:t>
            </w: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Accounts payable and accrued expenses.....................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128,249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68,594</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Accrued personnel costs...................................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70,196</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40,092</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Short-term financing arrangements.........................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20,000</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2,381</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Deferred revenue..........................................</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133,546</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104,688</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Short-term portion of capital lease obligations...........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8,713</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5,722</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Deferred income taxes and taxes payable...................</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55,197</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33,412</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current liabilities.........................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415,901</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254,889</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Long-term portion of capital lease obligations..............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23,417</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17,148</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w w:val="96"/>
              </w:rPr>
              <w:t>Deferred income taxes</w:t>
            </w:r>
          </w:p>
        </w:tc>
        <w:tc>
          <w:tcPr>
            <w:tcW w:w="3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11,191</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noncurrent liabilities................................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53,804</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34,237</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liabilities.................................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504,313</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306,274</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w w:val="96"/>
              </w:rPr>
              <w:t>Shareholders' equity:</w:t>
            </w: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960" w:type="dxa"/>
            <w:vAlign w:val="bottom"/>
          </w:tcPr>
          <w:p>
            <w:pPr>
              <w:ind w:left="180"/>
              <w:spacing w:after="0"/>
              <w:rPr>
                <w:sz w:val="20"/>
                <w:szCs w:val="20"/>
                <w:color w:val="auto"/>
              </w:rPr>
            </w:pPr>
            <w:r>
              <w:rPr>
                <w:rFonts w:ascii="Courier New" w:cs="Courier New" w:eastAsia="Courier New" w:hAnsi="Courier New"/>
                <w:sz w:val="16"/>
                <w:szCs w:val="16"/>
                <w:color w:val="auto"/>
                <w:w w:val="96"/>
              </w:rPr>
              <w:t>Preferred Shares --</w:t>
            </w:r>
          </w:p>
        </w:tc>
        <w:tc>
          <w:tcPr>
            <w:tcW w:w="3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Authorized 25,000 shares; L0.01 par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960" w:type="dxa"/>
            <w:vAlign w:val="bottom"/>
          </w:tcPr>
          <w:p>
            <w:pPr>
              <w:ind w:left="460"/>
              <w:spacing w:after="0"/>
              <w:rPr>
                <w:sz w:val="20"/>
                <w:szCs w:val="20"/>
                <w:color w:val="auto"/>
              </w:rPr>
            </w:pPr>
            <w:r>
              <w:rPr>
                <w:rFonts w:ascii="Courier New" w:cs="Courier New" w:eastAsia="Courier New" w:hAnsi="Courier New"/>
                <w:sz w:val="16"/>
                <w:szCs w:val="16"/>
                <w:color w:val="auto"/>
              </w:rPr>
              <w:t>value; 0 shares</w:t>
            </w:r>
          </w:p>
        </w:tc>
        <w:tc>
          <w:tcPr>
            <w:tcW w:w="3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issued and outstanding.................</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ind w:left="180"/>
              <w:spacing w:after="0"/>
              <w:rPr>
                <w:sz w:val="20"/>
                <w:szCs w:val="20"/>
                <w:color w:val="auto"/>
              </w:rPr>
            </w:pPr>
            <w:r>
              <w:rPr>
                <w:rFonts w:ascii="Courier New" w:cs="Courier New" w:eastAsia="Courier New" w:hAnsi="Courier New"/>
                <w:sz w:val="16"/>
                <w:szCs w:val="16"/>
                <w:color w:val="auto"/>
              </w:rPr>
              <w:t>Ordinary Shares --</w:t>
            </w:r>
          </w:p>
        </w:tc>
        <w:tc>
          <w:tcPr>
            <w:tcW w:w="3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7"/>
              </w:rPr>
              <w:t>Authorized 550,000 shares; L0.01 par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value; 221,165 and 198,800 outstanding in 2000 and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1999, respectively.....................................</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3,539</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3,181</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Additional paid-in capital................................</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4"/>
              </w:rPr>
              <w:t>1,784,816</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489,099</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1,159</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(1,157)</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Unearned compensation.....................................</w:t>
            </w:r>
          </w:p>
        </w:tc>
        <w:tc>
          <w:tcPr>
            <w:tcW w:w="18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(1,164)</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(3,830)</w:t>
            </w:r>
          </w:p>
        </w:tc>
      </w:tr>
      <w:tr>
        <w:trPr>
          <w:trHeight w:val="180"/>
        </w:trPr>
        <w:tc>
          <w:tcPr>
            <w:tcW w:w="1960" w:type="dxa"/>
            <w:vAlign w:val="bottom"/>
          </w:tcPr>
          <w:p>
            <w:pPr>
              <w:ind w:left="180"/>
              <w:spacing w:after="0"/>
              <w:rPr>
                <w:sz w:val="20"/>
                <w:szCs w:val="20"/>
                <w:color w:val="auto"/>
              </w:rPr>
            </w:pPr>
            <w:r>
              <w:rPr>
                <w:rFonts w:ascii="Courier New" w:cs="Courier New" w:eastAsia="Courier New" w:hAnsi="Courier New"/>
                <w:sz w:val="16"/>
                <w:szCs w:val="16"/>
                <w:color w:val="auto"/>
                <w:w w:val="96"/>
              </w:rPr>
              <w:t>Accumulated deficit</w:t>
            </w:r>
          </w:p>
        </w:tc>
        <w:tc>
          <w:tcPr>
            <w:tcW w:w="3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(357,578)</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(363,556)</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shareholders' equity........................</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4"/>
              </w:rPr>
              <w:t>1,430,772</w:t>
            </w:r>
          </w:p>
        </w:tc>
        <w:tc>
          <w:tcPr>
            <w:tcW w:w="5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123,737</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$1,935,085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430,011</w:t>
            </w:r>
          </w:p>
        </w:tc>
      </w:tr>
      <w:tr>
        <w:trPr>
          <w:trHeight w:val="180"/>
        </w:trPr>
        <w:tc>
          <w:tcPr>
            <w:tcW w:w="19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 See Note 4.</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jc w:val="center"/>
        <w:ind w:right="2819"/>
        <w:spacing w:after="0"/>
        <w:rPr>
          <w:sz w:val="20"/>
          <w:szCs w:val="20"/>
          <w:color w:val="auto"/>
        </w:rPr>
      </w:pPr>
      <w:r>
        <w:rPr>
          <w:rFonts w:ascii="Courier New" w:cs="Courier New" w:eastAsia="Courier New" w:hAnsi="Courier New"/>
          <w:sz w:val="16"/>
          <w:szCs w:val="16"/>
          <w:color w:val="auto"/>
        </w:rPr>
        <w:t>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293"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53</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CONSOLIDATED STATEMENTS OF OPERATIONS</w:t>
      </w:r>
    </w:p>
    <w:p>
      <w:pPr>
        <w:ind w:left="19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5"/>
          </w:tcPr>
          <w:p>
            <w:pPr>
              <w:jc w:val="right"/>
              <w:ind w:right="382"/>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5720" w:type="dxa"/>
            <w:vAlign w:val="bottom"/>
          </w:tcPr>
          <w:p>
            <w:pPr>
              <w:spacing w:after="0"/>
              <w:rPr>
                <w:sz w:val="15"/>
                <w:szCs w:val="15"/>
                <w:color w:val="auto"/>
              </w:rPr>
            </w:pPr>
          </w:p>
        </w:tc>
        <w:tc>
          <w:tcPr>
            <w:tcW w:w="318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5"/>
                <w:szCs w:val="15"/>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License(*).............................................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124,822</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$ 74,387</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$ 42,891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Service(*).............................................</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993,498</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552,468</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360,876</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w w:val="94"/>
              </w:rPr>
              <w:t>1,118,320</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626,855</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403,767</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Cost of license........................................</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5,624</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5,515</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10,732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Cost of service(*).....................................</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639,900</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357,809</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231,360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Research and development...............................</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74,852</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40,874</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25,612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Selling, general and administrative(*).................</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137,004</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75,659</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51,168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Amortization of goodwill and purchased intangible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111,199</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In-process research and development and other indirect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acquisition-related costs............................</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75,617</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w w:val="94"/>
              </w:rPr>
              <w:t>1,044,196</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479,857</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318,872</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Operating income............................................</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74,124</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146,998</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84,895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 income (expense), net(*)..............................</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10,734</w:t>
            </w:r>
          </w:p>
        </w:tc>
        <w:tc>
          <w:tcPr>
            <w:tcW w:w="2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(6,223)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(24,126)</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before income taxes and cumulative effect............</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84,858</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140,775</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60,769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taxes................................................</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78,880</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42,232</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30,385</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before cumulative effect.............................</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5,978</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98,543</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30,384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 net of</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 $0 and $277 tax, respectively.........................</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277</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5,978</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$ 98,543</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$ 30,107</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0.19</w:t>
            </w:r>
          </w:p>
        </w:tc>
      </w:tr>
      <w:tr>
        <w:trPr>
          <w:trHeight w:val="180"/>
        </w:trPr>
        <w:tc>
          <w:tcPr>
            <w:tcW w:w="5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Cumulative effect of change in accounting principle ($0,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 and less than $0.01, respectively)..................</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earnings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0.19</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0.19</w:t>
            </w:r>
          </w:p>
        </w:tc>
      </w:tr>
      <w:tr>
        <w:trPr>
          <w:trHeight w:val="180"/>
        </w:trPr>
        <w:tc>
          <w:tcPr>
            <w:tcW w:w="5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Cumulative effect of change in accounting principle ($0,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 and less than $0.01, respectively)..................</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earnings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0.19</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Basic weighted average number of shares outstanding.........</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212,005</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197,436</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158,528</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Diluted weighted average number of shares outstanding.......</w:t>
            </w:r>
          </w:p>
        </w:tc>
        <w:tc>
          <w:tcPr>
            <w:tcW w:w="180" w:type="dxa"/>
            <w:vAlign w:val="bottom"/>
          </w:tcPr>
          <w:p>
            <w:pPr>
              <w:spacing w:after="0"/>
              <w:rPr>
                <w:sz w:val="15"/>
                <w:szCs w:val="15"/>
                <w:color w:val="auto"/>
              </w:rPr>
            </w:pPr>
          </w:p>
        </w:tc>
        <w:tc>
          <w:tcPr>
            <w:tcW w:w="1000" w:type="dxa"/>
            <w:vAlign w:val="bottom"/>
          </w:tcPr>
          <w:p>
            <w:pPr>
              <w:jc w:val="right"/>
              <w:ind w:right="82"/>
              <w:spacing w:after="0"/>
              <w:rPr>
                <w:sz w:val="20"/>
                <w:szCs w:val="20"/>
                <w:color w:val="auto"/>
              </w:rPr>
            </w:pPr>
            <w:r>
              <w:rPr>
                <w:rFonts w:ascii="Courier New" w:cs="Courier New" w:eastAsia="Courier New" w:hAnsi="Courier New"/>
                <w:sz w:val="16"/>
                <w:szCs w:val="16"/>
                <w:color w:val="auto"/>
              </w:rPr>
              <w:t>216,935</w:t>
            </w:r>
          </w:p>
        </w:tc>
        <w:tc>
          <w:tcPr>
            <w:tcW w:w="2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200,262</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159,442</w:t>
            </w:r>
          </w:p>
        </w:tc>
      </w:tr>
      <w:tr>
        <w:trPr>
          <w:trHeight w:val="180"/>
        </w:trPr>
        <w:tc>
          <w:tcPr>
            <w:tcW w:w="5720" w:type="dxa"/>
            <w:vAlign w:val="bottom"/>
          </w:tcPr>
          <w:p>
            <w:pPr>
              <w:spacing w:after="0"/>
              <w:rPr>
                <w:sz w:val="15"/>
                <w:szCs w:val="15"/>
                <w:color w:val="auto"/>
              </w:rPr>
            </w:pPr>
          </w:p>
        </w:tc>
        <w:tc>
          <w:tcPr>
            <w:tcW w:w="118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 See Note 4.</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jc w:val="center"/>
        <w:ind w:right="2819"/>
        <w:spacing w:after="0"/>
        <w:rPr>
          <w:sz w:val="20"/>
          <w:szCs w:val="20"/>
          <w:color w:val="auto"/>
        </w:rPr>
      </w:pPr>
      <w:r>
        <w:rPr>
          <w:rFonts w:ascii="Courier New" w:cs="Courier New" w:eastAsia="Courier New" w:hAnsi="Courier New"/>
          <w:sz w:val="16"/>
          <w:szCs w:val="16"/>
          <w:color w:val="auto"/>
        </w:rPr>
        <w:t>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293"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54</w:t>
      </w:r>
    </w:p>
    <w:p>
      <w:pPr>
        <w:spacing w:after="0" w:line="17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CONSOLIDATED STATEMENTS OF CHANGES IN SHAREHOLDERS' EQUITY (DEFICIT)</w:t>
      </w:r>
    </w:p>
    <w:p>
      <w:pPr>
        <w:jc w:val="center"/>
        <w:ind w:right="40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ACCUMULATED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1"/>
              </w:rPr>
              <w:t>OTHER</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5"/>
              </w:rPr>
              <w:t>TOTAL</w:t>
            </w:r>
          </w:p>
        </w:tc>
      </w:tr>
      <w:tr>
        <w:trPr>
          <w:trHeight w:val="180"/>
        </w:trPr>
        <w:tc>
          <w:tcPr>
            <w:tcW w:w="2900" w:type="dxa"/>
            <w:vAlign w:val="bottom"/>
          </w:tcPr>
          <w:p>
            <w:pPr>
              <w:spacing w:after="0"/>
              <w:rPr>
                <w:sz w:val="15"/>
                <w:szCs w:val="15"/>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ORDINARY SHARES</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ADDITIONAL</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COMPREHENSIVE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SHAREHOLDERS'</w:t>
            </w:r>
          </w:p>
        </w:tc>
      </w:tr>
      <w:tr>
        <w:trPr>
          <w:trHeight w:val="180"/>
        </w:trPr>
        <w:tc>
          <w:tcPr>
            <w:tcW w:w="2900" w:type="dxa"/>
            <w:vAlign w:val="bottom"/>
          </w:tcPr>
          <w:p>
            <w:pPr>
              <w:spacing w:after="0"/>
              <w:rPr>
                <w:sz w:val="15"/>
                <w:szCs w:val="15"/>
                <w:color w:val="auto"/>
              </w:rPr>
            </w:pPr>
          </w:p>
        </w:tc>
        <w:tc>
          <w:tcPr>
            <w:tcW w:w="17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PAID-IN</w:t>
            </w:r>
          </w:p>
        </w:tc>
        <w:tc>
          <w:tcPr>
            <w:tcW w:w="150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INCOME</w:t>
            </w:r>
          </w:p>
        </w:tc>
        <w:tc>
          <w:tcPr>
            <w:tcW w:w="140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UNEARNED</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ACCUMULATED</w:t>
            </w:r>
          </w:p>
        </w:tc>
        <w:tc>
          <w:tcPr>
            <w:tcW w:w="3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EQUITY</w:t>
            </w:r>
          </w:p>
        </w:tc>
      </w:tr>
      <w:tr>
        <w:trPr>
          <w:trHeight w:val="180"/>
        </w:trPr>
        <w:tc>
          <w:tcPr>
            <w:tcW w:w="29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AMOUNT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CAPITAL</w:t>
            </w:r>
          </w:p>
        </w:tc>
        <w:tc>
          <w:tcPr>
            <w:tcW w:w="150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(LOSS)</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COMPENSATION</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DEFICIT</w:t>
            </w:r>
          </w:p>
        </w:tc>
        <w:tc>
          <w:tcPr>
            <w:tcW w:w="32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9"/>
              </w:rPr>
              <w:t>(DEFICIT)</w:t>
            </w:r>
          </w:p>
        </w:tc>
      </w:tr>
      <w:tr>
        <w:trPr>
          <w:trHeight w:val="180"/>
        </w:trPr>
        <w:tc>
          <w:tcPr>
            <w:tcW w:w="29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BALANCE AS OF OCTOBER 1,</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124,708</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$1,996</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105,779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(13,522)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94,253</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30,107</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30,107</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Unrealized loss on derivative</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instruments, net of $640</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tax.........................</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(1,495)</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Dividends declared, $3.76 per</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share.......................</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(478,684)</w:t>
            </w:r>
          </w:p>
        </w:tc>
        <w:tc>
          <w:tcPr>
            <w:tcW w:w="3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(478,684)</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Issuance of Ordinary Shares,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net.........................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54,092</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865</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97,583</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98,448</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Initial public offering of</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Ordinary Shares, net........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18,000</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288</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233,902</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234,190</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Stock options granted, net of</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forfeitures.................</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10,239</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(10,239)</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compensation................</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1,292</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1,292</w:t>
            </w:r>
          </w:p>
        </w:tc>
      </w:tr>
      <w:tr>
        <w:trPr>
          <w:trHeight w:val="180"/>
        </w:trPr>
        <w:tc>
          <w:tcPr>
            <w:tcW w:w="29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BALANCE AS OF SEPTEMBER 30,</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196,800</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3,149</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447,503</w:t>
            </w:r>
          </w:p>
        </w:tc>
        <w:tc>
          <w:tcPr>
            <w:tcW w:w="5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(1,495)</w:t>
            </w:r>
          </w:p>
        </w:tc>
        <w:tc>
          <w:tcPr>
            <w:tcW w:w="4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(8,947)</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(462,099)</w:t>
            </w:r>
          </w:p>
        </w:tc>
        <w:tc>
          <w:tcPr>
            <w:tcW w:w="3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(21,889)</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98,543</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98,543</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Unrealized income on</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derivative instruments, net</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of $145 tax.................</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338</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338</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Issuance of Ordinary Shares,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net.........................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41,352</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41,384</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Stock options granted, net of</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forfeitures.................</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244</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(163)</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81</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compensation................</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5,280</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5,280</w:t>
            </w:r>
          </w:p>
        </w:tc>
      </w:tr>
      <w:tr>
        <w:trPr>
          <w:trHeight w:val="180"/>
        </w:trPr>
        <w:tc>
          <w:tcPr>
            <w:tcW w:w="29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BALANCE AS OF SEPTEMBER 30,</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1999........................</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198,800</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3,181</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489,099</w:t>
            </w:r>
          </w:p>
        </w:tc>
        <w:tc>
          <w:tcPr>
            <w:tcW w:w="5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(1,157)</w:t>
            </w:r>
          </w:p>
        </w:tc>
        <w:tc>
          <w:tcPr>
            <w:tcW w:w="4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(3,830)</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(363,556)</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123,737</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5,978</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5,978</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Employee stock options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2,058</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21,327</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21,360</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Tax benefit of stock options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10,825</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10,825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Unrealized other comprehensive</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income, net of $993 tax.....</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2,316</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2,316</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Issuance of Ordinary Shares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related to acquisitions,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net.........................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20,307</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325</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1,263,330</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1,263,655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Stock options granted.........</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235</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compensation................</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2,666</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2,666</w:t>
            </w:r>
          </w:p>
        </w:tc>
      </w:tr>
      <w:tr>
        <w:trPr>
          <w:trHeight w:val="180"/>
        </w:trPr>
        <w:tc>
          <w:tcPr>
            <w:tcW w:w="29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BALANCE AS OF SEPTEMBER 30,</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221,165</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$3,539</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$1,784,816</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$ 1,159</w:t>
            </w:r>
          </w:p>
        </w:tc>
        <w:tc>
          <w:tcPr>
            <w:tcW w:w="14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(1,164)</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$(357,578)</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$1,430,772</w:t>
            </w:r>
          </w:p>
        </w:tc>
      </w:tr>
      <w:tr>
        <w:trPr>
          <w:trHeight w:val="180"/>
        </w:trPr>
        <w:tc>
          <w:tcPr>
            <w:tcW w:w="290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jc w:val="center"/>
        <w:ind w:right="4040"/>
        <w:spacing w:after="0"/>
        <w:rPr>
          <w:sz w:val="20"/>
          <w:szCs w:val="20"/>
          <w:color w:val="auto"/>
        </w:rPr>
      </w:pPr>
      <w:r>
        <w:rPr>
          <w:rFonts w:ascii="Courier New" w:cs="Courier New" w:eastAsia="Courier New" w:hAnsi="Courier New"/>
          <w:sz w:val="16"/>
          <w:szCs w:val="16"/>
          <w:color w:val="auto"/>
        </w:rPr>
        <w:t>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440"/>
          </w:cols>
          <w:pgMar w:left="240" w:top="293" w:right="219"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55</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CONSOLIDATED STATEMENTS OF CASH FLOWS</w:t>
      </w:r>
    </w:p>
    <w:tbl>
      <w:tblPr>
        <w:tblLayout w:type="fixed"/>
        <w:tblInd w:w="0" w:type="dxa"/>
        <w:tblCellMar>
          <w:top w:w="0" w:type="dxa"/>
          <w:left w:w="0" w:type="dxa"/>
          <w:bottom w:w="0" w:type="dxa"/>
          <w:right w:w="0" w:type="dxa"/>
        </w:tblCellMar>
      </w:tblPr>
      <w:tr>
        <w:trPr>
          <w:trHeight w:val="180"/>
        </w:trPr>
        <w:tc>
          <w:tcPr>
            <w:tcW w:w="56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(IN THOUSANDS)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1"/>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jc w:val="right"/>
              <w:ind w:right="482"/>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5620" w:type="dxa"/>
            <w:vAlign w:val="bottom"/>
          </w:tcPr>
          <w:p>
            <w:pPr>
              <w:spacing w:after="0"/>
              <w:rPr>
                <w:sz w:val="15"/>
                <w:szCs w:val="15"/>
                <w:color w:val="auto"/>
              </w:rPr>
            </w:pPr>
          </w:p>
        </w:tc>
        <w:tc>
          <w:tcPr>
            <w:tcW w:w="328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w w:val="98"/>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98,543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30,107</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jc w:val="right"/>
              <w:ind w:right="3382"/>
              <w:spacing w:after="0"/>
              <w:rPr>
                <w:sz w:val="20"/>
                <w:szCs w:val="20"/>
                <w:color w:val="auto"/>
              </w:rPr>
            </w:pPr>
            <w:r>
              <w:rPr>
                <w:rFonts w:ascii="Courier New" w:cs="Courier New" w:eastAsia="Courier New" w:hAnsi="Courier New"/>
                <w:sz w:val="16"/>
                <w:szCs w:val="16"/>
                <w:color w:val="auto"/>
              </w:rPr>
              <w:t>operating activities: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155,359</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30,601</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29,096</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In-process research and development expenses.............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70,319</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Loss on sale of equipment................................</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148</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549</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149</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(1,196)</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(4,026)</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(1,351)</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Tax benefit of stock options exercised...................</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10,825</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Unrealized income (loss) on other comprehensive income...</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3,309</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483</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(2,135)</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Accounts receivable......................................</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(29,763)</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(69,354)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(26,000)</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(12,408)</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(5,244)</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Other noncurrent assets..................................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(10,861)</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(10,350)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(3,324)</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Accounts payable and accrued expenses....................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38,852</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22,893</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29,054</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Deferred revenue.........................................</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24,313</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75,448</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11,800</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Income taxes payable.....................................</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16,071</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2,177</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(1,429)</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Other noncurrent liabilities.............................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16,642</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9,739</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5,760</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cash provided by operating activities..................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287,588</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152,303</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66,483</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improvements.............................................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1,280</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1,461</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889</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and leasehold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rPr>
              <w:t>improvements.............................................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(56,571)</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(42,180)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(26,566)</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Investment in noncurrent assets............................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(9,000)</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cash acquired in acquisitions..........................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67,791</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Purchase of computer software and intellectual property....</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(6,169)</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cash used in investing activities......................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(2,669)</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(41,719)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(25,677)</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Dividends paid.............................................</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(478,684)</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proceeds from issuance of Ordinary Shares..............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42,535</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330,638</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Proceeds from employee stock options exercised.............</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21,360</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Payments under short-term finance arrangements.............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(284,464)</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(395,345)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(269,946)</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Borrowings under short-term finance arrangements...........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301,933</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306,161</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358,862</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proceeds from issuance of long-term debt...............</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364,127</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Principal payments on long-term debt.......................</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(368,521)</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Principal payments on capital lease obligations............</w:t>
            </w:r>
          </w:p>
        </w:tc>
        <w:tc>
          <w:tcPr>
            <w:tcW w:w="2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(6,622)</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(2,357)</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Payments on issuance of notes payable......................</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(3,268)</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cash provided by (used in) financing activities........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32,207</w:t>
            </w:r>
          </w:p>
        </w:tc>
        <w:tc>
          <w:tcPr>
            <w:tcW w:w="2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(50,799)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(69,149)</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increase (decrease) in cash and cash equivalents.......</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317,126</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59,785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(28,343)</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Cash and cash equivalents at beginning of year.............</w:t>
            </w:r>
          </w:p>
        </w:tc>
        <w:tc>
          <w:tcPr>
            <w:tcW w:w="20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85,174</w:t>
            </w:r>
          </w:p>
        </w:tc>
        <w:tc>
          <w:tcPr>
            <w:tcW w:w="2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25,389</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53,732</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Cash and cash equivalents at end of year...................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402,300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85,174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25,389</w:t>
            </w:r>
          </w:p>
        </w:tc>
      </w:tr>
      <w:tr>
        <w:trPr>
          <w:trHeight w:val="180"/>
        </w:trPr>
        <w:tc>
          <w:tcPr>
            <w:tcW w:w="562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jc w:val="center"/>
        <w:ind w:right="2819"/>
        <w:spacing w:after="0"/>
        <w:rPr>
          <w:sz w:val="20"/>
          <w:szCs w:val="20"/>
          <w:color w:val="auto"/>
        </w:rPr>
      </w:pPr>
      <w:r>
        <w:rPr>
          <w:rFonts w:ascii="Courier New" w:cs="Courier New" w:eastAsia="Courier New" w:hAnsi="Courier New"/>
          <w:sz w:val="16"/>
          <w:szCs w:val="16"/>
          <w:color w:val="auto"/>
        </w:rPr>
        <w:t>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293"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56</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CONSOLIDATED STATEMENTS OF CASH FLOWS</w:t>
      </w:r>
    </w:p>
    <w:tbl>
      <w:tblPr>
        <w:tblLayout w:type="fixed"/>
        <w:tblInd w:w="0" w:type="dxa"/>
        <w:tblCellMar>
          <w:top w:w="0" w:type="dxa"/>
          <w:left w:w="0" w:type="dxa"/>
          <w:bottom w:w="0" w:type="dxa"/>
          <w:right w:w="0" w:type="dxa"/>
        </w:tblCellMar>
      </w:tblPr>
      <w:tr>
        <w:trPr>
          <w:trHeight w:val="180"/>
        </w:trPr>
        <w:tc>
          <w:tcPr>
            <w:tcW w:w="5720" w:type="dxa"/>
            <w:vAlign w:val="bottom"/>
          </w:tcPr>
          <w:p>
            <w:pPr>
              <w:ind w:left="3100"/>
              <w:spacing w:after="0"/>
              <w:rPr>
                <w:sz w:val="20"/>
                <w:szCs w:val="20"/>
                <w:color w:val="auto"/>
              </w:rPr>
            </w:pPr>
            <w:r>
              <w:rPr>
                <w:rFonts w:ascii="Courier New" w:cs="Courier New" w:eastAsia="Courier New" w:hAnsi="Courier New"/>
                <w:sz w:val="16"/>
                <w:szCs w:val="16"/>
                <w:color w:val="auto"/>
              </w:rPr>
              <w:t>(IN THOUSANDS)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1"/>
        </w:trPr>
        <w:tc>
          <w:tcPr>
            <w:tcW w:w="5720" w:type="dxa"/>
            <w:vAlign w:val="bottom"/>
          </w:tcPr>
          <w:p>
            <w:pPr>
              <w:spacing w:after="0"/>
              <w:rPr>
                <w:sz w:val="24"/>
                <w:szCs w:val="24"/>
                <w:color w:val="auto"/>
              </w:rPr>
            </w:pPr>
          </w:p>
        </w:tc>
        <w:tc>
          <w:tcPr>
            <w:tcW w:w="262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572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57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SUPPLEMENTARY CASH FLOW INFORMATION</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Interest and Income Taxes Paid</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Cash paid for:</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w w:val="99"/>
              </w:rPr>
              <w:t>Income taxes, net of refunds...........................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$49,262</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$38,369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$32,472</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w w:val="99"/>
              </w:rPr>
              <w:t>Interest...............................................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2,614</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25,150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CASH INVESTING AND FINANCING ACTIVITIES</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Capital lease obligations of $15,732, $14,853 and $5,200 were incurred during the years ended September 30, 2000, 1999 and 1998, respectively, when the Company (as hereinafter defined) entered into lease agreements for vehicles.</w:t>
      </w:r>
    </w:p>
    <w:p>
      <w:pPr>
        <w:spacing w:after="0" w:line="171"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As of September 30, 1999, the Company incurred stock issuance costs of $1,153, which had not been paid as of that date. Such costs were paid during fiscal year 2000.</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issued 6,461 Ordinary Shares and 1,103 options in connection with the acquisition of ITDS (as hereinafter defined). The Company issued 13,846 exchangeable shares and 1,654 options in connection with the acquisition of Solect (as hereinafter defined). See Note 3.</w:t>
      </w:r>
    </w:p>
    <w:p>
      <w:pPr>
        <w:spacing w:after="0" w:line="18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jc w:val="center"/>
        <w:ind w:right="2819"/>
        <w:spacing w:after="0"/>
        <w:rPr>
          <w:sz w:val="20"/>
          <w:szCs w:val="20"/>
          <w:color w:val="auto"/>
        </w:rPr>
      </w:pPr>
      <w:r>
        <w:rPr>
          <w:rFonts w:ascii="Courier New" w:cs="Courier New" w:eastAsia="Courier New" w:hAnsi="Courier New"/>
          <w:sz w:val="16"/>
          <w:szCs w:val="16"/>
          <w:color w:val="auto"/>
        </w:rPr>
        <w:t>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293"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57</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ind w:left="1780"/>
        <w:spacing w:after="0"/>
        <w:rPr>
          <w:sz w:val="20"/>
          <w:szCs w:val="20"/>
          <w:color w:val="auto"/>
        </w:rPr>
      </w:pPr>
      <w:r>
        <w:rPr>
          <w:rFonts w:ascii="Courier New" w:cs="Courier New" w:eastAsia="Courier New" w:hAnsi="Courier New"/>
          <w:sz w:val="16"/>
          <w:szCs w:val="16"/>
          <w:color w:val="auto"/>
        </w:rPr>
        <w:t>NOTES TO CONSOLIDATED FINANCIAL STATEMENTS</w:t>
      </w:r>
    </w:p>
    <w:p>
      <w:pPr>
        <w:ind w:left="1960"/>
        <w:spacing w:after="0" w:line="237" w:lineRule="auto"/>
        <w:rPr>
          <w:sz w:val="20"/>
          <w:szCs w:val="20"/>
          <w:color w:val="auto"/>
        </w:rPr>
      </w:pPr>
      <w:r>
        <w:rPr>
          <w:rFonts w:ascii="Courier New" w:cs="Courier New" w:eastAsia="Courier New" w:hAnsi="Courier New"/>
          <w:sz w:val="16"/>
          <w:szCs w:val="16"/>
          <w:color w:val="auto"/>
        </w:rPr>
        <w:t>(IN THOUSANDS, EXCEPT PER SHARE DATA)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NATURE OF ENTITY</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business segment, providing business support systems and related services for the communications industry. The Company designs, develops, markets, supports and operates information system solutions to major wireless, wireline and Internet Protocol ("IP") companies throughout the world.</w:t>
      </w:r>
    </w:p>
    <w:p>
      <w:pPr>
        <w:spacing w:after="0" w:line="17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wholly-owned subsidiaries in the Asia-Pacific region, Australia, Europe, Israel, Latin America and North America. The Company's customers are mainly in North America, Europe, Latin America and the Asia-Pacific region. During fiscal 2000, the Company derived approximately 46 percent of its revenue from North America. The Company's main production and operating facilities are located in Israel, the United States, Cyprus, Ireland and 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BASIS OF PRESENTATION</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The consolidated financial statements are prepared in accordance with accounting principles generally accepted in the United States.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financial statements include the accounts of the Company and all its subsidiaries, which are wholly-owned. All significant intercompany transactions and balances have been eliminated in consolidation.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FUNCTIONAL CURRENCY</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U.S. dollar is the functional currency for the Company and its subsidiaries, as the U.S. dollar is the predominant currency of the Company's revenue and expenses.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5"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Cash and cash equivalents consist of cash and short-term investments with insignificant interest rate risk and original maturities of 90 days or less.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From time to time the Company invests in short-term interest-bearing investments. The Company classifies all of its short-term interest-bearing investments as available-for-sale securities. Such short-term interest-bearing investments consist primarily of United States governmental securities and commercial paper, which are stated at market value. Unrealized gains and losses are comprised of the difference between market value and amortized costs of such securities and are reflected, net of tax, as other comprehensive income in shareholders' equity. Realized gains and losses on short-term interest-bearing investments are included in earnings and are derived using the specific identification method for determining the cost of securities. Except for its cash and cash equivalents, the Company has no short-term interest-bearing investments as of September 30, 2000.</w:t>
      </w:r>
    </w:p>
    <w:p>
      <w:pPr>
        <w:spacing w:after="0" w:line="188"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also has certain investments in non-publicly traded companies. These investments are included in other noncurrent assets in the Company's balance sheet and are generally carried at cost. The Company monitors these investments for impairment and will make appropriate reductions in carrying values if necessary. There were no impairment charges in fiscal 2000.</w:t>
      </w:r>
    </w:p>
    <w:p>
      <w:pPr>
        <w:spacing w:after="0" w:line="1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293"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58</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EQUIPMENT, VEHICLES AND LEASEHOLD IMPROVEMENTS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12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events or changes in circumstances indicate that the carrying amount of such assets may not be recoverable.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accounts for certain costs incurred in connection with developing or obtaining software for internal use in accordance with Statement of Position (SOP) 98-1, "Accounting for the Costs of Computer Software Developed for or Obtained for Internal-Use". SOP 98-1 requires the capitalization of certain costs incurred in connection with developing or obtaining software for internal use.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 AND OTHER INTANGIBLE ASSETS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is amortized on a straight-line basis over its estimated useful life.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Other intangible assets consist of purchased computer software, intellectual property rights, core technology, workforce-in-place and customer base.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Purchased computer software is reported at the lower of amortized cost or net realizable value, and is amortized over its estimated useful life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Intellectual property rights, core technology, workforce-in-place and customer base acquired by the Company are amortized over their estimated useful lives on a straight-line basis.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Periodically, the Company considers whether there are indicators of impairment that would require the evaluation of the net realizable value of goodwill and other intangible assets in comparison to their carrying value. Any impairment would be recognized when the expected future operating cash flows derived from such intangible assets is less than their carrying value.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 SPLIT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May 1998, the Board of Directors of the Company authorized a stock split that was effected as a dividend of Ordinary Shares. All references in the consolidated financial statements referring to shares, per share amounts and contingently issuable shares have been adjusted retroactively for the stock split.</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COMPREHENSIVE INCOME</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The Company accounts for comprehensive income under the provisions of Statement of Financial Standards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293"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59</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business acquisitions is subsequently reduced, the adjustment may reduce the original amount allocated to goodwill.</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SOP 81-1 "Accounting for Performance of Construction Type and Certain Production Type Contracts" and SOP 97-2 "Software Revenue Recognition". Initial license fee revenue is recognized as work is performed, under the percentage of completion method of accounting. Subsequent license fee revenue is recognized upon completion of the specified conditions in each contract. Service revenue that involves significant ongoing obligations, including fees for customization, implementation and initial support services, is recognized as work is performed, under the percentage of completion method of accounting. In outsourcing contracts, revenue from operation and maintenance of customers' billing systems is recognized in the period in which the bills are produced. Revenue from ongoing support is recognized as work is performed. Revenue from third-party hardware and software sales is recognized upon delivery, and recorded at gross or net amount according to the criterions established in Emerging Issues Task Force (EITF) 99-19 "Recording Revenue Gross as a Principal versus Net as an Agent" and Staff Accounting Bulletins (SAB) 101 "Revenue Recognition in Financial Statements". Maintenance revenue is recognized ratably over the term of the maintenance agreement, which in most cases is one year or less. Losses are recognized on contracts in the period in which the liability is identified.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357" w:lineRule="exact"/>
        <w:rPr>
          <w:sz w:val="20"/>
          <w:szCs w:val="20"/>
          <w:color w:val="auto"/>
        </w:rPr>
      </w:pPr>
    </w:p>
    <w:p>
      <w:pPr>
        <w:ind w:right="2999" w:firstLine="469"/>
        <w:spacing w:after="0" w:line="263" w:lineRule="auto"/>
        <w:rPr>
          <w:sz w:val="20"/>
          <w:szCs w:val="20"/>
          <w:color w:val="auto"/>
        </w:rPr>
      </w:pPr>
      <w:r>
        <w:rPr>
          <w:rFonts w:ascii="Courier New" w:cs="Courier New" w:eastAsia="Courier New" w:hAnsi="Courier New"/>
          <w:sz w:val="15"/>
          <w:szCs w:val="15"/>
          <w:color w:val="auto"/>
        </w:rPr>
        <w:t>Deferred revenue represents billings to customers for licenses, services and third-party products for which revenue has not been recognized.</w:t>
      </w:r>
    </w:p>
    <w:p>
      <w:pPr>
        <w:spacing w:after="0" w:line="1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Included in service revenue are sales of third-party products. Revenue from sales of such products includes third-party computer hardware and computer software products and was less than 10 percent of total revenue in fiscal 2000, 1999 and 1998.</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OF LICENSE AND COST OF SERVICE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7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293"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60</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Included in cost of service are costs of third-party products associated with reselling third-party computer hardware and computer software products to customers, when revenue from third-party products is recognized at gross amount. Customers purchasing third-party products from the Company generally do so in conjunction with the purchase of services.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RESEARCH AND DEVELOPMENT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Research and development expenditures consist of costs incurred in the development of new software modules and product offerings, either in conjunction with customer projects or as part of the Company's product development program. Research and development costs, which are in conjunction with a customer project, are expensed as incurred. Certain computer software costs are capitalized in accordance with SFAS No. 86, "Accounting for the Costs of Computer Software to be Sold, Leased or Otherwise Marketed", which requires capitalization of software development costs subsequent to the establishment of technological feasibility.</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See Note 17 for pro forma disclosures required in accordance with SFAS No. 123, "Accounting for Stock-Based Compensation".</w:t>
      </w:r>
    </w:p>
    <w:p>
      <w:pPr>
        <w:spacing w:after="0" w:line="18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financial instruments of the Company consist mainly of cash and cash equivalents, short-term interest-bearing investments, accounts receivable, short-term financing arrangements, forward exchange contracts and lease obligations. In view of their nature, the fair value of the financial instruments included in the accounts of the Company does not significantly vary from their carrying amount. The fair values of the Company's foreign currency exchange contracts are estimated based on quoted market prices of comparable contracts.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 OF CREDIT RISK</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 of credit risk consist principally of trade receivables. The Company invests its excess cash primarily in highly liquid U.S. dollar-denominated securities with major U.S. and U.K. institutions. The Company does not expect any credit losses</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293"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61</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respect of these items. The Company's revenue is generated primarily in North America and Europe and to a lesser extent in the Asia-Pacific region and Latin America. Most customers are among the largest communications and directory publishing companies in the world (or are owned by them). The Company performs ongoing credit analyses of its customer base and generally does not require collateral.</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EARNINGS PER SHARE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is calculated using the weighted average number of shares outstanding during the period. Diluted earnings per share is computed on the basis of the weighted average number of shares outstanding and the effect of the dilutive outstanding stock options using the treasury stock method.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DERIVATIVES AND HEDGING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July 1, 1998, the Company adopted SFAS No. 133, "Accounting for Derivative Instruments and Hedging Activities". SFAS No. 133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 The adoption of SFAS No. 133 on July 1, 1998 did not have a material impact on results of operations but resulted in the cumulative effect of change in accounting principle of $277, net of tax in 1998.</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Certain amounts in prior years' financial statements have been reclassified to conform to the current year's presentation.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the percentage of completion method of accounting. Actual results could differ from those estimates.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ACQUISITIONS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ITDS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November 30, 1999, the Company completed a stock-for-stock acquisition transaction of International Telecommunication Data Systems, Inc. ("ITDS"), a leading provider of solutions to communications companies for outsourcing of billing operations. The total purchase price of $189,034, based on a per share price of $28.25 for the Company's Ordinary Shares, included issuance of 6,461 Ordinary Shares, the grant of 1,103 options and transaction costs. The acquisition was accounted for using the purchase method of accounting. The fair market value of ITDS' assets and liabilities has been included in the Company's balance sheet as of the acquisition date. The results of ITDS' operations are included in the Company's consolidated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293"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62</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statement of operations, commencing December 1, 1999. An acquired technology valuation,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$12,342 and is being amortized over five years. Purchased in-process research and development, valued at $19,876, was charged as an expense immediately following the completion of the acquisition since this technology had not reached technological feasibility and had no alternative use. This technology required additional development, coding and testing efforts before technological feasibility could be determined. The fair value of customer base was valued at $647 and the fair value of workforce-in-place was valued at $5,407, each of which is being amortized over five years. The excess of the purchase price over the fair value of the net assets acquired, or goodwill, of $71,154 is being amortized over 15 years.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SOLECT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April 5, 2000, the Company completed a stock-for-stock acquisition transaction of Solect Technology Group Inc. ("Solect"), a leading provider of customer care and billing software to IP service providers. Under the terms of the combination agreement, all then outstanding Solect common shares were exchanged for shares of a newly issued class of exchangeable shares of Solect. The Solect exchangeable shares entitle holders to dividends and other rights economically equivalent to the Company's Ordinary Shares, including the right, through a voting trust, to vote at the Company's shareholder meetings, and are exchangeable at the option of holders into the Company's Ordinary Shares on a one-for-one basis. The total purchase price of $1,087,711, based on a per share price of $69.875 for the Company's Ordinary Shares, included both the issuance of 13,846 exchangeable shares, the grant of options to purchase 1,654 Ordinary Shares, as well as transaction costs. An aggregate 1,170 of the exchangeable shares issued in the transaction have been placed in escrow until April 2001 to indemnify the Company against any breaches of representations or warranties under the combination agreement. The acquisition was accounted for using the purchase method of accounting. The fair market value of Solect's assets and liabilities has been included in the Company's balance sheet as of the acquisition date. The results of Solect's operations are included in the Company's consolidated statement of operations, commencing April 6, 2000. An acquired technology valuation,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$18,259 and is being amortized over two years. Purchased in-process research and development, valued at $50,443, was charged as an expense immediately following the completion of the acquisition since this technology had not reached technological feasibility and had no alternative use. This technology required varying additional development, coding and testing efforts before technological feasibility could be determined. The fair value of customer base was valued at $1,211 and the fair value of workforce-in-place was valued at $3,259, each of which is being amortized over three years. The excess of the purchase price over the fair value of net assets acquired, or goodwill, of $986,312 is being amortized over five years.</w:t>
      </w:r>
    </w:p>
    <w:p>
      <w:pPr>
        <w:spacing w:after="0" w:line="35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Set forth below is the pro forma revenue, operating income (loss), net loss and loss per share as if ITDS and Solect had been acquired as of October 1, 1998, excluding the write off of purchased in-process research and development and other indirect acquisition-related costs: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293" w:right="1440" w:bottom="1440" w:gutter="0" w:footer="0" w:header="0"/>
        </w:sectPr>
      </w:pPr>
    </w:p>
    <w:bookmarkStart w:id="63" w:name="page64"/>
    <w:bookmarkEnd w:id="63"/>
    <w:p>
      <w:pPr>
        <w:ind w:left="284"/>
        <w:spacing w:after="0"/>
        <w:rPr>
          <w:sz w:val="20"/>
          <w:szCs w:val="20"/>
          <w:color w:val="auto"/>
        </w:rPr>
      </w:pPr>
      <w:r>
        <w:rPr>
          <w:rFonts w:ascii="Courier New" w:cs="Courier New" w:eastAsia="Courier New" w:hAnsi="Courier New"/>
          <w:sz w:val="16"/>
          <w:szCs w:val="16"/>
          <w:color w:val="auto"/>
        </w:rPr>
        <w:t>63</w:t>
      </w:r>
    </w:p>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815"/>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p>
      <w:pPr>
        <w:ind w:left="5244"/>
        <w:spacing w:after="0"/>
        <w:rPr>
          <w:sz w:val="20"/>
          <w:szCs w:val="20"/>
          <w:color w:val="auto"/>
        </w:rPr>
      </w:pPr>
      <w:r>
        <w:rPr>
          <w:rFonts w:ascii="Courier New" w:cs="Courier New" w:eastAsia="Courier New" w:hAnsi="Courier New"/>
          <w:sz w:val="16"/>
          <w:szCs w:val="16"/>
          <w:color w:val="auto"/>
        </w:rPr>
        <w:t>YEAR ENDED SEPTEMBER 30,</w:t>
      </w:r>
    </w:p>
    <w:p>
      <w:pPr>
        <w:spacing w:after="0" w:line="4" w:lineRule="exact"/>
        <w:rPr>
          <w:sz w:val="20"/>
          <w:szCs w:val="20"/>
          <w:color w:val="auto"/>
        </w:rPr>
      </w:pPr>
    </w:p>
    <w:p>
      <w:pPr>
        <w:ind w:left="478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064"/>
        <w:spacing w:after="0"/>
        <w:tabs>
          <w:tab w:leader="none" w:pos="6263" w:val="left"/>
          <w:tab w:leader="none" w:pos="73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ind w:left="4784"/>
        <w:spacing w:after="0"/>
        <w:tabs>
          <w:tab w:leader="none" w:pos="6083" w:val="left"/>
          <w:tab w:leader="none" w:pos="72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3"/>
          </w:cols>
          <w:pgMar w:left="236" w:top="293" w:right="1440" w:bottom="1440" w:gutter="0" w:footer="0" w:header="0"/>
        </w:sectPr>
      </w:pP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Revenue..........................................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$1,152,783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$775,653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$ 500,554</w:t>
      </w:r>
    </w:p>
    <w:p>
      <w:pPr>
        <w:spacing w:after="0" w:line="5" w:lineRule="exact"/>
        <w:rPr>
          <w:sz w:val="20"/>
          <w:szCs w:val="20"/>
          <w:color w:val="auto"/>
        </w:rPr>
      </w:pPr>
    </w:p>
    <w:p>
      <w:pPr>
        <w:sectPr>
          <w:pgSz w:w="11900" w:h="16838" w:orient="portrait"/>
          <w:cols w:equalWidth="0" w:num="4">
            <w:col w:w="4604" w:space="180"/>
            <w:col w:w="940" w:space="380"/>
            <w:col w:w="740" w:space="380"/>
            <w:col w:w="2999"/>
          </w:cols>
          <w:pgMar w:left="236" w:top="293" w:right="1440" w:bottom="1440" w:gutter="0" w:footer="0" w:header="0"/>
          <w:type w:val="continuous"/>
        </w:sectPr>
      </w:pPr>
    </w:p>
    <w:tbl>
      <w:tblPr>
        <w:tblLayout w:type="fixed"/>
        <w:tblInd w:w="4"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41,516</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(43,744)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(134,543)</w:t>
            </w: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7"/>
                <w:szCs w:val="7"/>
                <w:color w:val="auto"/>
                <w:w w:val="73"/>
              </w:rPr>
              <w:t>Net loss.........................................</w:t>
            </w:r>
          </w:p>
        </w:tc>
        <w:tc>
          <w:tcPr>
            <w:tcW w:w="328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(25,516)</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(97,933)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(161,239)</w:t>
            </w:r>
          </w:p>
        </w:tc>
      </w:tr>
      <w:tr>
        <w:trPr>
          <w:trHeight w:val="180"/>
        </w:trPr>
        <w:tc>
          <w:tcPr>
            <w:tcW w:w="4820" w:type="dxa"/>
            <w:vAlign w:val="bottom"/>
            <w:gridSpan w:val="3"/>
          </w:tcPr>
          <w:p>
            <w:pPr>
              <w:spacing w:after="0"/>
              <w:rPr>
                <w:sz w:val="20"/>
                <w:szCs w:val="20"/>
                <w:color w:val="auto"/>
              </w:rPr>
            </w:pPr>
            <w:r>
              <w:rPr>
                <w:rFonts w:ascii="Courier New" w:cs="Courier New" w:eastAsia="Courier New" w:hAnsi="Courier New"/>
                <w:sz w:val="16"/>
                <w:szCs w:val="16"/>
                <w:color w:val="auto"/>
              </w:rPr>
              <w:t>Basic loss per share.............................</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(0.12)</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Diluted loss per</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(0.12)</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541"/>
        </w:trPr>
        <w:tc>
          <w:tcPr>
            <w:tcW w:w="940" w:type="dxa"/>
            <w:vAlign w:val="bottom"/>
          </w:tcPr>
          <w:p>
            <w:pPr>
              <w:spacing w:after="0"/>
              <w:rPr>
                <w:sz w:val="20"/>
                <w:szCs w:val="20"/>
                <w:color w:val="auto"/>
              </w:rPr>
            </w:pPr>
            <w:r>
              <w:rPr>
                <w:rFonts w:ascii="Courier New" w:cs="Courier New" w:eastAsia="Courier New" w:hAnsi="Courier New"/>
                <w:sz w:val="16"/>
                <w:szCs w:val="16"/>
                <w:color w:val="auto"/>
              </w:rPr>
              <w:t>NOTE 4 --</w:t>
            </w:r>
          </w:p>
        </w:tc>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RELATED PARTY TRANSACTIONS</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following related party balances are included in the balance sheet:</w:t>
      </w:r>
    </w:p>
    <w:p>
      <w:pPr>
        <w:spacing w:after="0" w:line="200" w:lineRule="exact"/>
        <w:rPr>
          <w:sz w:val="20"/>
          <w:szCs w:val="20"/>
          <w:color w:val="auto"/>
        </w:rPr>
      </w:pPr>
    </w:p>
    <w:p>
      <w:pPr>
        <w:spacing w:after="0" w:line="340" w:lineRule="exact"/>
        <w:rPr>
          <w:sz w:val="20"/>
          <w:szCs w:val="20"/>
          <w:color w:val="auto"/>
        </w:rPr>
      </w:pPr>
    </w:p>
    <w:p>
      <w:pPr>
        <w:ind w:left="5544"/>
        <w:spacing w:after="0"/>
        <w:rPr>
          <w:sz w:val="20"/>
          <w:szCs w:val="20"/>
          <w:color w:val="auto"/>
        </w:rPr>
      </w:pPr>
      <w:r>
        <w:rPr>
          <w:rFonts w:ascii="Courier New" w:cs="Courier New" w:eastAsia="Courier New" w:hAnsi="Courier New"/>
          <w:sz w:val="16"/>
          <w:szCs w:val="16"/>
          <w:color w:val="auto"/>
        </w:rPr>
        <w:t>AS OF SEPTEMBER 30,</w:t>
      </w:r>
    </w:p>
    <w:p>
      <w:pPr>
        <w:ind w:left="5544"/>
        <w:spacing w:after="0"/>
        <w:rPr>
          <w:sz w:val="20"/>
          <w:szCs w:val="20"/>
          <w:color w:val="auto"/>
        </w:rPr>
      </w:pPr>
      <w:r>
        <w:rPr>
          <w:rFonts w:ascii="Courier New" w:cs="Courier New" w:eastAsia="Courier New" w:hAnsi="Courier New"/>
          <w:sz w:val="16"/>
          <w:szCs w:val="16"/>
          <w:color w:val="auto"/>
        </w:rPr>
        <w:t>--------------------</w:t>
      </w:r>
    </w:p>
    <w:p>
      <w:pPr>
        <w:ind w:left="5724"/>
        <w:spacing w:after="0" w:line="237" w:lineRule="auto"/>
        <w:tabs>
          <w:tab w:leader="none" w:pos="682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ind w:left="5544"/>
        <w:spacing w:after="0"/>
        <w:tabs>
          <w:tab w:leader="none" w:pos="66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Accounts receivable, including unbilled of $0 and $828 in</w:t>
      </w:r>
    </w:p>
    <w:p>
      <w:pPr>
        <w:sectPr>
          <w:pgSz w:w="11900" w:h="16838" w:orient="portrait"/>
          <w:cols w:equalWidth="0" w:num="1">
            <w:col w:w="10223"/>
          </w:cols>
          <w:pgMar w:left="236" w:top="293" w:right="1440" w:bottom="1440" w:gutter="0" w:footer="0" w:header="0"/>
          <w:type w:val="continuous"/>
        </w:sectPr>
      </w:pPr>
    </w:p>
    <w:p>
      <w:pPr>
        <w:spacing w:after="0" w:line="4"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2000 and 1999,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$14,128</w:t>
      </w:r>
    </w:p>
    <w:p>
      <w:pPr>
        <w:spacing w:after="0" w:line="200" w:lineRule="exact"/>
        <w:rPr>
          <w:sz w:val="20"/>
          <w:szCs w:val="20"/>
          <w:color w:val="auto"/>
        </w:rPr>
      </w:pPr>
    </w:p>
    <w:p>
      <w:pPr>
        <w:sectPr>
          <w:pgSz w:w="11900" w:h="16838" w:orient="portrait"/>
          <w:cols w:equalWidth="0" w:num="3">
            <w:col w:w="5344" w:space="200"/>
            <w:col w:w="640" w:space="480"/>
            <w:col w:w="3559"/>
          </w:cols>
          <w:pgMar w:left="236" w:top="293" w:right="1440" w:bottom="1440" w:gutter="0" w:footer="0" w:header="0"/>
          <w:type w:val="continuous"/>
        </w:sectPr>
      </w:pPr>
    </w:p>
    <w:p>
      <w:pPr>
        <w:spacing w:after="0" w:line="171"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following related party transactions are included in the statements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SEPTEMBER</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30,</w:t>
            </w:r>
          </w:p>
        </w:tc>
      </w:tr>
      <w:tr>
        <w:trPr>
          <w:trHeight w:val="180"/>
        </w:trPr>
        <w:tc>
          <w:tcPr>
            <w:tcW w:w="8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8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8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Revenue(1):</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License</w:t>
            </w:r>
          </w:p>
        </w:tc>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$ 15,888</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743</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$ 2,300</w:t>
            </w: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Service</w:t>
            </w:r>
          </w:p>
        </w:tc>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144,859</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98,761</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82,100</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Operating</w:t>
            </w:r>
          </w:p>
        </w:tc>
        <w:tc>
          <w:tcPr>
            <w:tcW w:w="4880" w:type="dxa"/>
            <w:vAlign w:val="bottom"/>
          </w:tcPr>
          <w:p>
            <w:pPr>
              <w:jc w:val="right"/>
              <w:ind w:right="3582"/>
              <w:spacing w:after="0"/>
              <w:rPr>
                <w:sz w:val="20"/>
                <w:szCs w:val="20"/>
                <w:color w:val="auto"/>
              </w:rPr>
            </w:pPr>
            <w:r>
              <w:rPr>
                <w:rFonts w:ascii="Courier New" w:cs="Courier New" w:eastAsia="Courier New" w:hAnsi="Courier New"/>
                <w:sz w:val="16"/>
                <w:szCs w:val="16"/>
                <w:color w:val="auto"/>
              </w:rPr>
              <w:t>expenses(2):</w:t>
            </w: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Cost of</w:t>
            </w:r>
          </w:p>
        </w:tc>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service...........................................</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2,814</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2,656</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2,325</w:t>
            </w:r>
          </w:p>
        </w:tc>
      </w:tr>
      <w:tr>
        <w:trPr>
          <w:trHeight w:val="180"/>
        </w:trPr>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Selling, general and administrative.......................</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700</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570</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510</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income (expense), net(3)..............................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(6,268)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19" w:hanging="384"/>
        <w:spacing w:after="0" w:line="237"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licenses software and provides computer systems integration and related services to several affiliates of a significant shareholder of the Company (the "Affiliates").</w:t>
      </w:r>
    </w:p>
    <w:p>
      <w:pPr>
        <w:spacing w:after="0" w:line="184" w:lineRule="exact"/>
        <w:rPr>
          <w:rFonts w:ascii="Courier New" w:cs="Courier New" w:eastAsia="Courier New" w:hAnsi="Courier New"/>
          <w:sz w:val="16"/>
          <w:szCs w:val="16"/>
          <w:color w:val="auto"/>
        </w:rPr>
      </w:pPr>
    </w:p>
    <w:p>
      <w:pPr>
        <w:ind w:left="384" w:right="2999" w:hanging="384"/>
        <w:spacing w:after="0" w:line="237"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leases office space in Israel on a month-to-month basis and purchases other miscellaneous support services from affiliates of certain shareholders.</w:t>
      </w:r>
    </w:p>
    <w:p>
      <w:pPr>
        <w:spacing w:after="0" w:line="184" w:lineRule="exact"/>
        <w:rPr>
          <w:rFonts w:ascii="Courier New" w:cs="Courier New" w:eastAsia="Courier New" w:hAnsi="Courier New"/>
          <w:sz w:val="16"/>
          <w:szCs w:val="16"/>
          <w:color w:val="auto"/>
        </w:rPr>
      </w:pPr>
    </w:p>
    <w:p>
      <w:pPr>
        <w:ind w:left="384" w:right="2819" w:hanging="384"/>
        <w:spacing w:after="0" w:line="238"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22, 1997, the Company issued junior subordinated notes payable in the aggregate amount of $3,268 to certain persons affiliated with the investors party to the Share Subscription Agreement referred to in Note 16. The notes bore an interest rate of 5.75 percent per annum and were originally due September 22, 1998. The notes were paid in March 1998. In January 1998, the Company issued $123,500 in principal amount of 10 percent subordinated notes to affiliates of certain shareholders, which were party to the Conditional Investment Agreement referred to in Note 16. The subordinated notes were repaid in 1998.</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NOTE 5 -- COMPENSATING BALANCES</w:t>
      </w:r>
    </w:p>
    <w:p>
      <w:pPr>
        <w:spacing w:after="0" w:line="185" w:lineRule="exact"/>
        <w:rPr>
          <w:sz w:val="20"/>
          <w:szCs w:val="20"/>
          <w:color w:val="auto"/>
        </w:rPr>
      </w:pPr>
    </w:p>
    <w:p>
      <w:pPr>
        <w:jc w:val="both"/>
        <w:ind w:left="4" w:right="2899" w:firstLine="469"/>
        <w:spacing w:after="0" w:line="259" w:lineRule="auto"/>
        <w:rPr>
          <w:sz w:val="20"/>
          <w:szCs w:val="20"/>
          <w:color w:val="auto"/>
        </w:rPr>
      </w:pPr>
      <w:r>
        <w:rPr>
          <w:rFonts w:ascii="Courier New" w:cs="Courier New" w:eastAsia="Courier New" w:hAnsi="Courier New"/>
          <w:sz w:val="15"/>
          <w:szCs w:val="15"/>
          <w:color w:val="auto"/>
        </w:rPr>
        <w:t>The Company was required to maintain compensating cash balances of $4,777 and $2,791 as of September 30, 2000 and 1999, respectively, primarily relating to foreign currency contracts, letters of credit and bank guarantees.</w:t>
      </w:r>
    </w:p>
    <w:p>
      <w:pPr>
        <w:spacing w:after="0" w:line="166"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23"/>
          </w:cols>
          <w:pgMar w:left="236" w:top="293"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64</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EQUIPMENT, VEHICLES AND LEASEHOLD IMPROVEMENTS, NET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Components of equipment, vehicles and leasehold improvements, net are: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188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AS OF SEPTEMBER 30,</w:t>
            </w:r>
          </w:p>
        </w:tc>
      </w:tr>
      <w:tr>
        <w:trPr>
          <w:trHeight w:val="180"/>
        </w:trPr>
        <w:tc>
          <w:tcPr>
            <w:tcW w:w="53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5340" w:type="dxa"/>
            <w:vAlign w:val="bottom"/>
          </w:tcPr>
          <w:p>
            <w:pPr>
              <w:spacing w:after="0"/>
              <w:rPr>
                <w:sz w:val="15"/>
                <w:szCs w:val="15"/>
                <w:color w:val="auto"/>
              </w:rPr>
            </w:pP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Furniture and fixtures..................................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24,297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$14,009</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Computer equipment......................................</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110,583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67,416</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Vehicles furnished to employees.........................</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44,766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31,541</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Leasehold improvements..................................</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30,593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19,315</w:t>
            </w:r>
          </w:p>
        </w:tc>
      </w:tr>
      <w:tr>
        <w:trPr>
          <w:trHeight w:val="180"/>
        </w:trPr>
        <w:tc>
          <w:tcPr>
            <w:tcW w:w="5340" w:type="dxa"/>
            <w:vAlign w:val="bottom"/>
          </w:tcPr>
          <w:p>
            <w:pPr>
              <w:spacing w:after="0"/>
              <w:rPr>
                <w:sz w:val="15"/>
                <w:szCs w:val="15"/>
                <w:color w:val="auto"/>
              </w:rPr>
            </w:pP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210,239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132,281</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Less accumulated depreciation...........................</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82,158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48,284</w:t>
            </w:r>
          </w:p>
        </w:tc>
      </w:tr>
      <w:tr>
        <w:trPr>
          <w:trHeight w:val="180"/>
        </w:trPr>
        <w:tc>
          <w:tcPr>
            <w:tcW w:w="5340" w:type="dxa"/>
            <w:vAlign w:val="bottom"/>
          </w:tcPr>
          <w:p>
            <w:pPr>
              <w:spacing w:after="0"/>
              <w:rPr>
                <w:sz w:val="15"/>
                <w:szCs w:val="15"/>
                <w:color w:val="auto"/>
              </w:rPr>
            </w:pP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128,081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$83,997</w:t>
            </w:r>
          </w:p>
        </w:tc>
      </w:tr>
      <w:tr>
        <w:trPr>
          <w:trHeight w:val="180"/>
        </w:trPr>
        <w:tc>
          <w:tcPr>
            <w:tcW w:w="5340" w:type="dxa"/>
            <w:vAlign w:val="bottom"/>
          </w:tcPr>
          <w:p>
            <w:pPr>
              <w:spacing w:after="0"/>
              <w:rPr>
                <w:sz w:val="15"/>
                <w:szCs w:val="15"/>
                <w:color w:val="auto"/>
              </w:rPr>
            </w:pP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has entered into various arrangements for the leasing of vehicles for periods of five years, carrying interest rates of LIBOR plus an interest rate of 0.5 percent (7.3 percent as of September 30, 2000). The Company has accounted for these as capital leases and amortization costs have been included in depreciation expense. Capital lease payments, excluding interest, due over the next five years are as follows: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4"/>
                <w:szCs w:val="4"/>
                <w:color w:val="auto"/>
                <w:w w:val="87"/>
              </w:rPr>
              <w:t>2001........................................</w:t>
            </w: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$8,713</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4"/>
                <w:szCs w:val="4"/>
                <w:color w:val="auto"/>
                <w:w w:val="87"/>
              </w:rPr>
              <w:t>2002........................................</w:t>
            </w: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8,068</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4"/>
                <w:szCs w:val="4"/>
                <w:color w:val="auto"/>
                <w:w w:val="87"/>
              </w:rPr>
              <w:t>2003........................................</w:t>
            </w: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7,368</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4"/>
                <w:szCs w:val="4"/>
                <w:color w:val="auto"/>
                <w:w w:val="87"/>
              </w:rPr>
              <w:t>2004........................................</w:t>
            </w: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5,234</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4"/>
                <w:szCs w:val="4"/>
                <w:color w:val="auto"/>
                <w:w w:val="87"/>
              </w:rPr>
              <w:t>2005........................................</w:t>
            </w: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2,747</w:t>
            </w:r>
          </w:p>
        </w:tc>
      </w:tr>
      <w:tr>
        <w:trPr>
          <w:trHeight w:val="541"/>
        </w:trPr>
        <w:tc>
          <w:tcPr>
            <w:tcW w:w="940" w:type="dxa"/>
            <w:vAlign w:val="bottom"/>
          </w:tcPr>
          <w:p>
            <w:pPr>
              <w:spacing w:after="0"/>
              <w:rPr>
                <w:sz w:val="20"/>
                <w:szCs w:val="20"/>
                <w:color w:val="auto"/>
              </w:rPr>
            </w:pPr>
            <w:r>
              <w:rPr>
                <w:rFonts w:ascii="Courier New" w:cs="Courier New" w:eastAsia="Courier New" w:hAnsi="Courier New"/>
                <w:sz w:val="16"/>
                <w:szCs w:val="16"/>
                <w:color w:val="auto"/>
              </w:rPr>
              <w:t>NOTE 7 --</w:t>
            </w:r>
          </w:p>
        </w:tc>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GOODWILL AND OTHER INTANGIBLE ASSETS, NET</w:t>
            </w:r>
          </w:p>
        </w:tc>
      </w:tr>
    </w:tbl>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Goodwill and other intangible assets, net are: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ESTIMATED</w:t>
            </w:r>
          </w:p>
        </w:tc>
        <w:tc>
          <w:tcPr>
            <w:tcW w:w="216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AS OF SEPTEMBER 30,</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USEFUL LIFE</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56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 YEARS)</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5"/>
                <w:szCs w:val="15"/>
                <w:color w:val="auto"/>
              </w:rPr>
            </w:pPr>
          </w:p>
        </w:tc>
        <w:tc>
          <w:tcPr>
            <w:tcW w:w="5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88"/>
              </w:rPr>
              <w:t>1999</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Goodwill...................................</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5 - 15</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$1,057,466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Intellectual property rights and purchased</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w w:val="99"/>
              </w:rPr>
              <w:t>computer software........................</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2 - 10</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74,107</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39,200</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Other intangible assets....................</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3 -  5</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12,403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1,143,976</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39,200</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Less accumulated amortization..............</w:t>
            </w:r>
          </w:p>
        </w:tc>
        <w:tc>
          <w:tcPr>
            <w:tcW w:w="13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132,923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16,402</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$1,011,053</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$22,798</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541"/>
        </w:trPr>
        <w:tc>
          <w:tcPr>
            <w:tcW w:w="4120" w:type="dxa"/>
            <w:vAlign w:val="bottom"/>
          </w:tcPr>
          <w:p>
            <w:pPr>
              <w:ind w:left="3560"/>
              <w:spacing w:after="0"/>
              <w:rPr>
                <w:sz w:val="20"/>
                <w:szCs w:val="20"/>
                <w:color w:val="auto"/>
              </w:rPr>
            </w:pPr>
            <w:r>
              <w:rPr>
                <w:rFonts w:ascii="Courier New" w:cs="Courier New" w:eastAsia="Courier New" w:hAnsi="Courier New"/>
                <w:sz w:val="16"/>
                <w:szCs w:val="16"/>
                <w:color w:val="auto"/>
              </w:rPr>
              <w:t>F-15</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65</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OTHER NONCURRENT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Other noncurrent assets consist of the following:</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1"/>
        </w:trPr>
        <w:tc>
          <w:tcPr>
            <w:tcW w:w="9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AS OF SEPTEMBER 30,</w:t>
            </w:r>
          </w:p>
        </w:tc>
      </w:tr>
      <w:tr>
        <w:trPr>
          <w:trHeight w:val="180"/>
        </w:trPr>
        <w:tc>
          <w:tcPr>
            <w:tcW w:w="9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9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9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Funded personnel benefit costs.........................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$25,913</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$18,264</w:t>
            </w:r>
          </w:p>
        </w:tc>
      </w:tr>
      <w:tr>
        <w:trPr>
          <w:trHeight w:val="180"/>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Noncurrent investments, at cost........................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9,250</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11,982</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8,572</w:t>
            </w:r>
          </w:p>
        </w:tc>
      </w:tr>
      <w:tr>
        <w:trPr>
          <w:trHeight w:val="180"/>
        </w:trPr>
        <w:tc>
          <w:tcPr>
            <w:tcW w:w="9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9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$47,145</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$26,836</w:t>
            </w:r>
          </w:p>
        </w:tc>
      </w:tr>
      <w:tr>
        <w:trPr>
          <w:trHeight w:val="180"/>
        </w:trPr>
        <w:tc>
          <w:tcPr>
            <w:tcW w:w="9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541"/>
        </w:trPr>
        <w:tc>
          <w:tcPr>
            <w:tcW w:w="940" w:type="dxa"/>
            <w:vAlign w:val="bottom"/>
          </w:tcPr>
          <w:p>
            <w:pPr>
              <w:spacing w:after="0"/>
              <w:rPr>
                <w:sz w:val="20"/>
                <w:szCs w:val="20"/>
                <w:color w:val="auto"/>
              </w:rPr>
            </w:pPr>
            <w:r>
              <w:rPr>
                <w:rFonts w:ascii="Courier New" w:cs="Courier New" w:eastAsia="Courier New" w:hAnsi="Courier New"/>
                <w:sz w:val="16"/>
                <w:szCs w:val="16"/>
                <w:color w:val="auto"/>
              </w:rPr>
              <w:t>NOTE 9 --</w:t>
            </w:r>
          </w:p>
        </w:tc>
        <w:tc>
          <w:tcPr>
            <w:tcW w:w="44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30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4320" w:type="dxa"/>
            <w:vAlign w:val="bottom"/>
          </w:tcPr>
          <w:p>
            <w:pPr>
              <w:spacing w:after="0"/>
              <w:rPr>
                <w:sz w:val="15"/>
                <w:szCs w:val="15"/>
                <w:color w:val="auto"/>
              </w:rPr>
            </w:pPr>
          </w:p>
        </w:tc>
        <w:tc>
          <w:tcPr>
            <w:tcW w:w="30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320" w:type="dxa"/>
            <w:vAlign w:val="bottom"/>
          </w:tcPr>
          <w:p>
            <w:pPr>
              <w:spacing w:after="0"/>
              <w:rPr>
                <w:sz w:val="15"/>
                <w:szCs w:val="15"/>
                <w:color w:val="auto"/>
              </w:rPr>
            </w:pPr>
          </w:p>
        </w:tc>
        <w:tc>
          <w:tcPr>
            <w:tcW w:w="10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432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$80,076</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$46,258</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$31,736</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(1,196)</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(4,026)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(1,351)</w:t>
            </w:r>
          </w:p>
        </w:tc>
      </w:tr>
      <w:tr>
        <w:trPr>
          <w:trHeight w:val="180"/>
        </w:trPr>
        <w:tc>
          <w:tcPr>
            <w:tcW w:w="432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32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$78,880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$42,232</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$30,385</w:t>
            </w:r>
          </w:p>
        </w:tc>
      </w:tr>
      <w:tr>
        <w:trPr>
          <w:trHeight w:val="180"/>
        </w:trPr>
        <w:tc>
          <w:tcPr>
            <w:tcW w:w="432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Deferred income taxes are comprised of the following components: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15"/>
                <w:szCs w:val="15"/>
                <w:color w:val="auto"/>
              </w:rPr>
            </w:pPr>
          </w:p>
        </w:tc>
        <w:tc>
          <w:tcPr>
            <w:tcW w:w="19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AS OF SEPTEMBER 30,</w:t>
            </w:r>
          </w:p>
        </w:tc>
      </w:tr>
      <w:tr>
        <w:trPr>
          <w:trHeight w:val="180"/>
        </w:trPr>
        <w:tc>
          <w:tcPr>
            <w:tcW w:w="54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44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Deferred revenue.......................................</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$19,560</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$21,021</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Accrued personnel costs................................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15,733</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8,184</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Computer software and intellectual property............</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3,496</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Warranty and maintenance accruals......................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195</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operating loss carry forwards......................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18,713</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5,685</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4,947</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Valuation allowances...................................</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(16,743)</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deferred tax assets..............................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46,444</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34,347</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Anticipated withholdings on subsidiaries' earnings.....</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(17,391)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(14,033)</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Intangible assets, computer software and intellectual</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property............................................</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(11,191)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(2,071)</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(500)</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deferred tax liabilities.........................</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(29,082)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(16,104)</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deferred tax assets..................................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$17,362</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$18,243</w:t>
            </w:r>
          </w:p>
        </w:tc>
      </w:tr>
      <w:tr>
        <w:trPr>
          <w:trHeight w:val="180"/>
        </w:trPr>
        <w:tc>
          <w:tcPr>
            <w:tcW w:w="54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3" w:right="1440"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66</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The effective income tax rate varied from the statutory Guernsey tax</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rate</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as follows:</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721"/>
        </w:trPr>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YEAR ENDED</w:t>
            </w:r>
          </w:p>
        </w:tc>
        <w:tc>
          <w:tcPr>
            <w:tcW w:w="380" w:type="dxa"/>
            <w:vAlign w:val="bottom"/>
          </w:tcPr>
          <w:p>
            <w:pPr>
              <w:spacing w:after="0"/>
              <w:rPr>
                <w:sz w:val="24"/>
                <w:szCs w:val="24"/>
                <w:color w:val="auto"/>
              </w:rPr>
            </w:pPr>
          </w:p>
        </w:tc>
      </w:tr>
      <w:tr>
        <w:trPr>
          <w:trHeight w:val="180"/>
        </w:trPr>
        <w:tc>
          <w:tcPr>
            <w:tcW w:w="534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38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1998</w:t>
            </w:r>
          </w:p>
        </w:tc>
      </w:tr>
      <w:tr>
        <w:trPr>
          <w:trHeight w:val="180"/>
        </w:trPr>
        <w:tc>
          <w:tcPr>
            <w:tcW w:w="5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Statutory Guernsey tax rate.............................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Guernsey tax-exempt status..............................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Foreign taxes...........................................</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Effect of acquisition-related costs.....................</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Effective income tax rate...............................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0"/>
        </w:trPr>
        <w:tc>
          <w:tcPr>
            <w:tcW w:w="534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w:t>
            </w:r>
          </w:p>
        </w:tc>
      </w:tr>
    </w:tbl>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fiscal 2000, the Company incurred certain non-tax deductible indirect acquisition- related costs and non deductible goodwill amortization related to the acquisitions of ITDS and Solect. As a result, the Company's effective income tax rate in 2000 (calculated based on the income taxes out of the income before income taxes, excluding non recurring charges for write-offs of purchased in-process research and development and other indirect acquisition-related costs) is significantly higher than the 1999 effective income tax rate.</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fiscal 1998, the Company incurred tax expense on the income of its operations in various countries and sustained a loss in a tax jurisdiction in which the Company is tax-exempt. This resulted in no tax benefit to offset the expense incurred. No such loss occurred in 1999 or 2000 and, as a result, the Company's effective income tax rate in 1998 was significantly higher than the 1999 effective income tax rate.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Company's Israeli subsidiary, which accounted for approximately 34%, 36% and 34% for 2000, 1999 and 1998, respectively, of the Company's income before income taxes, enjoys tax benefits from Approved Enterprise status, as established under Israeli law. The benefits from this status began phasing out in 1999. However, the effect on the 1999 and 2000 effective income tax rate on the Company is not significant.</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of September 30, 2000, the Company had $41,900 of Canadian net operating loss carry-forwards, most of which were acquired in the Solect transaction. The net operating loss carry-forwards will expire within 5-10 years. Given the uncertainty of the realization of these assets through future taxable earnings, a valuation allowance of $16,743 has been recorded.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 SHORT-TERM FINANCING ARRANGEMENTS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Company's financing transactions are described below:</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December 1997, the Company entered into various credit agreements (the "Credit Agreements") with several commercial banks. According to an amendment to the Credit Agreements (the "Revolving Credit Agreement") entered into in July 1998, the Company may borrow up to $100,000 under a revolving line of credit. This agreement expires in June 2001. The revolving line of credit bears a variable interest rate (7.3 percent as of September 30, 2000). The Revolving Credit Agreement has various covenants, that limit the Company's ability to make investments, incur debt, pay dividends and dispose of property. The Company is also required to maintain certain financial ratios as defined in the Revolving Credit Agreement. Except for vehicles, substantially all of the Company's assets have been pledged as security under the terms of the Revolving Credit Agreement. As of September 30, 2000, the outstanding balance under this arrangement was $20,000.</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According to an agreement with several commercial banks the Company may borrow up to $40,000 under a short-term credit line. The short-term credit line bears a variable interest rate. As of September 30, 2000, there was no outstanding balance.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293"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67</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4"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As of September 30, 2000, the Company had utilized approximately $19,295 of revolving credit facilities to support letters of credit or bank guarantees.</w:t>
      </w:r>
    </w:p>
    <w:p>
      <w:pPr>
        <w:spacing w:after="0" w:line="1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maximum amount of short-term borrowings under the revolving bank credit arrangements at the end of any month was approximately $31,700 in 2000 and $97,300 in 1999. The average short-term borrowings during the year were approximately $13,300 in 2000 and $63,500 in 1999. The weighted average interest rates approximated 7.0 percent in 2000, 6.0 percent in 1999 and 6.4 percent in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OTHER NONCURRENT LIABILITIES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Other noncurrent liabilities consist of the following:</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1"/>
        </w:trPr>
        <w:tc>
          <w:tcPr>
            <w:tcW w:w="10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AS OF SEPTEMBER 30,</w:t>
            </w:r>
          </w:p>
        </w:tc>
      </w:tr>
      <w:tr>
        <w:trPr>
          <w:trHeight w:val="180"/>
        </w:trPr>
        <w:tc>
          <w:tcPr>
            <w:tcW w:w="10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10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10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gridSpan w:val="2"/>
          </w:tcPr>
          <w:p>
            <w:pPr>
              <w:spacing w:after="0"/>
              <w:rPr>
                <w:sz w:val="20"/>
                <w:szCs w:val="20"/>
                <w:color w:val="auto"/>
              </w:rPr>
            </w:pPr>
            <w:r>
              <w:rPr>
                <w:rFonts w:ascii="Courier New" w:cs="Courier New" w:eastAsia="Courier New" w:hAnsi="Courier New"/>
                <w:sz w:val="16"/>
                <w:szCs w:val="16"/>
                <w:color w:val="auto"/>
              </w:rPr>
              <w:t>Accrued personnel costs..................................</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2"/>
              </w:rPr>
              <w:t>$49,313</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$32,441</w:t>
            </w:r>
          </w:p>
        </w:tc>
      </w:tr>
      <w:tr>
        <w:trPr>
          <w:trHeight w:val="180"/>
        </w:trPr>
        <w:tc>
          <w:tcPr>
            <w:tcW w:w="5540" w:type="dxa"/>
            <w:vAlign w:val="bottom"/>
            <w:gridSpan w:val="2"/>
          </w:tcPr>
          <w:p>
            <w:pPr>
              <w:spacing w:after="0"/>
              <w:rPr>
                <w:sz w:val="20"/>
                <w:szCs w:val="20"/>
                <w:color w:val="auto"/>
              </w:rPr>
            </w:pPr>
            <w:r>
              <w:rPr>
                <w:rFonts w:ascii="Courier New" w:cs="Courier New" w:eastAsia="Courier New" w:hAnsi="Courier New"/>
                <w:sz w:val="16"/>
                <w:szCs w:val="16"/>
                <w:color w:val="auto"/>
              </w:rPr>
              <w:t>Long term forward exchange obligations...................</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2,987</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231</w:t>
            </w:r>
          </w:p>
        </w:tc>
      </w:tr>
      <w:tr>
        <w:trPr>
          <w:trHeight w:val="180"/>
        </w:trPr>
        <w:tc>
          <w:tcPr>
            <w:tcW w:w="554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1,504</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1,565</w:t>
            </w:r>
          </w:p>
        </w:tc>
      </w:tr>
      <w:tr>
        <w:trPr>
          <w:trHeight w:val="180"/>
        </w:trPr>
        <w:tc>
          <w:tcPr>
            <w:tcW w:w="10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2"/>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2"/>
              </w:rPr>
              <w:t>$53,804</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$34,237</w:t>
            </w:r>
          </w:p>
        </w:tc>
      </w:tr>
      <w:tr>
        <w:trPr>
          <w:trHeight w:val="180"/>
        </w:trPr>
        <w:tc>
          <w:tcPr>
            <w:tcW w:w="10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2"/>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541"/>
        </w:trPr>
        <w:tc>
          <w:tcPr>
            <w:tcW w:w="1020" w:type="dxa"/>
            <w:vAlign w:val="bottom"/>
          </w:tcPr>
          <w:p>
            <w:pPr>
              <w:spacing w:after="0"/>
              <w:rPr>
                <w:sz w:val="20"/>
                <w:szCs w:val="20"/>
                <w:color w:val="auto"/>
              </w:rPr>
            </w:pPr>
            <w:r>
              <w:rPr>
                <w:rFonts w:ascii="Courier New" w:cs="Courier New" w:eastAsia="Courier New" w:hAnsi="Courier New"/>
                <w:sz w:val="16"/>
                <w:szCs w:val="16"/>
                <w:color w:val="auto"/>
              </w:rPr>
              <w:t>NOTE 12 --</w:t>
            </w:r>
          </w:p>
        </w:tc>
        <w:tc>
          <w:tcPr>
            <w:tcW w:w="45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The following table sets forth the reconciliation from net income to comprehensive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w:t>
            </w: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Net income</w:t>
            </w:r>
          </w:p>
        </w:tc>
        <w:tc>
          <w:tcPr>
            <w:tcW w:w="3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$5,978</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$98,543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$30,107</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Other comprehensive income:</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500" w:type="dxa"/>
            <w:vAlign w:val="bottom"/>
            <w:gridSpan w:val="2"/>
          </w:tcPr>
          <w:p>
            <w:pPr>
              <w:jc w:val="right"/>
              <w:ind w:right="682"/>
              <w:spacing w:after="0"/>
              <w:rPr>
                <w:sz w:val="20"/>
                <w:szCs w:val="20"/>
                <w:color w:val="auto"/>
              </w:rPr>
            </w:pPr>
            <w:r>
              <w:rPr>
                <w:rFonts w:ascii="Courier New" w:cs="Courier New" w:eastAsia="Courier New" w:hAnsi="Courier New"/>
                <w:sz w:val="16"/>
                <w:szCs w:val="16"/>
                <w:color w:val="auto"/>
              </w:rPr>
              <w:t>Unrealized income (loss) on derivative</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instruments, net of tax...................</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2,333</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338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(1,495)</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Unrealized income on cash equivalents, net of</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tax.......................................</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Comprehensive income...........................</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$8,294</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$98,881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$28,612</w:t>
            </w:r>
          </w:p>
        </w:tc>
      </w:tr>
      <w:tr>
        <w:trPr>
          <w:trHeight w:val="180"/>
        </w:trPr>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NOTE 13 --</w:t>
            </w:r>
          </w:p>
        </w:tc>
        <w:tc>
          <w:tcPr>
            <w:tcW w:w="35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OTHER INCOME (EXPENSE), NET</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income (expense), net consists of the following: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30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4320" w:type="dxa"/>
            <w:vAlign w:val="bottom"/>
          </w:tcPr>
          <w:p>
            <w:pPr>
              <w:spacing w:after="0"/>
              <w:rPr>
                <w:sz w:val="15"/>
                <w:szCs w:val="15"/>
                <w:color w:val="auto"/>
              </w:rPr>
            </w:pPr>
          </w:p>
        </w:tc>
        <w:tc>
          <w:tcPr>
            <w:tcW w:w="30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3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43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Interest income..............................</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$14,274</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$ 1,680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3,445</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(2,528)</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(5,654)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(24,267)</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Interest expense relating to settlement of</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320" w:type="dxa"/>
            <w:vAlign w:val="bottom"/>
          </w:tcPr>
          <w:p>
            <w:pPr>
              <w:ind w:left="180"/>
              <w:spacing w:after="0"/>
              <w:rPr>
                <w:sz w:val="20"/>
                <w:szCs w:val="20"/>
                <w:color w:val="auto"/>
              </w:rPr>
            </w:pPr>
            <w:r>
              <w:rPr>
                <w:rFonts w:ascii="Courier New" w:cs="Courier New" w:eastAsia="Courier New" w:hAnsi="Courier New"/>
                <w:sz w:val="16"/>
                <w:szCs w:val="16"/>
                <w:color w:val="auto"/>
                <w:w w:val="99"/>
              </w:rPr>
              <w:t>tax claims.................................</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(680)</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Other, net...................................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(1,012)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(2,249)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(2,624)</w:t>
            </w:r>
          </w:p>
        </w:tc>
      </w:tr>
      <w:tr>
        <w:trPr>
          <w:trHeight w:val="180"/>
        </w:trPr>
        <w:tc>
          <w:tcPr>
            <w:tcW w:w="43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3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$10,734</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$(6,223)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$(24,126)</w:t>
            </w:r>
          </w:p>
        </w:tc>
      </w:tr>
      <w:tr>
        <w:trPr>
          <w:trHeight w:val="180"/>
        </w:trPr>
        <w:tc>
          <w:tcPr>
            <w:tcW w:w="43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93"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68</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 COMMITMENTS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8"/>
              </w:rPr>
              <w:t>The Company leases office space under non-cancelable operating leases in</w:t>
            </w:r>
          </w:p>
        </w:tc>
      </w:tr>
      <w:tr>
        <w:trPr>
          <w:trHeight w:val="180"/>
        </w:trPr>
        <w:tc>
          <w:tcPr>
            <w:tcW w:w="7320" w:type="dxa"/>
            <w:vAlign w:val="bottom"/>
            <w:gridSpan w:val="2"/>
          </w:tcPr>
          <w:p>
            <w:pPr>
              <w:spacing w:after="0"/>
              <w:rPr>
                <w:sz w:val="20"/>
                <w:szCs w:val="20"/>
                <w:color w:val="auto"/>
              </w:rPr>
            </w:pPr>
            <w:r>
              <w:rPr>
                <w:rFonts w:ascii="Courier New" w:cs="Courier New" w:eastAsia="Courier New" w:hAnsi="Courier New"/>
                <w:sz w:val="16"/>
                <w:szCs w:val="16"/>
                <w:color w:val="auto"/>
              </w:rPr>
              <w:t>various countries in which it does business. Future minimum lease payments</w:t>
            </w:r>
          </w:p>
        </w:tc>
      </w:tr>
      <w:tr>
        <w:trPr>
          <w:trHeight w:val="180"/>
        </w:trPr>
        <w:tc>
          <w:tcPr>
            <w:tcW w:w="7320" w:type="dxa"/>
            <w:vAlign w:val="bottom"/>
            <w:gridSpan w:val="2"/>
          </w:tcPr>
          <w:p>
            <w:pPr>
              <w:spacing w:after="0"/>
              <w:rPr>
                <w:sz w:val="20"/>
                <w:szCs w:val="20"/>
                <w:color w:val="auto"/>
              </w:rPr>
            </w:pPr>
            <w:r>
              <w:rPr>
                <w:rFonts w:ascii="Courier New" w:cs="Courier New" w:eastAsia="Courier New" w:hAnsi="Courier New"/>
                <w:sz w:val="16"/>
                <w:szCs w:val="16"/>
                <w:color w:val="auto"/>
              </w:rPr>
              <w:t>required for the five-year period beginning October 1, 2000 are as follows:</w:t>
            </w:r>
          </w:p>
        </w:tc>
      </w:tr>
      <w:tr>
        <w:trPr>
          <w:trHeight w:val="721"/>
        </w:trPr>
        <w:tc>
          <w:tcPr>
            <w:tcW w:w="4020" w:type="dxa"/>
            <w:vAlign w:val="bottom"/>
          </w:tcPr>
          <w:p>
            <w:pPr>
              <w:spacing w:after="0"/>
              <w:rPr>
                <w:sz w:val="20"/>
                <w:szCs w:val="20"/>
                <w:color w:val="auto"/>
              </w:rPr>
            </w:pPr>
            <w:r>
              <w:rPr>
                <w:rFonts w:ascii="Courier New" w:cs="Courier New" w:eastAsia="Courier New" w:hAnsi="Courier New"/>
                <w:sz w:val="16"/>
                <w:szCs w:val="16"/>
                <w:color w:val="auto"/>
              </w:rPr>
              <w:t>FOR THE YEARS ENDED SEPTEMBER 30,</w:t>
            </w:r>
          </w:p>
        </w:tc>
        <w:tc>
          <w:tcPr>
            <w:tcW w:w="3300" w:type="dxa"/>
            <w:vAlign w:val="bottom"/>
          </w:tcPr>
          <w:p>
            <w:pPr>
              <w:spacing w:after="0"/>
              <w:rPr>
                <w:sz w:val="24"/>
                <w:szCs w:val="24"/>
                <w:color w:val="auto"/>
              </w:rPr>
            </w:pP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00" w:type="dxa"/>
            <w:vAlign w:val="bottom"/>
          </w:tcPr>
          <w:p>
            <w:pPr>
              <w:spacing w:after="0"/>
              <w:rPr>
                <w:sz w:val="15"/>
                <w:szCs w:val="15"/>
                <w:color w:val="auto"/>
              </w:rPr>
            </w:pP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2001......................................</w:t>
            </w: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$ 27,100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2002......................................</w:t>
            </w: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27,000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2003......................................</w:t>
            </w: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22,800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2004......................................</w:t>
            </w: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19,100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2005......................................</w:t>
            </w: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17,300</w:t>
            </w:r>
          </w:p>
        </w:tc>
      </w:tr>
      <w:tr>
        <w:trPr>
          <w:trHeight w:val="180"/>
        </w:trPr>
        <w:tc>
          <w:tcPr>
            <w:tcW w:w="4020" w:type="dxa"/>
            <w:vAlign w:val="bottom"/>
          </w:tcPr>
          <w:p>
            <w:pPr>
              <w:spacing w:after="0"/>
              <w:rPr>
                <w:sz w:val="15"/>
                <w:szCs w:val="15"/>
                <w:color w:val="auto"/>
              </w:rPr>
            </w:pP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spacing w:after="0"/>
              <w:rPr>
                <w:sz w:val="15"/>
                <w:szCs w:val="15"/>
                <w:color w:val="auto"/>
              </w:rPr>
            </w:pP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$113,300</w:t>
            </w:r>
          </w:p>
        </w:tc>
      </w:tr>
      <w:tr>
        <w:trPr>
          <w:trHeight w:val="180"/>
        </w:trPr>
        <w:tc>
          <w:tcPr>
            <w:tcW w:w="4020" w:type="dxa"/>
            <w:vAlign w:val="bottom"/>
          </w:tcPr>
          <w:p>
            <w:pPr>
              <w:spacing w:after="0"/>
              <w:rPr>
                <w:sz w:val="15"/>
                <w:szCs w:val="15"/>
                <w:color w:val="auto"/>
              </w:rPr>
            </w:pPr>
          </w:p>
        </w:tc>
        <w:tc>
          <w:tcPr>
            <w:tcW w:w="3300" w:type="dxa"/>
            <w:vAlign w:val="bottom"/>
          </w:tcPr>
          <w:p>
            <w:pPr>
              <w:jc w:val="right"/>
              <w:ind w:right="2362"/>
              <w:spacing w:after="0"/>
              <w:rPr>
                <w:sz w:val="20"/>
                <w:szCs w:val="20"/>
                <w:color w:val="auto"/>
              </w:rPr>
            </w:pPr>
            <w:r>
              <w:rPr>
                <w:rFonts w:ascii="Courier New" w:cs="Courier New" w:eastAsia="Courier New" w:hAnsi="Courier New"/>
                <w:sz w:val="16"/>
                <w:szCs w:val="16"/>
                <w:color w:val="auto"/>
              </w:rPr>
              <w:t>========</w:t>
            </w:r>
          </w:p>
        </w:tc>
      </w:tr>
      <w:tr>
        <w:trPr>
          <w:trHeight w:val="541"/>
        </w:trPr>
        <w:tc>
          <w:tcPr>
            <w:tcW w:w="73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Rent expense was approximately $20,400, $12,600 and $8,000 for 2000, 1999</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and 1998, respectively.</w:t>
            </w:r>
          </w:p>
        </w:tc>
        <w:tc>
          <w:tcPr>
            <w:tcW w:w="3300" w:type="dxa"/>
            <w:vAlign w:val="bottom"/>
          </w:tcPr>
          <w:p>
            <w:pPr>
              <w:spacing w:after="0"/>
              <w:rPr>
                <w:sz w:val="15"/>
                <w:szCs w:val="15"/>
                <w:color w:val="auto"/>
              </w:rPr>
            </w:pP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NOTE 15 -- EMPLOYEE BENEFITS</w:t>
            </w:r>
          </w:p>
        </w:tc>
        <w:tc>
          <w:tcPr>
            <w:tcW w:w="3300" w:type="dxa"/>
            <w:vAlign w:val="bottom"/>
          </w:tcPr>
          <w:p>
            <w:pPr>
              <w:spacing w:after="0"/>
              <w:rPr>
                <w:sz w:val="24"/>
                <w:szCs w:val="24"/>
                <w:color w:val="auto"/>
              </w:rPr>
            </w:pPr>
          </w:p>
        </w:tc>
      </w:tr>
    </w:tbl>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other noncurrent liabilities, is partially funded by amounts on deposit with insurance companies, which are included in other noncurrent assets. Severance pay expenses were approximately $17,614, $9,200 and $7,100 for 2000, 1999 and 1998, respectively.</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Company sponsors defined contribution plans covering substantially all employees in the U.S., U.K. and Canada. The plans provide for Company matching contributions based upon a percentage of the employees' voluntary contributions. The Company's 2000, 1999 and 1998 plan contributions were not significant.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 CAPITAL TRANSACTIONS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are details of the Ordinary Shares outstanding:</w:t>
      </w: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Courier New" w:cs="Courier New" w:eastAsia="Courier New" w:hAnsi="Courier New"/>
          <w:sz w:val="16"/>
          <w:szCs w:val="16"/>
          <w:color w:val="auto"/>
        </w:rPr>
        <w:t>AS OF SEPTEMBER 30,</w:t>
      </w:r>
    </w:p>
    <w:p>
      <w:pPr>
        <w:ind w:left="5540"/>
        <w:spacing w:after="0"/>
        <w:rPr>
          <w:sz w:val="20"/>
          <w:szCs w:val="20"/>
          <w:color w:val="auto"/>
        </w:rPr>
      </w:pPr>
      <w:r>
        <w:rPr>
          <w:rFonts w:ascii="Courier New" w:cs="Courier New" w:eastAsia="Courier New" w:hAnsi="Courier New"/>
          <w:sz w:val="16"/>
          <w:szCs w:val="16"/>
          <w:color w:val="auto"/>
        </w:rPr>
        <w:t>--------------------</w:t>
      </w:r>
    </w:p>
    <w:p>
      <w:pPr>
        <w:ind w:left="5720"/>
        <w:spacing w:after="0" w:line="237" w:lineRule="auto"/>
        <w:tabs>
          <w:tab w:leader="none" w:pos="682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ind w:left="5540"/>
        <w:spacing w:after="0"/>
        <w:tabs>
          <w:tab w:leader="none" w:pos="6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Ordinary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Non-Voting Ordinary Shares...............................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198,029</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23,136</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221,165</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174,590</w:t>
      </w:r>
    </w:p>
    <w:p>
      <w:pPr>
        <w:spacing w:after="0" w:line="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6"/>
          <w:szCs w:val="16"/>
          <w:color w:val="auto"/>
        </w:rPr>
        <w:t>24,210</w:t>
      </w:r>
    </w:p>
    <w:p>
      <w:pPr>
        <w:spacing w:after="0" w:line="4"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198,800</w:t>
      </w:r>
    </w:p>
    <w:p>
      <w:pPr>
        <w:spacing w:after="0" w:line="10"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40" w:space="200"/>
            <w:col w:w="640" w:space="480"/>
            <w:col w:w="3559"/>
          </w:cols>
          <w:pgMar w:left="240" w:top="293" w:right="1440" w:bottom="1440" w:gutter="0" w:footer="0" w:header="0"/>
          <w:type w:val="continuous"/>
        </w:sectPr>
      </w:pPr>
    </w:p>
    <w:p>
      <w:pPr>
        <w:spacing w:after="0" w:line="171" w:lineRule="exact"/>
        <w:rPr>
          <w:sz w:val="20"/>
          <w:szCs w:val="20"/>
          <w:color w:val="auto"/>
        </w:rPr>
      </w:pPr>
    </w:p>
    <w:p>
      <w:pPr>
        <w:jc w:val="both"/>
        <w:ind w:right="2819" w:firstLine="469"/>
        <w:spacing w:after="0" w:line="259" w:lineRule="auto"/>
        <w:rPr>
          <w:sz w:val="20"/>
          <w:szCs w:val="20"/>
          <w:color w:val="auto"/>
        </w:rPr>
      </w:pPr>
      <w:r>
        <w:rPr>
          <w:rFonts w:ascii="Courier New" w:cs="Courier New" w:eastAsia="Courier New" w:hAnsi="Courier New"/>
          <w:sz w:val="15"/>
          <w:szCs w:val="15"/>
          <w:color w:val="auto"/>
        </w:rPr>
        <w:t>All the Non-Voting Ordinary Shares are held by a single shareholder. Under the Company's Articles of Association, upon the transfer or sale of such shares to another party, the shares automatically convert to Voting Ordinary Shares.</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Company's capital transactions are described below:</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22, 1997, the Company entered into a Share Subscription Agreement, under which 11,072 Ordinary Shares and 990 voting shares (Voting Shares) and $3,268 principal amount of junior promissory notes were issued to certain investors. These notes were repaid in March 1998. Also, on September 22, 1997, the Company entered into a Conditional Investment Agreement whereby such investors were to be obligated to purchase 51,508 Ordinary Shares of the Company in second quarter 1998 for approximately $99,000, if the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293"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69</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Company achieved certain financial performance targets. In addition, the Company entered into a note purchase agreement with certain affiliates of the investors to issue, at its election, up to $125,000 of subordinated notes.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January 1998, the Company issued 36 additional Voting Shares at par value, which were redeemed in May 1998, as discussed below, and issued 2,584 contingently issuable Ordinary Shares, which were paid in advance in the amount of $2,000 pursuant to a 1995 Stock Subscription Agreements with certain shareholders.</w:t>
      </w:r>
    </w:p>
    <w:p>
      <w:pPr>
        <w:spacing w:after="0" w:line="187"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In January 1998, the Company's Board of Directors declared dividends of $478,684, which were paid at that time. The dividends were financed by the proceeds of the Credit Agreements and subordinated notes from affiliates of certain shareholders, and surplus working capital.</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March 1998, the Company issued 51,508 Ordinary Shares according to the Conditional Investment Agreement discussed above. The net proceeds to the Company after the deduction of transaction costs amounted to $96,448.</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After the initial public offering, all of the outstanding Non-Voting Ordinary Shares have been held by one existing shareholder of the Company. All references to the number of shares and earnings per share have been restated to reflect the stock split and the redemption of Voting Ordinary Shares has been given retroactive effect.</w:t>
      </w:r>
    </w:p>
    <w:p>
      <w:pPr>
        <w:spacing w:after="0" w:line="18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On June 19, 1998, the Company conducted an initial public offering on the New York Stock Exchange of 18,000 Ordinary Shares. Total net proceeds to the Company, after deduction of offering expenses and underwriting commissions, amounted to $234,190.</w:t>
      </w:r>
    </w:p>
    <w:p>
      <w:pPr>
        <w:spacing w:after="0" w:line="18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On June 7, 1999, the Company and certain shareholders of the Company completed a public offering pursuant to which the Company sold 2,000 Ordinary Shares. The net proceeds to the Company, after deduction of underwriting discounts and offering expenses, amounted to $41,384.</w:t>
      </w:r>
    </w:p>
    <w:p>
      <w:pPr>
        <w:spacing w:after="0" w:line="186"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On November 30, 1999 the Company issued 6,461 Ordinary Shares in connection with the acquisition of ITDS. On April 5, 2000 the Company issued 13,846 exchangeable shares in connection with the acquisition of Solect. See Note 3.</w:t>
      </w:r>
    </w:p>
    <w:p>
      <w:pPr>
        <w:spacing w:after="0" w:line="171"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Total proceeds from the exercise of employee stock options amounted to $21,360 in fiscal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 STOCK OPTION AND INCENTIVE PLAN</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January 1998, the Company adopted, and in January 1999 and January 2000 the Company amended, the Amdocs Limited 1998 Stock Option and Incentive Plan, as amended ("the Plan"). Under the provisions of the Plan, 13,300 Ordinary Shares are available to be granted to officers, directors, employees and consultants. Such options fully vest over two to nine years and have a term of ten years.</w:t>
      </w:r>
    </w:p>
    <w:p>
      <w:pPr>
        <w:spacing w:after="0" w:line="176"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On November 30, 1999, the Company issued 1,103 additional options in connection with the acquisition of ITDS to replace then issued ITDS options. On April 5, 2000, the Company issued 1,654 additional options in connection with the acquisition of Solect to replace then issued Solectoptions. See Note 3.</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293"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70</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summarizes information about share options, as well as</w:t>
      </w:r>
    </w:p>
    <w:tbl>
      <w:tblPr>
        <w:tblLayout w:type="fixed"/>
        <w:tblInd w:w="0" w:type="dxa"/>
        <w:tblCellMar>
          <w:top w:w="0" w:type="dxa"/>
          <w:left w:w="0" w:type="dxa"/>
          <w:bottom w:w="0" w:type="dxa"/>
          <w:right w:w="0" w:type="dxa"/>
        </w:tblCellMar>
      </w:tblPr>
      <w:tr>
        <w:trPr>
          <w:trHeight w:val="180"/>
        </w:trPr>
        <w:tc>
          <w:tcPr>
            <w:tcW w:w="6180" w:type="dxa"/>
            <w:vAlign w:val="bottom"/>
            <w:gridSpan w:val="2"/>
          </w:tcPr>
          <w:p>
            <w:pPr>
              <w:spacing w:after="0"/>
              <w:rPr>
                <w:sz w:val="20"/>
                <w:szCs w:val="20"/>
                <w:color w:val="auto"/>
              </w:rPr>
            </w:pPr>
            <w:r>
              <w:rPr>
                <w:rFonts w:ascii="Courier New" w:cs="Courier New" w:eastAsia="Courier New" w:hAnsi="Courier New"/>
                <w:sz w:val="16"/>
                <w:szCs w:val="16"/>
                <w:color w:val="auto"/>
                <w:w w:val="98"/>
              </w:rPr>
              <w:t>changes during the years ended September 30, 2000, 1999 and 1998:</w:t>
            </w:r>
          </w:p>
        </w:tc>
        <w:tc>
          <w:tcPr>
            <w:tcW w:w="1420" w:type="dxa"/>
            <w:vAlign w:val="bottom"/>
          </w:tcPr>
          <w:p>
            <w:pPr>
              <w:spacing w:after="0"/>
              <w:rPr>
                <w:sz w:val="15"/>
                <w:szCs w:val="15"/>
                <w:color w:val="auto"/>
              </w:rPr>
            </w:pPr>
          </w:p>
        </w:tc>
      </w:tr>
      <w:tr>
        <w:trPr>
          <w:trHeight w:val="721"/>
        </w:trPr>
        <w:tc>
          <w:tcPr>
            <w:tcW w:w="4960" w:type="dxa"/>
            <w:vAlign w:val="bottom"/>
          </w:tcPr>
          <w:p>
            <w:pPr>
              <w:spacing w:after="0"/>
              <w:rPr>
                <w:sz w:val="24"/>
                <w:szCs w:val="24"/>
                <w:color w:val="auto"/>
              </w:rPr>
            </w:pPr>
          </w:p>
        </w:tc>
        <w:tc>
          <w:tcPr>
            <w:tcW w:w="12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NUMBER OF</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WEIGHTED</w:t>
            </w:r>
          </w:p>
        </w:tc>
      </w:tr>
      <w:tr>
        <w:trPr>
          <w:trHeight w:val="180"/>
        </w:trPr>
        <w:tc>
          <w:tcPr>
            <w:tcW w:w="4960" w:type="dxa"/>
            <w:vAlign w:val="bottom"/>
          </w:tcPr>
          <w:p>
            <w:pPr>
              <w:spacing w:after="0"/>
              <w:rPr>
                <w:sz w:val="15"/>
                <w:szCs w:val="15"/>
                <w:color w:val="auto"/>
              </w:rPr>
            </w:pPr>
          </w:p>
        </w:tc>
        <w:tc>
          <w:tcPr>
            <w:tcW w:w="12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9"/>
              </w:rPr>
              <w:t>SHARE</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4960" w:type="dxa"/>
            <w:vAlign w:val="bottom"/>
          </w:tcPr>
          <w:p>
            <w:pPr>
              <w:spacing w:after="0"/>
              <w:rPr>
                <w:sz w:val="15"/>
                <w:szCs w:val="15"/>
                <w:color w:val="auto"/>
              </w:rPr>
            </w:pPr>
          </w:p>
        </w:tc>
        <w:tc>
          <w:tcPr>
            <w:tcW w:w="122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8"/>
              </w:rPr>
              <w:t>OPTIONS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0"/>
        </w:trPr>
        <w:tc>
          <w:tcPr>
            <w:tcW w:w="4960" w:type="dxa"/>
            <w:vAlign w:val="bottom"/>
          </w:tcPr>
          <w:p>
            <w:pPr>
              <w:spacing w:after="0"/>
              <w:rPr>
                <w:sz w:val="15"/>
                <w:szCs w:val="15"/>
                <w:color w:val="auto"/>
              </w:rPr>
            </w:pPr>
          </w:p>
        </w:tc>
        <w:tc>
          <w:tcPr>
            <w:tcW w:w="12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Outstanding as of October 1, 1997...................</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Granted.............................................</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3,527.4</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3.93</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Exercised...........................................</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Forfeited...........................................</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(7.8)</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1.92</w:t>
            </w:r>
          </w:p>
        </w:tc>
      </w:tr>
      <w:tr>
        <w:trPr>
          <w:trHeight w:val="180"/>
        </w:trPr>
        <w:tc>
          <w:tcPr>
            <w:tcW w:w="496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Outstanding as of September 30, 1998................</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3,519.6</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3.93</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Granted.............................................</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2,752.6</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21.67</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Exercised...........................................</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Forfeited...........................................</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(35.3)</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6.23</w:t>
            </w:r>
          </w:p>
        </w:tc>
      </w:tr>
      <w:tr>
        <w:trPr>
          <w:trHeight w:val="180"/>
        </w:trPr>
        <w:tc>
          <w:tcPr>
            <w:tcW w:w="496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Outstanding as of September 30, 1999................</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6,236.9</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11.75</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Granted.............................................</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4,948.7</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52.82</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Options exchanged in acquisitions...................</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2,756.7</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18.24</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Exercised...........................................</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(2,057.5)</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10.38</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Forfeited...........................................</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(656.7)</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30.11</w:t>
            </w:r>
          </w:p>
        </w:tc>
      </w:tr>
      <w:tr>
        <w:trPr>
          <w:trHeight w:val="180"/>
        </w:trPr>
        <w:tc>
          <w:tcPr>
            <w:tcW w:w="496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Outstanding as of September 30, 2000................</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11,228.1</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$30.62</w:t>
            </w:r>
          </w:p>
        </w:tc>
      </w:tr>
      <w:tr>
        <w:trPr>
          <w:trHeight w:val="180"/>
        </w:trPr>
        <w:tc>
          <w:tcPr>
            <w:tcW w:w="4960" w:type="dxa"/>
            <w:vAlign w:val="bottom"/>
          </w:tcPr>
          <w:p>
            <w:pPr>
              <w:spacing w:after="0"/>
              <w:rPr>
                <w:sz w:val="15"/>
                <w:szCs w:val="15"/>
                <w:color w:val="auto"/>
              </w:rPr>
            </w:pP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share options outstanding as of September 30, 2000:</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EXERCISABLE AS OF</w:t>
            </w:r>
          </w:p>
        </w:tc>
      </w:tr>
      <w:tr>
        <w:trPr>
          <w:trHeight w:val="180"/>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8"/>
              </w:rPr>
              <w:t>OUTSTANDING AS OF SEPTEMBER</w:t>
            </w: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30, 2000</w:t>
            </w:r>
          </w:p>
        </w:tc>
        <w:tc>
          <w:tcPr>
            <w:tcW w:w="1740" w:type="dxa"/>
            <w:vAlign w:val="bottom"/>
          </w:tcPr>
          <w:p>
            <w:pPr>
              <w:spacing w:after="0"/>
              <w:rPr>
                <w:sz w:val="15"/>
                <w:szCs w:val="15"/>
                <w:color w:val="auto"/>
              </w:rPr>
            </w:pPr>
          </w:p>
        </w:tc>
        <w:tc>
          <w:tcPr>
            <w:tcW w:w="30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SEPTEMBER 30, 2000</w:t>
            </w:r>
          </w:p>
        </w:tc>
      </w:tr>
      <w:tr>
        <w:trPr>
          <w:trHeight w:val="18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7"/>
              </w:rPr>
              <w:t>-------------------------------------------------------------------</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WEIGHTED</w:t>
            </w: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REMAINING</w:t>
            </w: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ind w:left="420"/>
              <w:spacing w:after="0"/>
              <w:rPr>
                <w:sz w:val="20"/>
                <w:szCs w:val="20"/>
                <w:color w:val="auto"/>
              </w:rPr>
            </w:pPr>
            <w:r>
              <w:rPr>
                <w:rFonts w:ascii="Courier New" w:cs="Courier New" w:eastAsia="Courier New" w:hAnsi="Courier New"/>
                <w:sz w:val="16"/>
                <w:szCs w:val="16"/>
                <w:color w:val="auto"/>
              </w:rPr>
              <w:t>NUMBER</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CONTRACTUAL</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LIFE</w:t>
            </w:r>
          </w:p>
        </w:tc>
        <w:tc>
          <w:tcPr>
            <w:tcW w:w="17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WEIGHTED AVERAGE</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NUMBER</w:t>
            </w:r>
          </w:p>
        </w:tc>
        <w:tc>
          <w:tcPr>
            <w:tcW w:w="1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WEIGHTED AVERAGE</w:t>
            </w:r>
          </w:p>
        </w:tc>
      </w:tr>
      <w:tr>
        <w:trPr>
          <w:trHeight w:val="180"/>
        </w:trPr>
        <w:tc>
          <w:tcPr>
            <w:tcW w:w="1360" w:type="dxa"/>
            <w:vAlign w:val="bottom"/>
            <w:gridSpan w:val="3"/>
          </w:tcPr>
          <w:p>
            <w:pPr>
              <w:spacing w:after="0"/>
              <w:rPr>
                <w:sz w:val="20"/>
                <w:szCs w:val="20"/>
                <w:color w:val="auto"/>
              </w:rPr>
            </w:pPr>
            <w:r>
              <w:rPr>
                <w:rFonts w:ascii="Courier New" w:cs="Courier New" w:eastAsia="Courier New" w:hAnsi="Courier New"/>
                <w:sz w:val="16"/>
                <w:szCs w:val="16"/>
                <w:color w:val="auto"/>
                <w:w w:val="99"/>
              </w:rPr>
              <w:t>EXERCISE PRICE</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OUTSTANDING</w:t>
            </w:r>
          </w:p>
        </w:tc>
        <w:tc>
          <w:tcPr>
            <w:tcW w:w="19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(IN YEARS)</w:t>
            </w:r>
          </w:p>
        </w:tc>
        <w:tc>
          <w:tcPr>
            <w:tcW w:w="17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EXERCISE PRICE</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EXERCISABLE</w:t>
            </w:r>
          </w:p>
        </w:tc>
        <w:tc>
          <w:tcPr>
            <w:tcW w:w="1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EXERCISE PRICE</w:t>
            </w:r>
          </w:p>
        </w:tc>
      </w:tr>
      <w:tr>
        <w:trPr>
          <w:trHeight w:val="18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w:t>
            </w:r>
          </w:p>
        </w:tc>
        <w:tc>
          <w:tcPr>
            <w:tcW w:w="150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3.01</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2,384.4</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7.68</w:t>
            </w:r>
          </w:p>
        </w:tc>
        <w:tc>
          <w:tcPr>
            <w:tcW w:w="760" w:type="dxa"/>
            <w:vAlign w:val="bottom"/>
          </w:tcPr>
          <w:p>
            <w:pPr>
              <w:spacing w:after="0"/>
              <w:rPr>
                <w:sz w:val="24"/>
                <w:szCs w:val="24"/>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$ 1.92</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640.7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$ 1.85</w:t>
            </w:r>
          </w:p>
        </w:tc>
      </w:tr>
      <w:tr>
        <w:trPr>
          <w:trHeight w:val="180"/>
        </w:trPr>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rPr>
              <w:t>8.75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- 16.75</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1,659.3</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8.22</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11.39</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261.5</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9.27</w:t>
            </w:r>
          </w:p>
        </w:tc>
      </w:tr>
      <w:tr>
        <w:trPr>
          <w:trHeight w:val="180"/>
        </w:trPr>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w w:val="91"/>
              </w:rPr>
              <w:t>18.70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- 28.05</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1,990.5</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8.72</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23.56</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88.3</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24.37</w:t>
            </w:r>
          </w:p>
        </w:tc>
      </w:tr>
      <w:tr>
        <w:trPr>
          <w:trHeight w:val="180"/>
        </w:trPr>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w w:val="91"/>
              </w:rPr>
              <w:t>28.06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- 37.40</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1,452.3</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9.15</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33.63</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20.1</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31.63</w:t>
            </w:r>
          </w:p>
        </w:tc>
      </w:tr>
      <w:tr>
        <w:trPr>
          <w:trHeight w:val="180"/>
        </w:trPr>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w w:val="91"/>
              </w:rPr>
              <w:t>37.41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- 46.74</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205.9</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7.10</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41.39</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125.9</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41.74</w:t>
            </w:r>
          </w:p>
        </w:tc>
      </w:tr>
      <w:tr>
        <w:trPr>
          <w:trHeight w:val="180"/>
        </w:trPr>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w w:val="91"/>
              </w:rPr>
              <w:t>53.19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- 65.44</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2,678.5</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9.74</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59.09</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44.8</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64.32</w:t>
            </w:r>
          </w:p>
        </w:tc>
      </w:tr>
      <w:tr>
        <w:trPr>
          <w:trHeight w:val="180"/>
        </w:trPr>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6"/>
                <w:szCs w:val="16"/>
                <w:color w:val="auto"/>
                <w:w w:val="91"/>
              </w:rPr>
              <w:t>65.45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- 77.25</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857.2</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9.51</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70.82</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100.3</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71.96</w:t>
            </w:r>
          </w:p>
        </w:tc>
      </w:tr>
    </w:tbl>
    <w:p>
      <w:pPr>
        <w:spacing w:after="0" w:line="36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share options outstanding as of September 30, 1999:</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EXERCISABLE AS OF</w:t>
            </w:r>
          </w:p>
        </w:tc>
      </w:tr>
      <w:tr>
        <w:trPr>
          <w:trHeight w:val="180"/>
        </w:trPr>
        <w:tc>
          <w:tcPr>
            <w:tcW w:w="1400" w:type="dxa"/>
            <w:vAlign w:val="bottom"/>
          </w:tcPr>
          <w:p>
            <w:pPr>
              <w:spacing w:after="0"/>
              <w:rPr>
                <w:sz w:val="15"/>
                <w:szCs w:val="15"/>
                <w:color w:val="auto"/>
              </w:rPr>
            </w:pPr>
          </w:p>
        </w:tc>
        <w:tc>
          <w:tcPr>
            <w:tcW w:w="26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OUTSTANDING AS OF SEPTEMBER</w:t>
            </w: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30, 1999</w:t>
            </w:r>
          </w:p>
        </w:tc>
        <w:tc>
          <w:tcPr>
            <w:tcW w:w="1740" w:type="dxa"/>
            <w:vAlign w:val="bottom"/>
          </w:tcPr>
          <w:p>
            <w:pPr>
              <w:spacing w:after="0"/>
              <w:rPr>
                <w:sz w:val="15"/>
                <w:szCs w:val="15"/>
                <w:color w:val="auto"/>
              </w:rPr>
            </w:pPr>
          </w:p>
        </w:tc>
        <w:tc>
          <w:tcPr>
            <w:tcW w:w="30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SEPTEMBER 30, 1999</w:t>
            </w: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9"/>
                <w:szCs w:val="9"/>
                <w:color w:val="auto"/>
                <w:w w:val="76"/>
              </w:rPr>
              <w:t>- -------------------------------------------------------------------</w:t>
            </w: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WEIGHTED</w:t>
            </w: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c>
          <w:tcPr>
            <w:tcW w:w="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REMAINING</w:t>
            </w:r>
          </w:p>
        </w:tc>
        <w:tc>
          <w:tcPr>
            <w:tcW w:w="1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NUMBER</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CONTRACTUAL</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LIFE</w:t>
            </w:r>
          </w:p>
        </w:tc>
        <w:tc>
          <w:tcPr>
            <w:tcW w:w="17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WEIGHTED AVERAGE</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NUMBER</w:t>
            </w:r>
          </w:p>
        </w:tc>
        <w:tc>
          <w:tcPr>
            <w:tcW w:w="1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WEIGHTED AVERAGE</w:t>
            </w:r>
          </w:p>
        </w:tc>
      </w:tr>
      <w:tr>
        <w:trPr>
          <w:trHeight w:val="180"/>
        </w:trPr>
        <w:tc>
          <w:tcPr>
            <w:tcW w:w="1400" w:type="dxa"/>
            <w:vAlign w:val="bottom"/>
          </w:tcPr>
          <w:p>
            <w:pPr>
              <w:jc w:val="right"/>
              <w:ind w:right="27"/>
              <w:spacing w:after="0"/>
              <w:rPr>
                <w:sz w:val="20"/>
                <w:szCs w:val="20"/>
                <w:color w:val="auto"/>
              </w:rPr>
            </w:pPr>
            <w:r>
              <w:rPr>
                <w:rFonts w:ascii="Courier New" w:cs="Courier New" w:eastAsia="Courier New" w:hAnsi="Courier New"/>
                <w:sz w:val="16"/>
                <w:szCs w:val="16"/>
                <w:color w:val="auto"/>
                <w:w w:val="95"/>
              </w:rPr>
              <w:t>EXERCISE PRICE</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OUTSTANDING</w:t>
            </w:r>
          </w:p>
        </w:tc>
        <w:tc>
          <w:tcPr>
            <w:tcW w:w="19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(IN YEARS)</w:t>
            </w:r>
          </w:p>
        </w:tc>
        <w:tc>
          <w:tcPr>
            <w:tcW w:w="17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EXERCISE PRICE</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EXERCISABLE</w:t>
            </w:r>
          </w:p>
        </w:tc>
        <w:tc>
          <w:tcPr>
            <w:tcW w:w="1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EXERCISE PRICE</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w w:val="89"/>
              </w:rPr>
              <w:t>- --------------</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00" w:type="dxa"/>
            <w:vAlign w:val="bottom"/>
          </w:tcPr>
          <w:p>
            <w:pPr>
              <w:jc w:val="right"/>
              <w:ind w:right="487"/>
              <w:spacing w:after="0"/>
              <w:rPr>
                <w:sz w:val="20"/>
                <w:szCs w:val="20"/>
                <w:color w:val="auto"/>
              </w:rPr>
            </w:pPr>
            <w:r>
              <w:rPr>
                <w:rFonts w:ascii="Courier New" w:cs="Courier New" w:eastAsia="Courier New" w:hAnsi="Courier New"/>
                <w:sz w:val="16"/>
                <w:szCs w:val="16"/>
                <w:color w:val="auto"/>
              </w:rPr>
              <w:t>$1.92</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2,492.6</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8.27</w:t>
            </w:r>
          </w:p>
        </w:tc>
        <w:tc>
          <w:tcPr>
            <w:tcW w:w="760" w:type="dxa"/>
            <w:vAlign w:val="bottom"/>
          </w:tcPr>
          <w:p>
            <w:pPr>
              <w:spacing w:after="0"/>
              <w:rPr>
                <w:sz w:val="24"/>
                <w:szCs w:val="24"/>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$ 1.92</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  --</w:t>
            </w:r>
          </w:p>
        </w:tc>
      </w:tr>
      <w:tr>
        <w:trPr>
          <w:trHeight w:val="180"/>
        </w:trPr>
        <w:tc>
          <w:tcPr>
            <w:tcW w:w="1400" w:type="dxa"/>
            <w:vAlign w:val="bottom"/>
          </w:tcPr>
          <w:p>
            <w:pPr>
              <w:jc w:val="right"/>
              <w:ind w:right="27"/>
              <w:spacing w:after="0"/>
              <w:rPr>
                <w:sz w:val="20"/>
                <w:szCs w:val="20"/>
                <w:color w:val="auto"/>
              </w:rPr>
            </w:pPr>
            <w:r>
              <w:rPr>
                <w:rFonts w:ascii="Courier New" w:cs="Courier New" w:eastAsia="Courier New" w:hAnsi="Courier New"/>
                <w:sz w:val="16"/>
                <w:szCs w:val="16"/>
                <w:color w:val="auto"/>
              </w:rPr>
              <w:t>8.75 - 16.75</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1,613.4</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9.08</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11.62</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166.75</w:t>
            </w:r>
          </w:p>
        </w:tc>
        <w:tc>
          <w:tcPr>
            <w:tcW w:w="17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9.08</w:t>
            </w:r>
          </w:p>
        </w:tc>
      </w:tr>
      <w:tr>
        <w:trPr>
          <w:trHeight w:val="180"/>
        </w:trPr>
        <w:tc>
          <w:tcPr>
            <w:tcW w:w="1400" w:type="dxa"/>
            <w:vAlign w:val="bottom"/>
          </w:tcPr>
          <w:p>
            <w:pPr>
              <w:jc w:val="right"/>
              <w:ind w:right="27"/>
              <w:spacing w:after="0"/>
              <w:rPr>
                <w:sz w:val="20"/>
                <w:szCs w:val="20"/>
                <w:color w:val="auto"/>
              </w:rPr>
            </w:pPr>
            <w:r>
              <w:rPr>
                <w:rFonts w:ascii="Courier New" w:cs="Courier New" w:eastAsia="Courier New" w:hAnsi="Courier New"/>
                <w:sz w:val="16"/>
                <w:szCs w:val="16"/>
                <w:color w:val="auto"/>
              </w:rPr>
              <w:t>21.90 - 23.63</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2,130.9</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9.82</w:t>
            </w:r>
          </w:p>
        </w:tc>
        <w:tc>
          <w:tcPr>
            <w:tcW w:w="760" w:type="dxa"/>
            <w:vAlign w:val="bottom"/>
          </w:tcPr>
          <w:p>
            <w:pPr>
              <w:spacing w:after="0"/>
              <w:rPr>
                <w:sz w:val="15"/>
                <w:szCs w:val="15"/>
                <w:color w:val="auto"/>
              </w:rPr>
            </w:pPr>
          </w:p>
        </w:tc>
        <w:tc>
          <w:tcPr>
            <w:tcW w:w="17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23.34</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3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93" w:right="1440" w:bottom="1440" w:gutter="0" w:footer="0" w:header="0"/>
          <w:type w:val="continuous"/>
        </w:sectPr>
      </w:pPr>
    </w:p>
    <w:bookmarkStart w:id="71" w:name="page72"/>
    <w:bookmarkEnd w:id="71"/>
    <w:p>
      <w:pPr>
        <w:ind w:left="284"/>
        <w:spacing w:after="0"/>
        <w:rPr>
          <w:sz w:val="20"/>
          <w:szCs w:val="20"/>
          <w:color w:val="auto"/>
        </w:rPr>
      </w:pPr>
      <w:r>
        <w:rPr>
          <w:rFonts w:ascii="Courier New" w:cs="Courier New" w:eastAsia="Courier New" w:hAnsi="Courier New"/>
          <w:sz w:val="16"/>
          <w:szCs w:val="16"/>
          <w:color w:val="auto"/>
        </w:rPr>
        <w:t>71</w:t>
      </w:r>
    </w:p>
    <w:p>
      <w:pPr>
        <w:jc w:val="center"/>
        <w:ind w:right="2715"/>
        <w:spacing w:after="0"/>
        <w:rPr>
          <w:sz w:val="20"/>
          <w:szCs w:val="20"/>
          <w:color w:val="auto"/>
        </w:rPr>
      </w:pPr>
      <w:r>
        <w:rPr>
          <w:rFonts w:ascii="Courier New" w:cs="Courier New" w:eastAsia="Courier New" w:hAnsi="Courier New"/>
          <w:sz w:val="16"/>
          <w:szCs w:val="16"/>
          <w:color w:val="auto"/>
        </w:rPr>
        <w:t>AMDOCS LIMITED</w:t>
      </w:r>
    </w:p>
    <w:p>
      <w:pPr>
        <w:jc w:val="center"/>
        <w:ind w:right="2815"/>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The</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w w:val="97"/>
              </w:rPr>
              <w:t>weighted average grant-date fair value of the</w:t>
            </w:r>
          </w:p>
        </w:tc>
        <w:tc>
          <w:tcPr>
            <w:tcW w:w="1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4,948.7 and 2,752.6</w:t>
            </w:r>
          </w:p>
        </w:tc>
        <w:tc>
          <w:tcPr>
            <w:tcW w:w="560" w:type="dxa"/>
            <w:vAlign w:val="bottom"/>
          </w:tcPr>
          <w:p>
            <w:pPr>
              <w:spacing w:after="0"/>
              <w:rPr>
                <w:sz w:val="15"/>
                <w:szCs w:val="15"/>
                <w:color w:val="auto"/>
              </w:rPr>
            </w:pPr>
          </w:p>
        </w:tc>
      </w:tr>
      <w:tr>
        <w:trPr>
          <w:trHeight w:val="180"/>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w w:val="97"/>
              </w:rPr>
              <w:t>options granted amounted to $35.71 and $13.92 for 2000</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w w:val="94"/>
              </w:rPr>
              <w:t>and 1999,</w:t>
            </w:r>
          </w:p>
        </w:tc>
        <w:tc>
          <w:tcPr>
            <w:tcW w:w="1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respectively,</w:t>
            </w:r>
          </w:p>
        </w:tc>
      </w:tr>
      <w:tr>
        <w:trPr>
          <w:trHeight w:val="180"/>
        </w:trPr>
        <w:tc>
          <w:tcPr>
            <w:tcW w:w="6940" w:type="dxa"/>
            <w:vAlign w:val="bottom"/>
            <w:gridSpan w:val="4"/>
          </w:tcPr>
          <w:p>
            <w:pPr>
              <w:spacing w:after="0"/>
              <w:rPr>
                <w:sz w:val="20"/>
                <w:szCs w:val="20"/>
                <w:color w:val="auto"/>
              </w:rPr>
            </w:pPr>
            <w:r>
              <w:rPr>
                <w:rFonts w:ascii="Courier New" w:cs="Courier New" w:eastAsia="Courier New" w:hAnsi="Courier New"/>
                <w:sz w:val="16"/>
                <w:szCs w:val="16"/>
                <w:color w:val="auto"/>
                <w:w w:val="97"/>
              </w:rPr>
              <w:t>per option. The Company utilized the Black-Scholes option-pricing model to</w:t>
            </w:r>
          </w:p>
        </w:tc>
        <w:tc>
          <w:tcPr>
            <w:tcW w:w="560" w:type="dxa"/>
            <w:vAlign w:val="bottom"/>
          </w:tcPr>
          <w:p>
            <w:pPr>
              <w:spacing w:after="0"/>
              <w:rPr>
                <w:sz w:val="15"/>
                <w:szCs w:val="15"/>
                <w:color w:val="auto"/>
              </w:rPr>
            </w:pP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estimate</w:t>
            </w:r>
          </w:p>
        </w:tc>
        <w:tc>
          <w:tcPr>
            <w:tcW w:w="5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fair value, utilizing the following assumptions for the</w:t>
            </w:r>
          </w:p>
        </w:tc>
        <w:tc>
          <w:tcPr>
            <w:tcW w:w="1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year (all in</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weighted</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averages):</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721"/>
        </w:trPr>
        <w:tc>
          <w:tcPr>
            <w:tcW w:w="8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YEAR ENDED SEPTEMBER 30,</w:t>
            </w:r>
          </w:p>
        </w:tc>
      </w:tr>
      <w:tr>
        <w:trPr>
          <w:trHeight w:val="180"/>
        </w:trPr>
        <w:tc>
          <w:tcPr>
            <w:tcW w:w="8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8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8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060" w:type="dxa"/>
            <w:vAlign w:val="bottom"/>
            <w:gridSpan w:val="2"/>
          </w:tcPr>
          <w:p>
            <w:pPr>
              <w:spacing w:after="0"/>
              <w:rPr>
                <w:sz w:val="20"/>
                <w:szCs w:val="20"/>
                <w:color w:val="auto"/>
              </w:rPr>
            </w:pPr>
            <w:r>
              <w:rPr>
                <w:rFonts w:ascii="Courier New" w:cs="Courier New" w:eastAsia="Courier New" w:hAnsi="Courier New"/>
                <w:sz w:val="16"/>
                <w:szCs w:val="16"/>
                <w:color w:val="auto"/>
              </w:rPr>
              <w:t>Risk-free interest rate.............................</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5.75%</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5.24%</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life of options............................</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9.51</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7.3</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annual volatility..........................</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1.086</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1"/>
              </w:rPr>
              <w:t>0.550</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0.945</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dividend yield.............................</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None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None</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None</w:t>
            </w:r>
          </w:p>
        </w:tc>
      </w:tr>
    </w:tbl>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Had compensation cost for the Company's options been determined based on fair value at the grant dates for awards made in 2000, 1999 and 1998 in accordance with SFAS 123, the Company's pro forma net income (loss) and earnings (loss) per share would have been as follows:</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920" w:type="dxa"/>
            <w:vAlign w:val="bottom"/>
            <w:gridSpan w:val="5"/>
          </w:tcPr>
          <w:p>
            <w:pPr>
              <w:jc w:val="right"/>
              <w:ind w:right="302"/>
              <w:spacing w:after="0"/>
              <w:rPr>
                <w:sz w:val="20"/>
                <w:szCs w:val="20"/>
                <w:color w:val="auto"/>
              </w:rPr>
            </w:pPr>
            <w:r>
              <w:rPr>
                <w:rFonts w:ascii="Courier New" w:cs="Courier New" w:eastAsia="Courier New" w:hAnsi="Courier New"/>
                <w:sz w:val="16"/>
                <w:szCs w:val="16"/>
                <w:color w:val="auto"/>
              </w:rPr>
              <w:t>YEAR ENDED SEPTEMBER 30,</w:t>
            </w:r>
          </w:p>
        </w:tc>
        <w:tc>
          <w:tcPr>
            <w:tcW w:w="6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92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6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1999</w:t>
            </w:r>
          </w:p>
        </w:tc>
        <w:tc>
          <w:tcPr>
            <w:tcW w:w="11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1998</w:t>
            </w:r>
          </w:p>
        </w:tc>
        <w:tc>
          <w:tcPr>
            <w:tcW w:w="6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361"/>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rPr>
              <w:t>Pro forma net income (loss)..................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$(23,022)</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$92,624</w:t>
            </w:r>
          </w:p>
        </w:tc>
        <w:tc>
          <w:tcPr>
            <w:tcW w:w="1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$29,463</w:t>
            </w:r>
          </w:p>
        </w:tc>
        <w:tc>
          <w:tcPr>
            <w:tcW w:w="640" w:type="dxa"/>
            <w:vAlign w:val="bottom"/>
          </w:tcPr>
          <w:p>
            <w:pPr>
              <w:spacing w:after="0"/>
              <w:rPr>
                <w:sz w:val="24"/>
                <w:szCs w:val="24"/>
                <w:color w:val="auto"/>
              </w:rPr>
            </w:pPr>
          </w:p>
        </w:tc>
      </w:tr>
      <w:tr>
        <w:trPr>
          <w:trHeight w:val="180"/>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rPr>
              <w:t>Pro forma diluted earnings (loss) per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1260" w:type="dxa"/>
            <w:vAlign w:val="bottom"/>
            <w:gridSpan w:val="2"/>
          </w:tcPr>
          <w:p>
            <w:pPr>
              <w:ind w:left="180"/>
              <w:spacing w:after="0"/>
              <w:rPr>
                <w:sz w:val="20"/>
                <w:szCs w:val="20"/>
                <w:color w:val="auto"/>
              </w:rPr>
            </w:pPr>
            <w:r>
              <w:rPr>
                <w:rFonts w:ascii="Courier New" w:cs="Courier New" w:eastAsia="Courier New" w:hAnsi="Courier New"/>
                <w:sz w:val="4"/>
                <w:szCs w:val="4"/>
                <w:color w:val="auto"/>
              </w:rPr>
              <w:t>share......................................</w:t>
            </w:r>
          </w:p>
        </w:tc>
        <w:tc>
          <w:tcPr>
            <w:tcW w:w="3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5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0.46</w:t>
            </w:r>
          </w:p>
        </w:tc>
        <w:tc>
          <w:tcPr>
            <w:tcW w:w="66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0.18</w:t>
            </w:r>
          </w:p>
        </w:tc>
        <w:tc>
          <w:tcPr>
            <w:tcW w:w="640" w:type="dxa"/>
            <w:vAlign w:val="bottom"/>
          </w:tcPr>
          <w:p>
            <w:pPr>
              <w:spacing w:after="0"/>
              <w:rPr>
                <w:sz w:val="15"/>
                <w:szCs w:val="15"/>
                <w:color w:val="auto"/>
              </w:rPr>
            </w:pPr>
          </w:p>
        </w:tc>
      </w:tr>
      <w:tr>
        <w:trPr>
          <w:trHeight w:val="541"/>
        </w:trPr>
        <w:tc>
          <w:tcPr>
            <w:tcW w:w="1020" w:type="dxa"/>
            <w:vAlign w:val="bottom"/>
          </w:tcPr>
          <w:p>
            <w:pPr>
              <w:spacing w:after="0"/>
              <w:rPr>
                <w:sz w:val="20"/>
                <w:szCs w:val="20"/>
                <w:color w:val="auto"/>
              </w:rPr>
            </w:pPr>
            <w:r>
              <w:rPr>
                <w:rFonts w:ascii="Courier New" w:cs="Courier New" w:eastAsia="Courier New" w:hAnsi="Courier New"/>
                <w:sz w:val="16"/>
                <w:szCs w:val="16"/>
                <w:color w:val="auto"/>
              </w:rPr>
              <w:t>NOTE 18 --</w:t>
            </w:r>
          </w:p>
        </w:tc>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1"/>
        </w:trPr>
        <w:tc>
          <w:tcPr>
            <w:tcW w:w="6840" w:type="dxa"/>
            <w:vAlign w:val="bottom"/>
            <w:gridSpan w:val="7"/>
          </w:tcPr>
          <w:p>
            <w:pPr>
              <w:ind w:left="460"/>
              <w:spacing w:after="0"/>
              <w:rPr>
                <w:sz w:val="20"/>
                <w:szCs w:val="20"/>
                <w:color w:val="auto"/>
              </w:rPr>
            </w:pPr>
            <w:r>
              <w:rPr>
                <w:rFonts w:ascii="Courier New" w:cs="Courier New" w:eastAsia="Courier New" w:hAnsi="Courier New"/>
                <w:sz w:val="16"/>
                <w:szCs w:val="16"/>
                <w:color w:val="auto"/>
                <w:w w:val="98"/>
              </w:rPr>
              <w:t>The following table sets forth the computation of basic and diluted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0"/>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rPr>
              <w:t>earnings per share:</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721"/>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2200" w:type="dxa"/>
            <w:vAlign w:val="bottom"/>
            <w:gridSpan w:val="4"/>
          </w:tcPr>
          <w:p>
            <w:pPr>
              <w:jc w:val="right"/>
              <w:ind w:right="282"/>
              <w:spacing w:after="0"/>
              <w:rPr>
                <w:sz w:val="20"/>
                <w:szCs w:val="20"/>
                <w:color w:val="auto"/>
              </w:rPr>
            </w:pPr>
            <w:r>
              <w:rPr>
                <w:rFonts w:ascii="Courier New" w:cs="Courier New" w:eastAsia="Courier New" w:hAnsi="Courier New"/>
                <w:sz w:val="16"/>
                <w:szCs w:val="16"/>
                <w:color w:val="auto"/>
                <w:w w:val="99"/>
              </w:rPr>
              <w:t>ENDED SEPTEMBER 30,</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5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02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0"/>
        </w:trPr>
        <w:tc>
          <w:tcPr>
            <w:tcW w:w="44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9"/>
              </w:rPr>
              <w:t>Income before cumulative effect..................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5,978</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$ 98,543</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$ 30,384</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rPr>
              <w:t>Denominator:</w:t>
            </w:r>
          </w:p>
        </w:tc>
        <w:tc>
          <w:tcPr>
            <w:tcW w:w="3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12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Denominator</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for basic earnings per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1020" w:type="dxa"/>
            <w:vAlign w:val="bottom"/>
          </w:tcPr>
          <w:p>
            <w:pPr>
              <w:ind w:left="460"/>
              <w:spacing w:after="0"/>
              <w:rPr>
                <w:sz w:val="20"/>
                <w:szCs w:val="20"/>
                <w:color w:val="auto"/>
              </w:rPr>
            </w:pPr>
            <w:r>
              <w:rPr>
                <w:rFonts w:ascii="Courier New" w:cs="Courier New" w:eastAsia="Courier New" w:hAnsi="Courier New"/>
                <w:sz w:val="16"/>
                <w:szCs w:val="16"/>
                <w:color w:val="auto"/>
              </w:rPr>
              <w:t>share</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w w:val="97"/>
              </w:rPr>
              <w:t>weighted average number of shares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440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88"/>
              </w:rPr>
              <w:t>outstanding(*)................................</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212,005</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197,436</w:t>
            </w: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158,528</w:t>
            </w:r>
          </w:p>
        </w:tc>
      </w:tr>
      <w:tr>
        <w:trPr>
          <w:trHeight w:val="180"/>
        </w:trPr>
        <w:tc>
          <w:tcPr>
            <w:tcW w:w="524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Effect of dilutive stock options granted.........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4,930</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2,826</w:t>
            </w: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914</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2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Denominator</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for dilutive earnings per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1020" w:type="dxa"/>
            <w:vAlign w:val="bottom"/>
          </w:tcPr>
          <w:p>
            <w:pPr>
              <w:ind w:left="460"/>
              <w:spacing w:after="0"/>
              <w:rPr>
                <w:sz w:val="20"/>
                <w:szCs w:val="20"/>
                <w:color w:val="auto"/>
              </w:rPr>
            </w:pPr>
            <w:r>
              <w:rPr>
                <w:rFonts w:ascii="Courier New" w:cs="Courier New" w:eastAsia="Courier New" w:hAnsi="Courier New"/>
                <w:sz w:val="16"/>
                <w:szCs w:val="16"/>
                <w:color w:val="auto"/>
              </w:rPr>
              <w:t>share</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adjusted weighted average shares and</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440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88"/>
              </w:rPr>
              <w:t>assumed conversions(*)........................</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216,935</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200,262</w:t>
            </w: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159,442</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w w:val="89"/>
              </w:rPr>
              <w:t>Basic earnings per share...........................</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gridSpan w:val="3"/>
          </w:tcPr>
          <w:p>
            <w:pPr>
              <w:spacing w:after="0"/>
              <w:rPr>
                <w:sz w:val="20"/>
                <w:szCs w:val="20"/>
                <w:color w:val="auto"/>
              </w:rPr>
            </w:pPr>
            <w:r>
              <w:rPr>
                <w:rFonts w:ascii="Courier New" w:cs="Courier New" w:eastAsia="Courier New" w:hAnsi="Courier New"/>
                <w:sz w:val="16"/>
                <w:szCs w:val="16"/>
                <w:color w:val="auto"/>
                <w:w w:val="89"/>
              </w:rPr>
              <w:t>Diluted earnings per share.........................</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r>
      <w:tr>
        <w:trPr>
          <w:trHeight w:val="180"/>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184" w:hanging="184"/>
        <w:spacing w:after="0"/>
        <w:tabs>
          <w:tab w:leader="none" w:pos="1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rFonts w:ascii="Courier New" w:cs="Courier New" w:eastAsia="Courier New" w:hAnsi="Courier New"/>
          <w:sz w:val="16"/>
          <w:szCs w:val="16"/>
          <w:color w:val="auto"/>
        </w:rPr>
      </w:pPr>
    </w:p>
    <w:p>
      <w:pPr>
        <w:ind w:left="944" w:right="2819" w:hanging="475"/>
        <w:spacing w:after="0" w:line="236" w:lineRule="auto"/>
        <w:tabs>
          <w:tab w:leader="none" w:pos="94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number of shares outstanding includes the Solect exchangeable shares.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NOTE 19 -- SEGMENT INFORMATION AND SALES TO SIGNIFICANT CUSTOMERS</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GEOGRAPHIC INFORMATION</w:t>
      </w:r>
    </w:p>
    <w:p>
      <w:pPr>
        <w:spacing w:after="0" w:line="185"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The following is a summary of revenue and long-lived assets by geographic area. Revenue is attributed to geographic region based on the location of the customers.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23"/>
          </w:cols>
          <w:pgMar w:left="236" w:top="293" w:right="1440" w:bottom="468" w:gutter="0" w:footer="0" w:header="0"/>
        </w:sectPr>
      </w:pPr>
    </w:p>
    <w:bookmarkStart w:id="72" w:name="page73"/>
    <w:bookmarkEnd w:id="72"/>
    <w:tbl>
      <w:tblPr>
        <w:tblLayout w:type="fixed"/>
        <w:tblInd w:w="4" w:type="dxa"/>
        <w:tblCellMar>
          <w:top w:w="0" w:type="dxa"/>
          <w:left w:w="0" w:type="dxa"/>
          <w:bottom w:w="0" w:type="dxa"/>
          <w:right w:w="0" w:type="dxa"/>
        </w:tblCellMar>
      </w:tblPr>
      <w:tr>
        <w:trPr>
          <w:trHeight w:val="181"/>
        </w:trPr>
        <w:tc>
          <w:tcPr>
            <w:tcW w:w="1960" w:type="dxa"/>
            <w:vAlign w:val="bottom"/>
          </w:tcPr>
          <w:p>
            <w:pPr>
              <w:ind w:left="280"/>
              <w:spacing w:after="0"/>
              <w:rPr>
                <w:sz w:val="20"/>
                <w:szCs w:val="20"/>
                <w:color w:val="auto"/>
              </w:rPr>
            </w:pPr>
            <w:r>
              <w:rPr>
                <w:rFonts w:ascii="Courier New" w:cs="Courier New" w:eastAsia="Courier New" w:hAnsi="Courier New"/>
                <w:sz w:val="16"/>
                <w:szCs w:val="16"/>
                <w:color w:val="auto"/>
              </w:rPr>
              <w:t>72</w:t>
            </w:r>
          </w:p>
        </w:tc>
        <w:tc>
          <w:tcPr>
            <w:tcW w:w="3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334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AMDOCS LIMITED</w:t>
            </w: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TO CONSOLIDATED FINANCIAL STATEMENTS --</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(CONTINUED)</w:t>
            </w:r>
          </w:p>
        </w:tc>
        <w:tc>
          <w:tcPr>
            <w:tcW w:w="80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4560" w:type="dxa"/>
            <w:vAlign w:val="bottom"/>
            <w:gridSpan w:val="2"/>
          </w:tcPr>
          <w:p>
            <w:pPr>
              <w:jc w:val="right"/>
              <w:ind w:right="1002"/>
              <w:spacing w:after="0"/>
              <w:rPr>
                <w:sz w:val="20"/>
                <w:szCs w:val="20"/>
                <w:color w:val="auto"/>
              </w:rPr>
            </w:pPr>
            <w:r>
              <w:rPr>
                <w:rFonts w:ascii="Courier New" w:cs="Courier New" w:eastAsia="Courier New" w:hAnsi="Courier New"/>
                <w:sz w:val="16"/>
                <w:szCs w:val="16"/>
                <w:color w:val="auto"/>
                <w:w w:val="97"/>
              </w:rPr>
              <w:t>(IN THOUSANDS, EXCEPT PER SHARE DATA)</w:t>
            </w:r>
          </w:p>
        </w:tc>
        <w:tc>
          <w:tcPr>
            <w:tcW w:w="800" w:type="dxa"/>
            <w:vAlign w:val="bottom"/>
          </w:tcPr>
          <w:p>
            <w:pPr>
              <w:spacing w:after="0"/>
              <w:rPr>
                <w:sz w:val="15"/>
                <w:szCs w:val="15"/>
                <w:color w:val="auto"/>
              </w:rPr>
            </w:pPr>
          </w:p>
        </w:tc>
      </w:tr>
      <w:tr>
        <w:trPr>
          <w:trHeight w:val="721"/>
        </w:trPr>
        <w:tc>
          <w:tcPr>
            <w:tcW w:w="1960" w:type="dxa"/>
            <w:vAlign w:val="bottom"/>
          </w:tcPr>
          <w:p>
            <w:pPr>
              <w:spacing w:after="0"/>
              <w:rPr>
                <w:sz w:val="24"/>
                <w:szCs w:val="24"/>
                <w:color w:val="auto"/>
              </w:rPr>
            </w:pPr>
          </w:p>
        </w:tc>
        <w:tc>
          <w:tcPr>
            <w:tcW w:w="4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SEPTEMBER</w:t>
            </w:r>
          </w:p>
        </w:tc>
        <w:tc>
          <w:tcPr>
            <w:tcW w:w="8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w:t>
            </w:r>
          </w:p>
        </w:tc>
      </w:tr>
      <w:tr>
        <w:trPr>
          <w:trHeight w:val="180"/>
        </w:trPr>
        <w:tc>
          <w:tcPr>
            <w:tcW w:w="1960" w:type="dxa"/>
            <w:vAlign w:val="bottom"/>
          </w:tcPr>
          <w:p>
            <w:pPr>
              <w:spacing w:after="0"/>
              <w:rPr>
                <w:sz w:val="15"/>
                <w:szCs w:val="15"/>
                <w:color w:val="auto"/>
              </w:rPr>
            </w:pPr>
          </w:p>
        </w:tc>
        <w:tc>
          <w:tcPr>
            <w:tcW w:w="53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North America.............................</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510,129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$226,387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$210,867</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Europe....................................</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474,300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261,726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109,752</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Australia.................................</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51,093</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61,237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33,215</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Other.....................................</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82,798</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77,505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49,933</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ind w:left="180"/>
              <w:spacing w:after="0"/>
              <w:rPr>
                <w:sz w:val="20"/>
                <w:szCs w:val="20"/>
                <w:color w:val="auto"/>
              </w:rPr>
            </w:pPr>
            <w:r>
              <w:rPr>
                <w:rFonts w:ascii="Courier New" w:cs="Courier New" w:eastAsia="Courier New" w:hAnsi="Courier New"/>
                <w:sz w:val="10"/>
                <w:szCs w:val="10"/>
                <w:color w:val="auto"/>
                <w:w w:val="73"/>
              </w:rPr>
              <w:t>Total...................................</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$1,118,320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$626,855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$403,767</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rPr>
              <w:t>LONG-LIVED ASSETS</w:t>
            </w:r>
          </w:p>
        </w:tc>
        <w:tc>
          <w:tcPr>
            <w:tcW w:w="3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North America(*)..........................</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$1,041,383</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$ 35,228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$ 30,441</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Israel(**)................................</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85,518</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61,472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38,917</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0"/>
                <w:szCs w:val="10"/>
                <w:color w:val="auto"/>
                <w:w w:val="76"/>
              </w:rPr>
              <w:t>Other.....................................</w:t>
            </w: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33,466</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18,772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7,378</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$1,160,367</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$115,472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$ 76,736</w:t>
            </w:r>
          </w:p>
        </w:tc>
      </w:tr>
      <w:tr>
        <w:trPr>
          <w:trHeight w:val="180"/>
        </w:trPr>
        <w:tc>
          <w:tcPr>
            <w:tcW w:w="1960" w:type="dxa"/>
            <w:vAlign w:val="bottom"/>
          </w:tcPr>
          <w:p>
            <w:pPr>
              <w:spacing w:after="0"/>
              <w:rPr>
                <w:sz w:val="15"/>
                <w:szCs w:val="15"/>
                <w:color w:val="auto"/>
              </w:rPr>
            </w:pPr>
          </w:p>
        </w:tc>
        <w:tc>
          <w:tcPr>
            <w:tcW w:w="3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184" w:hanging="184"/>
        <w:spacing w:after="0"/>
        <w:tabs>
          <w:tab w:leader="none" w:pos="18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rFonts w:ascii="Courier New" w:cs="Courier New" w:eastAsia="Courier New" w:hAnsi="Courier New"/>
          <w:sz w:val="16"/>
          <w:szCs w:val="16"/>
          <w:color w:val="auto"/>
        </w:rPr>
      </w:pPr>
    </w:p>
    <w:p>
      <w:pPr>
        <w:ind w:left="1124" w:right="3179" w:hanging="373"/>
        <w:spacing w:after="0" w:line="236" w:lineRule="auto"/>
        <w:tabs>
          <w:tab w:leader="none" w:pos="1124"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goodwill, computer software and intellectual property rights.</w:t>
      </w:r>
    </w:p>
    <w:p>
      <w:pPr>
        <w:spacing w:after="0" w:line="180" w:lineRule="exact"/>
        <w:rPr>
          <w:sz w:val="20"/>
          <w:szCs w:val="20"/>
          <w:color w:val="auto"/>
        </w:rPr>
      </w:pPr>
    </w:p>
    <w:p>
      <w:pPr>
        <w:ind w:left="1224" w:hanging="473"/>
        <w:spacing w:after="0"/>
        <w:tabs>
          <w:tab w:leader="none" w:pos="122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computers and vehicles.</w:t>
      </w:r>
    </w:p>
    <w:p>
      <w:pPr>
        <w:spacing w:after="0" w:line="179" w:lineRule="exact"/>
        <w:rPr>
          <w:rFonts w:ascii="Courier New" w:cs="Courier New" w:eastAsia="Courier New" w:hAnsi="Courier New"/>
          <w:sz w:val="16"/>
          <w:szCs w:val="16"/>
          <w:color w:val="auto"/>
        </w:rPr>
      </w:pP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AND CUSTOMER INFORMATION</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Customer Care, Billing and Order Management systems ("CC&amp;B Systems") include systems for wireline, wireless, broadband, electronic and mobile commerce and IP services. Directory includes directory sales and publishing systems for publishers of both traditional printed yellow pages and white pages directories and electronic Internet directories.</w:t>
      </w:r>
    </w:p>
    <w:p>
      <w:pPr>
        <w:spacing w:after="0" w:line="200" w:lineRule="exact"/>
        <w:rPr>
          <w:sz w:val="20"/>
          <w:szCs w:val="20"/>
          <w:color w:val="auto"/>
        </w:rPr>
      </w:pPr>
    </w:p>
    <w:p>
      <w:pPr>
        <w:spacing w:after="0" w:line="34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SEPTEMBER</w:t>
            </w:r>
          </w:p>
        </w:tc>
        <w:tc>
          <w:tcPr>
            <w:tcW w:w="8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w:t>
            </w:r>
          </w:p>
        </w:tc>
      </w:tr>
      <w:tr>
        <w:trPr>
          <w:trHeight w:val="180"/>
        </w:trPr>
        <w:tc>
          <w:tcPr>
            <w:tcW w:w="4020" w:type="dxa"/>
            <w:vAlign w:val="bottom"/>
          </w:tcPr>
          <w:p>
            <w:pPr>
              <w:spacing w:after="0"/>
              <w:rPr>
                <w:sz w:val="15"/>
                <w:szCs w:val="15"/>
                <w:color w:val="auto"/>
              </w:rPr>
            </w:pPr>
          </w:p>
        </w:tc>
        <w:tc>
          <w:tcPr>
            <w:tcW w:w="3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402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CC&amp;B Systems..............................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986,553</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$468,216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$251,829</w:t>
            </w:r>
          </w:p>
        </w:tc>
      </w:tr>
      <w:tr>
        <w:trPr>
          <w:trHeight w:val="180"/>
        </w:trPr>
        <w:tc>
          <w:tcPr>
            <w:tcW w:w="40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Directory.................................</w:t>
            </w:r>
          </w:p>
        </w:tc>
        <w:tc>
          <w:tcPr>
            <w:tcW w:w="20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131,767</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158,639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151,938</w:t>
            </w:r>
          </w:p>
        </w:tc>
      </w:tr>
      <w:tr>
        <w:trPr>
          <w:trHeight w:val="180"/>
        </w:trPr>
        <w:tc>
          <w:tcPr>
            <w:tcW w:w="402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1,118,320</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$626,855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$403,767</w:t>
            </w:r>
          </w:p>
        </w:tc>
      </w:tr>
      <w:tr>
        <w:trPr>
          <w:trHeight w:val="180"/>
        </w:trPr>
        <w:tc>
          <w:tcPr>
            <w:tcW w:w="4020" w:type="dxa"/>
            <w:vAlign w:val="bottom"/>
          </w:tcPr>
          <w:p>
            <w:pPr>
              <w:spacing w:after="0"/>
              <w:rPr>
                <w:sz w:val="15"/>
                <w:szCs w:val="15"/>
                <w:color w:val="auto"/>
              </w:rPr>
            </w:pP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SALES TO SIGNIFICANT CUSTOMERS</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50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following table summarizes the percentage of sales to</w:t>
            </w: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significant</w:t>
            </w:r>
          </w:p>
        </w:tc>
      </w:tr>
      <w:tr>
        <w:trPr>
          <w:trHeight w:val="180"/>
        </w:trPr>
        <w:tc>
          <w:tcPr>
            <w:tcW w:w="5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customers groups (when they exceed 10 percent of total revenue</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for the</w:t>
            </w:r>
          </w:p>
        </w:tc>
        <w:tc>
          <w:tcPr>
            <w:tcW w:w="740" w:type="dxa"/>
            <w:vAlign w:val="bottom"/>
          </w:tcPr>
          <w:p>
            <w:pPr>
              <w:spacing w:after="0"/>
              <w:rPr>
                <w:sz w:val="20"/>
                <w:szCs w:val="20"/>
                <w:color w:val="auto"/>
              </w:rPr>
            </w:pPr>
            <w:r>
              <w:rPr>
                <w:rFonts w:ascii="Courier New" w:cs="Courier New" w:eastAsia="Courier New" w:hAnsi="Courier New"/>
                <w:sz w:val="16"/>
                <w:szCs w:val="16"/>
                <w:color w:val="auto"/>
              </w:rPr>
              <w:t>year).</w:t>
            </w:r>
          </w:p>
        </w:tc>
      </w:tr>
      <w:tr>
        <w:trPr>
          <w:trHeight w:val="721"/>
        </w:trPr>
        <w:tc>
          <w:tcPr>
            <w:tcW w:w="8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w:t>
            </w:r>
          </w:p>
        </w:tc>
      </w:tr>
      <w:tr>
        <w:trPr>
          <w:trHeight w:val="180"/>
        </w:trPr>
        <w:tc>
          <w:tcPr>
            <w:tcW w:w="8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SEPTEMBER</w:t>
            </w:r>
          </w:p>
        </w:tc>
        <w:tc>
          <w:tcPr>
            <w:tcW w:w="74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0"/>
        </w:trPr>
        <w:tc>
          <w:tcPr>
            <w:tcW w:w="8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8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jc w:val="center"/>
              <w:ind w:left="142"/>
              <w:spacing w:after="0"/>
              <w:rPr>
                <w:sz w:val="20"/>
                <w:szCs w:val="20"/>
                <w:color w:val="auto"/>
              </w:rPr>
            </w:pPr>
            <w:r>
              <w:rPr>
                <w:rFonts w:ascii="Courier New" w:cs="Courier New" w:eastAsia="Courier New" w:hAnsi="Courier New"/>
                <w:sz w:val="16"/>
                <w:szCs w:val="16"/>
                <w:color w:val="auto"/>
                <w:w w:val="98"/>
              </w:rPr>
              <w:t>1999</w:t>
            </w:r>
          </w:p>
        </w:tc>
        <w:tc>
          <w:tcPr>
            <w:tcW w:w="74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8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left="142"/>
              <w:spacing w:after="0"/>
              <w:rPr>
                <w:sz w:val="20"/>
                <w:szCs w:val="20"/>
                <w:color w:val="auto"/>
              </w:rPr>
            </w:pPr>
            <w:r>
              <w:rPr>
                <w:rFonts w:ascii="Courier New" w:cs="Courier New" w:eastAsia="Courier New" w:hAnsi="Courier New"/>
                <w:sz w:val="16"/>
                <w:szCs w:val="16"/>
                <w:color w:val="auto"/>
                <w:w w:val="98"/>
              </w:rPr>
              <w:t>----</w:t>
            </w:r>
          </w:p>
        </w:tc>
        <w:tc>
          <w:tcPr>
            <w:tcW w:w="74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Customer</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w w:val="99"/>
              </w:rPr>
              <w:t>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w w:val="93"/>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Customer</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w w:val="99"/>
              </w:rPr>
              <w:t>2..............................................</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800" w:type="dxa"/>
            <w:vAlign w:val="bottom"/>
          </w:tcPr>
          <w:p>
            <w:pPr>
              <w:jc w:val="center"/>
              <w:ind w:left="142"/>
              <w:spacing w:after="0"/>
              <w:rPr>
                <w:sz w:val="20"/>
                <w:szCs w:val="20"/>
                <w:color w:val="auto"/>
              </w:rPr>
            </w:pPr>
            <w:r>
              <w:rPr>
                <w:rFonts w:ascii="Courier New" w:cs="Courier New" w:eastAsia="Courier New" w:hAnsi="Courier New"/>
                <w:sz w:val="16"/>
                <w:szCs w:val="16"/>
                <w:color w:val="auto"/>
                <w:w w:val="93"/>
              </w:rPr>
              <w:t>16</w:t>
            </w:r>
          </w:p>
        </w:tc>
        <w:tc>
          <w:tcPr>
            <w:tcW w:w="74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3"/>
              </w:rPr>
              <w:t>21</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Customer</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w w:val="99"/>
              </w:rPr>
              <w:t>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3"/>
              </w:rPr>
              <w:t>16</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10 percent of total revenue</w:t>
      </w:r>
    </w:p>
    <w:p>
      <w:pPr>
        <w:spacing w:after="0" w:line="179"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20 -- FINANCIAL INSTRUMENTS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Company enters into forward contracts to sell foreign currency in order to hedge its exposure associated with most firm commitments from customers in non-U.S. dollar-based currencies and treats these</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23"/>
          </w:cols>
          <w:pgMar w:left="236" w:top="293" w:right="1440" w:bottom="287"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73</w:t>
      </w: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NOTES TO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for accounting purposes as fair value hedges. The Company also enters into forward contracts in foreign currency to reduce the exposure associated with estimated receipts from customers and with liabilities (primarily personnel costs), in non-U.S. dollar-based currencies and treats these as cash flow hedges. The derivative financial instruments are afforded hedge accounting because they are effective in managing foreign exchange risks and are appropriately assigned to the underlying exposures. The Company does not engage in currency speculation. Generally, the Company measures the differential between forward rates and spot rates on forward exchange contracts as the inherent ineffectiveness of a hedging arrangement. Accordingly, changes in the fair value of forward exchange contracts, which are classified as fair value hedges, offset the change in the fair value of the hedged item to the extent of the arrangement's effectiveness. The effective portion of the change in the fair value of forward exchange contracts, which are classified as cash flow hedges, is recorded as comprehensive income until the underlying transaction is recognized in earnings.</w:t>
      </w:r>
    </w:p>
    <w:p>
      <w:pPr>
        <w:spacing w:after="0" w:line="35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describes forward contracts outstanding: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1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AS OF SEPTEMBER 30,</w:t>
            </w:r>
          </w:p>
        </w:tc>
      </w:tr>
      <w:tr>
        <w:trPr>
          <w:trHeight w:val="180"/>
        </w:trPr>
        <w:tc>
          <w:tcPr>
            <w:tcW w:w="524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Contracts treated as fair value hedges for the sale of:</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British pounds.......................................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$ 19,346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$ 24,567</w:t>
            </w: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Canadian dollars.....................................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8,332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11,394</w:t>
            </w: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Austrian schillings..................................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10,779</w:t>
            </w: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Japanese yen.........................................</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770</w:t>
            </w: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Other currencies.....................................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4,658</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$ 27,856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$ 52,168</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2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Contracts treated as cash flow hedges for the purchase</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240" w:type="dxa"/>
            <w:vAlign w:val="bottom"/>
          </w:tcPr>
          <w:p>
            <w:pPr>
              <w:jc w:val="right"/>
              <w:ind w:right="4702"/>
              <w:spacing w:after="0"/>
              <w:rPr>
                <w:sz w:val="20"/>
                <w:szCs w:val="20"/>
                <w:color w:val="auto"/>
              </w:rPr>
            </w:pPr>
            <w:r>
              <w:rPr>
                <w:rFonts w:ascii="Courier New" w:cs="Courier New" w:eastAsia="Courier New" w:hAnsi="Courier New"/>
                <w:sz w:val="16"/>
                <w:szCs w:val="16"/>
                <w:color w:val="auto"/>
              </w:rPr>
              <w:t>of:</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Israeli shekels......................................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$196,700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$145,000</w:t>
            </w:r>
          </w:p>
        </w:tc>
      </w:tr>
      <w:tr>
        <w:trPr>
          <w:trHeight w:val="180"/>
        </w:trPr>
        <w:tc>
          <w:tcPr>
            <w:tcW w:w="5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Australian dollars...................................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22,240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31,655</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$218,940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$176,655</w:t>
            </w:r>
          </w:p>
        </w:tc>
      </w:tr>
      <w:tr>
        <w:trPr>
          <w:trHeight w:val="180"/>
        </w:trPr>
        <w:tc>
          <w:tcPr>
            <w:tcW w:w="52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099" w:firstLine="469"/>
        <w:spacing w:after="0" w:line="259" w:lineRule="auto"/>
        <w:rPr>
          <w:sz w:val="20"/>
          <w:szCs w:val="20"/>
          <w:color w:val="auto"/>
        </w:rPr>
      </w:pPr>
      <w:r>
        <w:rPr>
          <w:rFonts w:ascii="Courier New" w:cs="Courier New" w:eastAsia="Courier New" w:hAnsi="Courier New"/>
          <w:sz w:val="15"/>
          <w:szCs w:val="15"/>
          <w:color w:val="auto"/>
        </w:rPr>
        <w:t>The fair values of the forward derivatives were $3,016 and $(3,412) on September 30, 2000 and 1999, respectively. The Company currently enters into forward exchange contracts exclusively with major financial institutions.</w:t>
      </w:r>
    </w:p>
    <w:p>
      <w:pPr>
        <w:spacing w:after="0" w:line="16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293"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1"/>
        </w:trPr>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74</w:t>
            </w:r>
          </w:p>
        </w:tc>
        <w:tc>
          <w:tcPr>
            <w:tcW w:w="3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3480" w:type="dxa"/>
            <w:vAlign w:val="bottom"/>
          </w:tcPr>
          <w:p>
            <w:pPr>
              <w:ind w:left="2080"/>
              <w:spacing w:after="0"/>
              <w:rPr>
                <w:sz w:val="20"/>
                <w:szCs w:val="20"/>
                <w:color w:val="auto"/>
              </w:rPr>
            </w:pPr>
            <w:r>
              <w:rPr>
                <w:rFonts w:ascii="Courier New" w:cs="Courier New" w:eastAsia="Courier New" w:hAnsi="Courier New"/>
                <w:sz w:val="16"/>
                <w:szCs w:val="16"/>
                <w:color w:val="auto"/>
              </w:rPr>
              <w:t>AMDOCS LIMITED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Courier New" w:cs="Courier New" w:eastAsia="Courier New" w:hAnsi="Courier New"/>
                <w:sz w:val="16"/>
                <w:szCs w:val="16"/>
                <w:color w:val="auto"/>
                <w:w w:val="97"/>
              </w:rPr>
              <w:t>NOTES TO CONSOLIDATED FINANCIAL STATEMENTS</w:t>
            </w:r>
          </w:p>
        </w:tc>
        <w:tc>
          <w:tcPr>
            <w:tcW w:w="20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 (CONTINUED)</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49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(IN THOUSANDS, EXCEPT PER SHARE DATA)</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1020" w:type="dxa"/>
            <w:vAlign w:val="bottom"/>
          </w:tcPr>
          <w:p>
            <w:pPr>
              <w:spacing w:after="0"/>
              <w:rPr>
                <w:sz w:val="20"/>
                <w:szCs w:val="20"/>
                <w:color w:val="auto"/>
              </w:rPr>
            </w:pPr>
            <w:r>
              <w:rPr>
                <w:rFonts w:ascii="Courier New" w:cs="Courier New" w:eastAsia="Courier New" w:hAnsi="Courier New"/>
                <w:sz w:val="16"/>
                <w:szCs w:val="16"/>
                <w:color w:val="auto"/>
              </w:rPr>
              <w:t>NOTE 21 --</w:t>
            </w:r>
          </w:p>
        </w:tc>
        <w:tc>
          <w:tcPr>
            <w:tcW w:w="4980" w:type="dxa"/>
            <w:vAlign w:val="bottom"/>
            <w:gridSpan w:val="3"/>
          </w:tcPr>
          <w:p>
            <w:pPr>
              <w:spacing w:after="0"/>
              <w:rPr>
                <w:sz w:val="20"/>
                <w:szCs w:val="20"/>
                <w:color w:val="auto"/>
              </w:rPr>
            </w:pPr>
            <w:r>
              <w:rPr>
                <w:rFonts w:ascii="Courier New" w:cs="Courier New" w:eastAsia="Courier New" w:hAnsi="Courier New"/>
                <w:sz w:val="16"/>
                <w:szCs w:val="16"/>
                <w:color w:val="auto"/>
                <w:w w:val="99"/>
              </w:rPr>
              <w:t>SELECTED QUARTERLY RESULTS OF OPERATIONS (UNAUDITED)</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1"/>
        </w:trPr>
        <w:tc>
          <w:tcPr>
            <w:tcW w:w="8100" w:type="dxa"/>
            <w:vAlign w:val="bottom"/>
            <w:gridSpan w:val="6"/>
          </w:tcPr>
          <w:p>
            <w:pPr>
              <w:ind w:left="460"/>
              <w:spacing w:after="0"/>
              <w:rPr>
                <w:sz w:val="20"/>
                <w:szCs w:val="20"/>
                <w:color w:val="auto"/>
              </w:rPr>
            </w:pPr>
            <w:r>
              <w:rPr>
                <w:rFonts w:ascii="Courier New" w:cs="Courier New" w:eastAsia="Courier New" w:hAnsi="Courier New"/>
                <w:sz w:val="16"/>
                <w:szCs w:val="16"/>
                <w:color w:val="auto"/>
              </w:rPr>
              <w:t>The following are details of the unaudited quarterly results of operations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for the three months ended: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1"/>
        </w:trPr>
        <w:tc>
          <w:tcPr>
            <w:tcW w:w="1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SEPTEMBER 30,</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JUNE 30,</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MARCH 31,</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10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0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Revenue........................................</w:t>
            </w:r>
          </w:p>
        </w:tc>
        <w:tc>
          <w:tcPr>
            <w:tcW w:w="15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$315,067</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$297,002</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$270,745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235,506</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Operating income (loss)........................</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20,955</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(39,806)</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60,115</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32,860</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income (loss)..............................</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12,993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(67,159)</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42,863</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17,281</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Basic earnings (loss) per share................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0.06</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(0.31)</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0.21</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0.09</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Diluted earnings (loss) per share..............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0.06</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(0.31)</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0.20</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0.08</w:t>
            </w:r>
          </w:p>
        </w:tc>
      </w:tr>
      <w:tr>
        <w:trPr>
          <w:trHeight w:val="180"/>
        </w:trPr>
        <w:tc>
          <w:tcPr>
            <w:tcW w:w="10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Revenue........................................</w:t>
            </w:r>
          </w:p>
        </w:tc>
        <w:tc>
          <w:tcPr>
            <w:tcW w:w="15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$182,716</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$164,884</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$147,830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131,425</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Operating income...............................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43,430</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37,782</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35,625</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30,161</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income.....................................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29,839</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25,421</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23,141</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20,142</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Basic and diluted earnings per share...........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0.15</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0.13</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0.12</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0.10</w:t>
            </w:r>
          </w:p>
        </w:tc>
      </w:tr>
      <w:tr>
        <w:trPr>
          <w:trHeight w:val="180"/>
        </w:trPr>
        <w:tc>
          <w:tcPr>
            <w:tcW w:w="10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3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Revenue........................................</w:t>
            </w:r>
          </w:p>
        </w:tc>
        <w:tc>
          <w:tcPr>
            <w:tcW w:w="15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$116,704</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$106,497</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$ 94,008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86,558</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Operating income...............................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26,104</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22,821</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19,125</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16,845</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income.....................................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11,598</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6,443</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4,105</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7,961</w:t>
            </w:r>
          </w:p>
        </w:tc>
      </w:tr>
      <w:tr>
        <w:trPr>
          <w:trHeight w:val="180"/>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99"/>
              </w:rPr>
              <w:t>Basic and diluted earnings per share...........</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0.06</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0.04</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0.03</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0.06</w:t>
            </w:r>
          </w:p>
        </w:tc>
      </w:tr>
    </w:tbl>
    <w:p>
      <w:pPr>
        <w:spacing w:after="0" w:line="36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The fiscal quarters ended December 31, 1999 and June 30, 2000 include purchased in-process research and development and other indirect acquisition-related costs of $19,876 and $55,741, respectively.</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293" w:right="1440" w:bottom="1440" w:gutter="0" w:footer="0" w:header="0"/>
        </w:sectPr>
      </w:pPr>
    </w:p>
    <w:bookmarkStart w:id="75" w:name="page76"/>
    <w:bookmarkEnd w:id="75"/>
    <w:p>
      <w:pPr>
        <w:ind w:left="284"/>
        <w:spacing w:after="0"/>
        <w:rPr>
          <w:sz w:val="20"/>
          <w:szCs w:val="20"/>
          <w:color w:val="auto"/>
        </w:rPr>
      </w:pPr>
      <w:r>
        <w:rPr>
          <w:rFonts w:ascii="Courier New" w:cs="Courier New" w:eastAsia="Courier New" w:hAnsi="Courier New"/>
          <w:sz w:val="16"/>
          <w:szCs w:val="16"/>
          <w:color w:val="auto"/>
        </w:rPr>
        <w:t>75</w:t>
      </w:r>
    </w:p>
    <w:p>
      <w:pPr>
        <w:jc w:val="center"/>
        <w:ind w:right="4036"/>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FINANCIAL STATEMENT SCHEDULE</w:t>
      </w:r>
    </w:p>
    <w:p>
      <w:pPr>
        <w:spacing w:after="0" w:line="185" w:lineRule="exact"/>
        <w:rPr>
          <w:sz w:val="20"/>
          <w:szCs w:val="20"/>
          <w:color w:val="auto"/>
        </w:rPr>
      </w:pPr>
    </w:p>
    <w:p>
      <w:pPr>
        <w:ind w:left="2164"/>
        <w:spacing w:after="0"/>
        <w:rPr>
          <w:sz w:val="20"/>
          <w:szCs w:val="20"/>
          <w:color w:val="auto"/>
        </w:rPr>
      </w:pPr>
      <w:r>
        <w:rPr>
          <w:rFonts w:ascii="Courier New" w:cs="Courier New" w:eastAsia="Courier New" w:hAnsi="Courier New"/>
          <w:sz w:val="15"/>
          <w:szCs w:val="15"/>
          <w:color w:val="auto"/>
        </w:rPr>
        <w:t>VALUATION AND QUALIFYING ACCOUNTS</w:t>
      </w:r>
    </w:p>
    <w:p>
      <w:pPr>
        <w:sectPr>
          <w:pgSz w:w="11900" w:h="16838" w:orient="portrait"/>
          <w:cols w:equalWidth="0" w:num="1">
            <w:col w:w="11524"/>
          </w:cols>
          <w:pgMar w:left="236" w:top="29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BALANCE AT</w:t>
      </w:r>
    </w:p>
    <w:p>
      <w:pPr>
        <w:spacing w:after="0"/>
        <w:rPr>
          <w:sz w:val="20"/>
          <w:szCs w:val="20"/>
          <w:color w:val="auto"/>
        </w:rPr>
      </w:pPr>
      <w:r>
        <w:rPr>
          <w:rFonts w:ascii="Courier New" w:cs="Courier New" w:eastAsia="Courier New" w:hAnsi="Courier New"/>
          <w:sz w:val="16"/>
          <w:szCs w:val="16"/>
          <w:color w:val="auto"/>
        </w:rPr>
        <w:t>BEGINNING OF</w:t>
      </w:r>
    </w:p>
    <w:p>
      <w:pPr>
        <w:ind w:left="280"/>
        <w:spacing w:after="0" w:line="237" w:lineRule="auto"/>
        <w:rPr>
          <w:sz w:val="20"/>
          <w:szCs w:val="20"/>
          <w:color w:val="auto"/>
        </w:rPr>
      </w:pPr>
      <w:r>
        <w:rPr>
          <w:rFonts w:ascii="Courier New" w:cs="Courier New" w:eastAsia="Courier New" w:hAnsi="Courier New"/>
          <w:sz w:val="16"/>
          <w:szCs w:val="16"/>
          <w:color w:val="auto"/>
        </w:rPr>
        <w:t>PERIOD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ADDITIONS</w:t>
      </w:r>
    </w:p>
    <w:p>
      <w:pPr>
        <w:spacing w:after="0"/>
        <w:rPr>
          <w:sz w:val="20"/>
          <w:szCs w:val="20"/>
          <w:color w:val="auto"/>
        </w:rPr>
      </w:pPr>
      <w:r>
        <w:rPr>
          <w:rFonts w:ascii="Courier New" w:cs="Courier New" w:eastAsia="Courier New" w:hAnsi="Courier New"/>
          <w:sz w:val="16"/>
          <w:szCs w:val="16"/>
          <w:color w:val="auto"/>
        </w:rPr>
        <w:t>--------------------------</w:t>
      </w:r>
    </w:p>
    <w:p>
      <w:pPr>
        <w:spacing w:after="0"/>
        <w:tabs>
          <w:tab w:leader="none" w:pos="1480" w:val="left"/>
        </w:tabs>
        <w:rPr>
          <w:sz w:val="20"/>
          <w:szCs w:val="20"/>
          <w:color w:val="auto"/>
        </w:rPr>
      </w:pPr>
      <w:r>
        <w:rPr>
          <w:rFonts w:ascii="Courier New" w:cs="Courier New" w:eastAsia="Courier New" w:hAnsi="Courier New"/>
          <w:sz w:val="16"/>
          <w:szCs w:val="16"/>
          <w:color w:val="auto"/>
        </w:rPr>
        <w:t>CHARGED TO</w:t>
      </w:r>
      <w:r>
        <w:rPr>
          <w:sz w:val="20"/>
          <w:szCs w:val="20"/>
          <w:color w:val="auto"/>
        </w:rPr>
        <w:tab/>
      </w:r>
      <w:r>
        <w:rPr>
          <w:rFonts w:ascii="Courier New" w:cs="Courier New" w:eastAsia="Courier New" w:hAnsi="Courier New"/>
          <w:sz w:val="15"/>
          <w:szCs w:val="15"/>
          <w:color w:val="auto"/>
        </w:rPr>
        <w:t>CHARGED TO</w:t>
      </w:r>
    </w:p>
    <w:p>
      <w:pPr>
        <w:spacing w:after="0"/>
        <w:tabs>
          <w:tab w:leader="none" w:pos="1660" w:val="left"/>
        </w:tabs>
        <w:rPr>
          <w:sz w:val="20"/>
          <w:szCs w:val="20"/>
          <w:color w:val="auto"/>
        </w:rPr>
      </w:pPr>
      <w:r>
        <w:rPr>
          <w:rFonts w:ascii="Courier New" w:cs="Courier New" w:eastAsia="Courier New" w:hAnsi="Courier New"/>
          <w:sz w:val="16"/>
          <w:szCs w:val="16"/>
          <w:color w:val="auto"/>
        </w:rPr>
        <w:t>COSTS AND</w:t>
      </w:r>
      <w:r>
        <w:rPr>
          <w:sz w:val="20"/>
          <w:szCs w:val="20"/>
          <w:color w:val="auto"/>
        </w:rPr>
        <w:tab/>
      </w:r>
      <w:r>
        <w:rPr>
          <w:rFonts w:ascii="Courier New" w:cs="Courier New" w:eastAsia="Courier New" w:hAnsi="Courier New"/>
          <w:sz w:val="16"/>
          <w:szCs w:val="16"/>
          <w:color w:val="auto"/>
        </w:rPr>
        <w:t>OTHER</w:t>
      </w:r>
    </w:p>
    <w:p>
      <w:pPr>
        <w:ind w:left="100"/>
        <w:spacing w:after="0" w:line="238" w:lineRule="auto"/>
        <w:tabs>
          <w:tab w:leader="none" w:pos="158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ACCOUNTS</w:t>
      </w:r>
    </w:p>
    <w:p>
      <w:pPr>
        <w:spacing w:after="0" w:line="4" w:lineRule="exact"/>
        <w:rPr>
          <w:sz w:val="20"/>
          <w:szCs w:val="20"/>
          <w:color w:val="auto"/>
        </w:rPr>
      </w:pPr>
    </w:p>
    <w:p>
      <w:pPr>
        <w:ind w:left="180"/>
        <w:spacing w:after="0"/>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w:t>
      </w:r>
    </w:p>
    <w:p>
      <w:pPr>
        <w:ind w:left="100"/>
        <w:spacing w:after="0"/>
        <w:rPr>
          <w:sz w:val="20"/>
          <w:szCs w:val="20"/>
          <w:color w:val="auto"/>
        </w:rPr>
      </w:pPr>
      <w:r>
        <w:rPr>
          <w:rFonts w:ascii="Courier New" w:cs="Courier New" w:eastAsia="Courier New" w:hAnsi="Courier New"/>
          <w:sz w:val="16"/>
          <w:szCs w:val="16"/>
          <w:color w:val="auto"/>
        </w:rPr>
        <w:t>AT END</w:t>
      </w:r>
    </w:p>
    <w:p>
      <w:pPr>
        <w:spacing w:after="0" w:line="237" w:lineRule="auto"/>
        <w:rPr>
          <w:sz w:val="20"/>
          <w:szCs w:val="20"/>
          <w:color w:val="auto"/>
        </w:rPr>
      </w:pPr>
      <w:r>
        <w:rPr>
          <w:rFonts w:ascii="Courier New" w:cs="Courier New" w:eastAsia="Courier New" w:hAnsi="Courier New"/>
          <w:sz w:val="16"/>
          <w:szCs w:val="16"/>
          <w:color w:val="auto"/>
        </w:rPr>
        <w:t>OF PERIOD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5">
            <w:col w:w="3404" w:space="720"/>
            <w:col w:w="1320" w:space="560"/>
            <w:col w:w="2720" w:space="380"/>
            <w:col w:w="1120" w:space="280"/>
            <w:col w:w="1020"/>
          </w:cols>
          <w:pgMar w:left="236" w:top="293" w:right="139" w:bottom="1440" w:gutter="0" w:footer="0" w:header="0"/>
          <w:type w:val="continuous"/>
        </w:sectPr>
      </w:pP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Allowances for doubtful debts ...........</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Valuation allowances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1,844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2,411</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6"/>
          <w:szCs w:val="16"/>
          <w:color w:val="auto"/>
        </w:rPr>
        <w:t>5,024(*)</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14,332(**)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6,868</w:t>
      </w:r>
    </w:p>
    <w:p>
      <w:pPr>
        <w:spacing w:after="0"/>
        <w:rPr>
          <w:sz w:val="20"/>
          <w:szCs w:val="20"/>
          <w:color w:val="auto"/>
        </w:rPr>
      </w:pPr>
      <w:r>
        <w:rPr>
          <w:rFonts w:ascii="Courier New" w:cs="Courier New" w:eastAsia="Courier New" w:hAnsi="Courier New"/>
          <w:sz w:val="16"/>
          <w:szCs w:val="16"/>
          <w:color w:val="auto"/>
        </w:rPr>
        <w:t>16,743</w:t>
      </w:r>
    </w:p>
    <w:p>
      <w:pPr>
        <w:spacing w:after="0" w:line="179" w:lineRule="exact"/>
        <w:rPr>
          <w:sz w:val="20"/>
          <w:szCs w:val="20"/>
          <w:color w:val="auto"/>
        </w:rPr>
      </w:pPr>
    </w:p>
    <w:p>
      <w:pPr>
        <w:sectPr>
          <w:pgSz w:w="11900" w:h="16838" w:orient="portrait"/>
          <w:cols w:equalWidth="0" w:num="6">
            <w:col w:w="4244" w:space="720"/>
            <w:col w:w="600" w:space="720"/>
            <w:col w:w="960" w:space="720"/>
            <w:col w:w="1160" w:space="720"/>
            <w:col w:w="200" w:space="640"/>
            <w:col w:w="840"/>
          </w:cols>
          <w:pgMar w:left="236" w:top="293" w:right="139" w:bottom="1440"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 --------------</w:t>
      </w:r>
    </w:p>
    <w:p>
      <w:pPr>
        <w:ind w:left="464" w:hanging="464"/>
        <w:spacing w:after="0"/>
        <w:tabs>
          <w:tab w:leader="none" w:pos="46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Allowances for doubtful debts that we acquired as part of our acquisition of ITDS.</w:t>
      </w:r>
    </w:p>
    <w:p>
      <w:pPr>
        <w:spacing w:after="0" w:line="184" w:lineRule="exact"/>
        <w:rPr>
          <w:sz w:val="20"/>
          <w:szCs w:val="20"/>
          <w:color w:val="auto"/>
        </w:rPr>
      </w:pPr>
    </w:p>
    <w:p>
      <w:pPr>
        <w:ind w:left="464" w:right="2700" w:hanging="464"/>
        <w:spacing w:after="0" w:line="236" w:lineRule="auto"/>
        <w:tabs>
          <w:tab w:leader="none" w:pos="46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 related to accumulated tax benefit from losses we acquired as part of our acquisition of Solect.</w:t>
      </w:r>
    </w:p>
    <w:p>
      <w:pPr>
        <w:spacing w:after="0" w:line="200" w:lineRule="exact"/>
        <w:rPr>
          <w:sz w:val="20"/>
          <w:szCs w:val="20"/>
          <w:color w:val="auto"/>
        </w:rPr>
      </w:pPr>
    </w:p>
    <w:p>
      <w:pPr>
        <w:spacing w:after="0" w:line="34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1524"/>
          </w:cols>
          <w:pgMar w:left="236" w:top="293" w:right="139"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7"/>
              </w:rPr>
              <w:t>EXHIBIT INDEX</w:t>
            </w:r>
          </w:p>
        </w:tc>
      </w:tr>
      <w:tr>
        <w:trPr>
          <w:trHeight w:val="721"/>
        </w:trPr>
        <w:tc>
          <w:tcPr>
            <w:tcW w:w="8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180"/>
        </w:trPr>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NO.</w:t>
            </w:r>
          </w:p>
        </w:tc>
        <w:tc>
          <w:tcPr>
            <w:tcW w:w="380" w:type="dxa"/>
            <w:vAlign w:val="bottom"/>
          </w:tcPr>
          <w:p>
            <w:pPr>
              <w:spacing w:after="0"/>
              <w:rPr>
                <w:sz w:val="15"/>
                <w:szCs w:val="15"/>
                <w:color w:val="auto"/>
              </w:rPr>
            </w:pPr>
          </w:p>
        </w:tc>
        <w:tc>
          <w:tcPr>
            <w:tcW w:w="52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DESCRIPTION</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380" w:type="dxa"/>
            <w:vAlign w:val="bottom"/>
          </w:tcPr>
          <w:p>
            <w:pPr>
              <w:spacing w:after="0"/>
              <w:rPr>
                <w:sz w:val="15"/>
                <w:szCs w:val="15"/>
                <w:color w:val="auto"/>
              </w:rPr>
            </w:pPr>
          </w:p>
        </w:tc>
        <w:tc>
          <w:tcPr>
            <w:tcW w:w="5200" w:type="dxa"/>
            <w:vAlign w:val="bottom"/>
          </w:tcPr>
          <w:p>
            <w:pPr>
              <w:jc w:val="right"/>
              <w:ind w:right="1982"/>
              <w:spacing w:after="0"/>
              <w:rPr>
                <w:sz w:val="20"/>
                <w:szCs w:val="20"/>
                <w:color w:val="auto"/>
              </w:rPr>
            </w:pPr>
            <w:r>
              <w:rPr>
                <w:rFonts w:ascii="Courier New" w:cs="Courier New" w:eastAsia="Courier New" w:hAnsi="Courier New"/>
                <w:sz w:val="16"/>
                <w:szCs w:val="16"/>
                <w:color w:val="auto"/>
              </w:rPr>
              <w:t>-----------</w:t>
            </w:r>
          </w:p>
        </w:tc>
      </w:tr>
      <w:tr>
        <w:trPr>
          <w:trHeight w:val="361"/>
        </w:trPr>
        <w:tc>
          <w:tcPr>
            <w:tcW w:w="88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Memorandum and Articles of Association of Amdocs Limited</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(Exhibits 3.1 and 3.2 to Amdocs' Registration Statement on</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Voting and Exchange Trust Agreement dated as of April 5,</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2000 among Amdocs Limited, Amdocs (Denmark) ApS., Amdocs</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Holdings ULC, Solect Technology Group Inc. and The Trust</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Company of Bank of Montreal</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rPr>
              <w:t>*4.a.1</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Agreement and Plan of Merger dated as of September 3, 1999</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among Amdocs Limited, Ivan Acquisition Corp. and</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International Telecommunication Data Systems, Inc. (Exhibit</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2.1 to Amdocs' Current Report on Form 6-K dated September</w:t>
            </w:r>
          </w:p>
        </w:tc>
      </w:tr>
      <w:tr>
        <w:trPr>
          <w:trHeight w:val="180"/>
        </w:trPr>
        <w:tc>
          <w:tcPr>
            <w:tcW w:w="88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10,</w:t>
            </w:r>
          </w:p>
        </w:tc>
        <w:tc>
          <w:tcPr>
            <w:tcW w:w="5200" w:type="dxa"/>
            <w:vAlign w:val="bottom"/>
          </w:tcPr>
          <w:p>
            <w:pPr>
              <w:jc w:val="right"/>
              <w:ind w:right="46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rPr>
              <w:t>*4.a.2</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Combination Agreement dated as of February 28, 2000 among</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Amdocs Limited, Solect Technology Group Inc., Amdocs</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(Denmark) ApS. and Amdocs Holdings ULC (Exhibit 2.1 to</w:t>
            </w:r>
          </w:p>
        </w:tc>
      </w:tr>
      <w:tr>
        <w:trPr>
          <w:trHeight w:val="180"/>
        </w:trPr>
        <w:tc>
          <w:tcPr>
            <w:tcW w:w="880" w:type="dxa"/>
            <w:vAlign w:val="bottom"/>
          </w:tcPr>
          <w:p>
            <w:pPr>
              <w:spacing w:after="0"/>
              <w:rPr>
                <w:sz w:val="15"/>
                <w:szCs w:val="15"/>
                <w:color w:val="auto"/>
              </w:rPr>
            </w:pP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Amdocs' Current Report on Form 6-K dated March 3, 2000)</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Subsidiaries of Amdocs Limited</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rPr>
              <w:t>10.a.1</w:t>
            </w:r>
          </w:p>
        </w:tc>
        <w:tc>
          <w:tcPr>
            <w:tcW w:w="5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Consent of Ernst &amp; Young LLP</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 Previously filed.</w:t>
      </w:r>
    </w:p>
    <w:p>
      <w:pPr>
        <w:sectPr>
          <w:pgSz w:w="11900" w:h="16838" w:orient="portrait"/>
          <w:cols w:equalWidth="0" w:num="1">
            <w:col w:w="10219"/>
          </w:cols>
          <w:pgMar w:left="240" w:top="293"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10.a.1</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CONSENT OF ERNST &amp; YOUNG LLP</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We consent to the reference to our firm under the caption "Selected Financial Data" and to the use of our report dated November 2, 2000 with respect to the consolidated financial statements and financial statement schedule of Amdocs limited included in this Annual Report (Form 20-F/A) for the year ended September 30, 2000.</w:t>
      </w:r>
    </w:p>
    <w:p>
      <w:pPr>
        <w:spacing w:after="0" w:line="18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 Ernst &amp; Young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Missouri</w:t>
      </w:r>
    </w:p>
    <w:p>
      <w:pPr>
        <w:spacing w:after="0"/>
        <w:rPr>
          <w:sz w:val="20"/>
          <w:szCs w:val="20"/>
          <w:color w:val="auto"/>
        </w:rPr>
      </w:pPr>
      <w:r>
        <w:rPr>
          <w:rFonts w:ascii="Courier New" w:cs="Courier New" w:eastAsia="Courier New" w:hAnsi="Courier New"/>
          <w:sz w:val="16"/>
          <w:szCs w:val="16"/>
          <w:color w:val="auto"/>
        </w:rPr>
        <w:t>April 3,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24"/>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6"/>
    </w:lvl>
  </w:abstractNum>
  <w:abstractNum w:abstractNumId="26">
    <w:nsid w:val="4516DDE9"/>
    <w:multiLevelType w:val="hybridMultilevel"/>
    <w:lvl w:ilvl="0">
      <w:lvlJc w:val="left"/>
      <w:lvlText w:val="(%1)"/>
      <w:numFmt w:val="decimal"/>
      <w:start w:val="37"/>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Roman"/>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lvl w:ilvl="1">
      <w:lvlJc w:val="left"/>
      <w:lvlText w:val="(*)"/>
      <w:numFmt w:val="bullet"/>
      <w:start w:val="1"/>
    </w:lvl>
  </w:abstractNum>
  <w:abstractNum w:abstractNumId="34">
    <w:nsid w:val="77465F01"/>
    <w:multiLevelType w:val="hybridMultilevel"/>
    <w:lvl w:ilvl="0">
      <w:lvlJc w:val="left"/>
      <w:lvlText w:val="-"/>
      <w:numFmt w:val="bullet"/>
      <w:start w:val="1"/>
    </w:lvl>
    <w:lvl w:ilvl="1">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2019-12-14T21:20:33Z</dcterms:created>
  <dcterms:modified xsi:type="dcterms:W3CDTF">2019-12-14T21:20:33Z</dcterms:modified>
</cp:coreProperties>
</file>