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1,444,363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18,209,168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18,209,168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13.046%</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18,209,168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18,209,168</w:t>
      </w:r>
    </w:p>
    <w:p>
      <w:pPr>
        <w:spacing w:after="0" w:line="238" w:lineRule="auto"/>
        <w:rPr>
          <w:sz w:val="20"/>
          <w:szCs w:val="20"/>
          <w:color w:val="auto"/>
        </w:rPr>
      </w:pPr>
      <w:r>
        <w:rPr>
          <w:rFonts w:ascii="Courier New" w:cs="Courier New" w:eastAsia="Courier New" w:hAnsi="Courier New"/>
          <w:sz w:val="18"/>
          <w:szCs w:val="18"/>
          <w:color w:val="auto"/>
        </w:rPr>
        <w:t>Item 11: 13.046%</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HIRZEL HOUSE, SMITH STREET</w:t>
      </w:r>
    </w:p>
    <w:p>
      <w:pPr>
        <w:spacing w:after="0" w:line="29" w:lineRule="exact"/>
        <w:rPr>
          <w:sz w:val="24"/>
          <w:szCs w:val="24"/>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ST PETER PORT, ISLAND OF GUERNSEY</w:t>
      </w:r>
      <w:r>
        <w:rPr>
          <w:sz w:val="20"/>
          <w:szCs w:val="20"/>
          <w:color w:val="auto"/>
        </w:rPr>
        <w:tab/>
      </w:r>
      <w:r>
        <w:rPr>
          <w:rFonts w:ascii="Courier New" w:cs="Courier New" w:eastAsia="Courier New" w:hAnsi="Courier New"/>
          <w:sz w:val="16"/>
          <w:szCs w:val="16"/>
          <w:color w:val="auto"/>
        </w:rPr>
        <w:t>X0 GY1 2NG</w:t>
      </w:r>
    </w:p>
    <w:p>
      <w:pPr>
        <w:spacing w:after="0"/>
        <w:rPr>
          <w:sz w:val="20"/>
          <w:szCs w:val="20"/>
          <w:color w:val="auto"/>
        </w:rPr>
      </w:pPr>
      <w:r>
        <w:rPr>
          <w:rFonts w:ascii="Courier New" w:cs="Courier New" w:eastAsia="Courier New" w:hAnsi="Courier New"/>
          <w:sz w:val="18"/>
          <w:szCs w:val="18"/>
          <w:color w:val="auto"/>
        </w:rPr>
        <w:t>England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G02602103</w:t>
      </w:r>
    </w:p>
    <w:p>
      <w:pPr>
        <w:spacing w:after="0" w:line="201" w:lineRule="exact"/>
        <w:rPr>
          <w:sz w:val="24"/>
          <w:szCs w:val="24"/>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18,209,168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13.046%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1,444,363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18,209,168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9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9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5040" w:val="left"/>
        </w:tabs>
        <w:rPr>
          <w:sz w:val="20"/>
          <w:szCs w:val="20"/>
          <w:color w:val="auto"/>
        </w:rPr>
      </w:pPr>
      <w:r>
        <w:rPr>
          <w:rFonts w:ascii="Courier New" w:cs="Courier New" w:eastAsia="Courier New" w:hAnsi="Courier New"/>
          <w:sz w:val="18"/>
          <w:szCs w:val="18"/>
          <w:color w:val="auto"/>
        </w:rPr>
        <w:t>FIDELITY MANAGEMENT &amp; RESEARCH (JAPAN) LIMITED</w:t>
        <w:tab/>
        <w:t>IA</w:t>
      </w:r>
    </w:p>
    <w:p>
      <w:pPr>
        <w:spacing w:after="0"/>
        <w:rPr>
          <w:sz w:val="20"/>
          <w:szCs w:val="20"/>
          <w:color w:val="auto"/>
        </w:rPr>
      </w:pPr>
      <w:r>
        <w:rPr>
          <w:rFonts w:ascii="Courier New" w:cs="Courier New" w:eastAsia="Courier New" w:hAnsi="Courier New"/>
          <w:sz w:val="18"/>
          <w:szCs w:val="18"/>
          <w:color w:val="auto"/>
        </w:rPr>
        <w:t>FMR CO., INC * 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12" w:right="1440" w:bottom="0" w:gutter="0" w:footer="0" w:header="0"/>
        </w:sectPr>
      </w:pPr>
    </w:p>
    <w:bookmarkStart w:id="2" w:name="page3"/>
    <w:bookmarkEnd w:id="2"/>
    <w:p>
      <w:pPr>
        <w:ind w:right="2519" w:firstLine="8"/>
        <w:spacing w:after="0" w:line="347"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8"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4"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98"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AMDOCS LIMITED at December 31, 2018.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9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9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2019-12-19T21:22:32Z</dcterms:created>
  <dcterms:modified xsi:type="dcterms:W3CDTF">2019-12-19T21:22:32Z</dcterms:modified>
</cp:coreProperties>
</file>