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month of January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5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262255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5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580"/>
          </w:cols>
          <w:pgMar w:left="440" w:top="368" w:right="8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the 2020 Annual General Meeting of Shareholders of Amdocs Limited (the “Company”) held on January 31, 2020, the proposals listed below were submitted to a vote of the Company’s shareholders. The proposals are described in the Company’s proxy statement for the 2020 Annual General Meeting of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ten nominees to the Company’s Board of Directors each for a term of one year.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10 nominees named in the proxy statement were elected to serve as directors until the Company’s 2021 Annual General Meeting of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the vote on each director standing for election is provided below:</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Nominee</w:t>
            </w: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Votes For</w:t>
            </w:r>
          </w:p>
        </w:tc>
        <w:tc>
          <w:tcPr>
            <w:tcW w:w="780" w:type="dxa"/>
            <w:vAlign w:val="bottom"/>
          </w:tcPr>
          <w:p>
            <w:pPr>
              <w:jc w:val="right"/>
              <w:ind w:right="153"/>
              <w:spacing w:after="0"/>
              <w:rPr>
                <w:sz w:val="20"/>
                <w:szCs w:val="20"/>
                <w:color w:val="auto"/>
              </w:rPr>
            </w:pPr>
            <w:r>
              <w:rPr>
                <w:rFonts w:ascii="Arial" w:cs="Arial" w:eastAsia="Arial" w:hAnsi="Arial"/>
                <w:sz w:val="14"/>
                <w:szCs w:val="14"/>
                <w:b w:val="1"/>
                <w:bCs w:val="1"/>
                <w:color w:val="auto"/>
              </w:rPr>
              <w:t>Votes</w:t>
            </w:r>
          </w:p>
        </w:tc>
        <w:tc>
          <w:tcPr>
            <w:tcW w:w="34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Votes</w:t>
            </w:r>
          </w:p>
        </w:tc>
        <w:tc>
          <w:tcPr>
            <w:tcW w:w="34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58"/>
        </w:trPr>
        <w:tc>
          <w:tcPr>
            <w:tcW w:w="6080" w:type="dxa"/>
            <w:vAlign w:val="bottom"/>
            <w:gridSpan w:val="3"/>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78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Against</w:t>
            </w:r>
          </w:p>
        </w:tc>
        <w:tc>
          <w:tcPr>
            <w:tcW w:w="10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Abstaining</w:t>
            </w:r>
          </w:p>
        </w:tc>
        <w:tc>
          <w:tcPr>
            <w:tcW w:w="960" w:type="dxa"/>
            <w:vAlign w:val="bottom"/>
            <w:gridSpan w:val="2"/>
          </w:tcPr>
          <w:p>
            <w:pPr>
              <w:ind w:left="320"/>
              <w:spacing w:after="0" w:line="158" w:lineRule="exact"/>
              <w:rPr>
                <w:sz w:val="20"/>
                <w:szCs w:val="20"/>
                <w:color w:val="auto"/>
              </w:rPr>
            </w:pPr>
            <w:r>
              <w:rPr>
                <w:rFonts w:ascii="Arial" w:cs="Arial" w:eastAsia="Arial" w:hAnsi="Arial"/>
                <w:sz w:val="14"/>
                <w:szCs w:val="14"/>
                <w:b w:val="1"/>
                <w:bCs w:val="1"/>
                <w:color w:val="auto"/>
                <w:w w:val="88"/>
              </w:rPr>
              <w:t>Non-Votes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A. Minicucci</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108,505,003</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9,037,035</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425,149</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Adrian Gardner</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112,515,370</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5,030,819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420,998</w:t>
            </w:r>
          </w:p>
        </w:tc>
        <w:tc>
          <w:tcPr>
            <w:tcW w:w="3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Kahan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107,878,193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9,569,806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519,188</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Rafael de la Vega</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116,711,187</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1,024,359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231,641</w:t>
            </w:r>
          </w:p>
        </w:tc>
        <w:tc>
          <w:tcPr>
            <w:tcW w:w="3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Giora Yaron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117,652,697</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232,738</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115,082,020</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2,651,272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233,895</w:t>
            </w:r>
          </w:p>
        </w:tc>
        <w:tc>
          <w:tcPr>
            <w:tcW w:w="3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T.C. LeFave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113,246,594</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4,488,415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232,178</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John A. MacDonald</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117,509,641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226,044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231,502</w:t>
            </w:r>
          </w:p>
        </w:tc>
        <w:tc>
          <w:tcPr>
            <w:tcW w:w="3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Shuky Sheffer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117,085,889</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235,316</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Yvette Kanouff</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117,694,550</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227,725</w:t>
            </w:r>
          </w:p>
        </w:tc>
        <w:tc>
          <w:tcPr>
            <w:tcW w:w="34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u w:val="single" w:color="auto"/>
          <w:color w:val="auto"/>
        </w:rPr>
        <w:t>Proposal 2 – The approval of an amendment of the Amdocs Limited 1998 Stock Option and Incentive Plan increasing the number of shares authorized for issuance under the plan and the sublimit on “full value” awards under the plan, in each case, by 3,000,000 shares.</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shareholders approved an amendment of the Amdocs Limited 1998 Stock Option and Incentive Plan increasing the number of shares authorized for issuance under the plan and the sublimit on “full value” awards under the plan, in each case, by 3,000,000 shares. The voting results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3200" w:type="dxa"/>
            <w:vAlign w:val="bottom"/>
            <w:gridSpan w:val="2"/>
          </w:tcPr>
          <w:p>
            <w:pPr>
              <w:jc w:val="center"/>
              <w:ind w:left="2288"/>
              <w:spacing w:after="0"/>
              <w:rPr>
                <w:sz w:val="20"/>
                <w:szCs w:val="20"/>
                <w:color w:val="auto"/>
              </w:rPr>
            </w:pPr>
            <w:r>
              <w:rPr>
                <w:rFonts w:ascii="Arial" w:cs="Arial" w:eastAsia="Arial" w:hAnsi="Arial"/>
                <w:sz w:val="14"/>
                <w:szCs w:val="14"/>
                <w:b w:val="1"/>
                <w:bCs w:val="1"/>
                <w:color w:val="auto"/>
                <w:w w:val="89"/>
              </w:rPr>
              <w:t>Votes Against</w:t>
            </w:r>
          </w:p>
        </w:tc>
        <w:tc>
          <w:tcPr>
            <w:tcW w:w="3420" w:type="dxa"/>
            <w:vAlign w:val="bottom"/>
            <w:gridSpan w:val="2"/>
          </w:tcPr>
          <w:p>
            <w:pPr>
              <w:jc w:val="center"/>
              <w:ind w:left="2308"/>
              <w:spacing w:after="0"/>
              <w:rPr>
                <w:sz w:val="20"/>
                <w:szCs w:val="20"/>
                <w:color w:val="auto"/>
              </w:rPr>
            </w:pPr>
            <w:r>
              <w:rPr>
                <w:rFonts w:ascii="Arial" w:cs="Arial" w:eastAsia="Arial" w:hAnsi="Arial"/>
                <w:sz w:val="14"/>
                <w:szCs w:val="14"/>
                <w:b w:val="1"/>
                <w:bCs w:val="1"/>
                <w:color w:val="auto"/>
                <w:w w:val="90"/>
              </w:rPr>
              <w:t>Votes Abstaining</w:t>
            </w:r>
          </w:p>
        </w:tc>
        <w:tc>
          <w:tcPr>
            <w:tcW w:w="3500" w:type="dxa"/>
            <w:vAlign w:val="bottom"/>
            <w:gridSpan w:val="2"/>
          </w:tcPr>
          <w:p>
            <w:pPr>
              <w:jc w:val="center"/>
              <w:ind w:left="2288"/>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103,494,815</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9,219,083</w:t>
            </w:r>
          </w:p>
        </w:tc>
        <w:tc>
          <w:tcPr>
            <w:tcW w:w="23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5,253,289</w:t>
            </w:r>
          </w:p>
        </w:tc>
        <w:tc>
          <w:tcPr>
            <w:tcW w:w="2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u w:val="single" w:color="auto"/>
          <w:color w:val="auto"/>
        </w:rPr>
        <w:t>Proposal 3 – The approval of an increase in the dividend rate under the Company’s quarterly cash dividend program from $0.285 per share to $0.3275 per share.</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shareholders approved an increase in the dividend rate under the Company’s quarterly cash dividend program from $0.285 per share to $0.3275 per share. The voting results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3200" w:type="dxa"/>
            <w:vAlign w:val="bottom"/>
            <w:gridSpan w:val="2"/>
          </w:tcPr>
          <w:p>
            <w:pPr>
              <w:jc w:val="center"/>
              <w:ind w:left="2288"/>
              <w:spacing w:after="0"/>
              <w:rPr>
                <w:sz w:val="20"/>
                <w:szCs w:val="20"/>
                <w:color w:val="auto"/>
              </w:rPr>
            </w:pPr>
            <w:r>
              <w:rPr>
                <w:rFonts w:ascii="Arial" w:cs="Arial" w:eastAsia="Arial" w:hAnsi="Arial"/>
                <w:sz w:val="14"/>
                <w:szCs w:val="14"/>
                <w:b w:val="1"/>
                <w:bCs w:val="1"/>
                <w:color w:val="auto"/>
                <w:w w:val="89"/>
              </w:rPr>
              <w:t>Votes Against</w:t>
            </w:r>
          </w:p>
        </w:tc>
        <w:tc>
          <w:tcPr>
            <w:tcW w:w="3420" w:type="dxa"/>
            <w:vAlign w:val="bottom"/>
            <w:gridSpan w:val="2"/>
          </w:tcPr>
          <w:p>
            <w:pPr>
              <w:jc w:val="center"/>
              <w:ind w:left="2308"/>
              <w:spacing w:after="0"/>
              <w:rPr>
                <w:sz w:val="20"/>
                <w:szCs w:val="20"/>
                <w:color w:val="auto"/>
              </w:rPr>
            </w:pPr>
            <w:r>
              <w:rPr>
                <w:rFonts w:ascii="Arial" w:cs="Arial" w:eastAsia="Arial" w:hAnsi="Arial"/>
                <w:sz w:val="14"/>
                <w:szCs w:val="14"/>
                <w:b w:val="1"/>
                <w:bCs w:val="1"/>
                <w:color w:val="auto"/>
                <w:w w:val="90"/>
              </w:rPr>
              <w:t>Votes Abstaining</w:t>
            </w:r>
          </w:p>
        </w:tc>
        <w:tc>
          <w:tcPr>
            <w:tcW w:w="3500" w:type="dxa"/>
            <w:vAlign w:val="bottom"/>
            <w:gridSpan w:val="2"/>
          </w:tcPr>
          <w:p>
            <w:pPr>
              <w:jc w:val="center"/>
              <w:ind w:left="2288"/>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117,760,194</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5,242</w:t>
            </w:r>
          </w:p>
        </w:tc>
        <w:tc>
          <w:tcPr>
            <w:tcW w:w="23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201,751</w:t>
            </w:r>
          </w:p>
        </w:tc>
        <w:tc>
          <w:tcPr>
            <w:tcW w:w="2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4 – The approval of the Company’s Consolidated Financial Statements for the fiscal year ended September 30, 2019.</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shareholders approved the Company’s Consolidated Financial Statements for the fiscal year ended September 30, 2019. The voting results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3200" w:type="dxa"/>
            <w:vAlign w:val="bottom"/>
            <w:gridSpan w:val="2"/>
          </w:tcPr>
          <w:p>
            <w:pPr>
              <w:jc w:val="center"/>
              <w:ind w:left="2288"/>
              <w:spacing w:after="0"/>
              <w:rPr>
                <w:sz w:val="20"/>
                <w:szCs w:val="20"/>
                <w:color w:val="auto"/>
              </w:rPr>
            </w:pPr>
            <w:r>
              <w:rPr>
                <w:rFonts w:ascii="Arial" w:cs="Arial" w:eastAsia="Arial" w:hAnsi="Arial"/>
                <w:sz w:val="14"/>
                <w:szCs w:val="14"/>
                <w:b w:val="1"/>
                <w:bCs w:val="1"/>
                <w:color w:val="auto"/>
                <w:w w:val="89"/>
              </w:rPr>
              <w:t>Votes Against</w:t>
            </w:r>
          </w:p>
        </w:tc>
        <w:tc>
          <w:tcPr>
            <w:tcW w:w="3420" w:type="dxa"/>
            <w:vAlign w:val="bottom"/>
            <w:gridSpan w:val="2"/>
          </w:tcPr>
          <w:p>
            <w:pPr>
              <w:jc w:val="center"/>
              <w:ind w:left="2308"/>
              <w:spacing w:after="0"/>
              <w:rPr>
                <w:sz w:val="20"/>
                <w:szCs w:val="20"/>
                <w:color w:val="auto"/>
              </w:rPr>
            </w:pPr>
            <w:r>
              <w:rPr>
                <w:rFonts w:ascii="Arial" w:cs="Arial" w:eastAsia="Arial" w:hAnsi="Arial"/>
                <w:sz w:val="14"/>
                <w:szCs w:val="14"/>
                <w:b w:val="1"/>
                <w:bCs w:val="1"/>
                <w:color w:val="auto"/>
                <w:w w:val="90"/>
              </w:rPr>
              <w:t>Votes Abstaining</w:t>
            </w:r>
          </w:p>
        </w:tc>
        <w:tc>
          <w:tcPr>
            <w:tcW w:w="3500" w:type="dxa"/>
            <w:vAlign w:val="bottom"/>
            <w:gridSpan w:val="2"/>
          </w:tcPr>
          <w:p>
            <w:pPr>
              <w:jc w:val="center"/>
              <w:ind w:left="2288"/>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117,357,838</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1,551</w:t>
            </w:r>
          </w:p>
        </w:tc>
        <w:tc>
          <w:tcPr>
            <w:tcW w:w="23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607,798</w:t>
            </w:r>
          </w:p>
        </w:tc>
        <w:tc>
          <w:tcPr>
            <w:tcW w:w="2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1">
            <w:col w:w="11040"/>
          </w:cols>
          <w:pgMar w:left="440" w:top="270" w:right="419" w:bottom="1440" w:gutter="0" w:footer="0" w:header="0"/>
        </w:sectPr>
      </w:pPr>
    </w:p>
    <w:bookmarkStart w:id="2" w:name="page3"/>
    <w:bookmarkEnd w:id="2"/>
    <w:p>
      <w:pPr>
        <w:ind w:right="220"/>
        <w:spacing w:after="0" w:line="312" w:lineRule="auto"/>
        <w:rPr>
          <w:sz w:val="20"/>
          <w:szCs w:val="20"/>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5 – The ratification and approval of the appointment of Ernst &amp; Young LLP as the Company’s independent registered public accounting firm for the fiscal year ending September 30, 2020, and until the next annual general meeting, and authorization of the Audit Committee of the Board of Directors to fix the remuneration of such independent registered public accounting firm in accordance with the nature and extent of its services.</w:t>
      </w:r>
    </w:p>
    <w:p>
      <w:pPr>
        <w:spacing w:after="0" w:line="3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shareholders ratified and approved the appointment of Ernst &amp; Young LLP as the Company’s independent registered public accounting firm for the fiscal year ending September 30, 2020,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3200" w:type="dxa"/>
            <w:vAlign w:val="bottom"/>
            <w:gridSpan w:val="2"/>
          </w:tcPr>
          <w:p>
            <w:pPr>
              <w:jc w:val="center"/>
              <w:ind w:left="2288"/>
              <w:spacing w:after="0"/>
              <w:rPr>
                <w:sz w:val="20"/>
                <w:szCs w:val="20"/>
                <w:color w:val="auto"/>
              </w:rPr>
            </w:pPr>
            <w:r>
              <w:rPr>
                <w:rFonts w:ascii="Arial" w:cs="Arial" w:eastAsia="Arial" w:hAnsi="Arial"/>
                <w:sz w:val="14"/>
                <w:szCs w:val="14"/>
                <w:b w:val="1"/>
                <w:bCs w:val="1"/>
                <w:color w:val="auto"/>
                <w:w w:val="89"/>
              </w:rPr>
              <w:t>Votes Against</w:t>
            </w:r>
          </w:p>
        </w:tc>
        <w:tc>
          <w:tcPr>
            <w:tcW w:w="3420" w:type="dxa"/>
            <w:vAlign w:val="bottom"/>
            <w:gridSpan w:val="2"/>
          </w:tcPr>
          <w:p>
            <w:pPr>
              <w:jc w:val="center"/>
              <w:ind w:left="2308"/>
              <w:spacing w:after="0"/>
              <w:rPr>
                <w:sz w:val="20"/>
                <w:szCs w:val="20"/>
                <w:color w:val="auto"/>
              </w:rPr>
            </w:pPr>
            <w:r>
              <w:rPr>
                <w:rFonts w:ascii="Arial" w:cs="Arial" w:eastAsia="Arial" w:hAnsi="Arial"/>
                <w:sz w:val="14"/>
                <w:szCs w:val="14"/>
                <w:b w:val="1"/>
                <w:bCs w:val="1"/>
                <w:color w:val="auto"/>
                <w:w w:val="90"/>
              </w:rPr>
              <w:t>Votes Abstaining</w:t>
            </w:r>
          </w:p>
        </w:tc>
        <w:tc>
          <w:tcPr>
            <w:tcW w:w="3500" w:type="dxa"/>
            <w:vAlign w:val="bottom"/>
            <w:gridSpan w:val="2"/>
          </w:tcPr>
          <w:p>
            <w:pPr>
              <w:jc w:val="center"/>
              <w:ind w:left="2288"/>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113,107,129</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4,641,869</w:t>
            </w:r>
          </w:p>
        </w:tc>
        <w:tc>
          <w:tcPr>
            <w:tcW w:w="23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218,189</w:t>
            </w:r>
          </w:p>
        </w:tc>
        <w:tc>
          <w:tcPr>
            <w:tcW w:w="2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1">
            <w:col w:w="11040"/>
          </w:cols>
          <w:pgMar w:left="440" w:top="274" w:right="41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2020</w:t>
      </w:r>
    </w:p>
    <w:sectPr>
      <w:pgSz w:w="11900" w:h="16838" w:orient="portrait"/>
      <w:cols w:equalWidth="0" w:num="1">
        <w:col w:w="10280"/>
      </w:cols>
      <w:pgMar w:left="440" w:top="270"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2020-02-17T19:17:36Z</dcterms:created>
  <dcterms:modified xsi:type="dcterms:W3CDTF">2020-02-17T19:17:36Z</dcterms:modified>
</cp:coreProperties>
</file>