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left="400" w:right="4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OF THE SECURITIES EXCHANGE ACT OF 1934</w:t>
      </w:r>
    </w:p>
    <w:p>
      <w:pPr>
        <w:spacing w:after="0" w:line="122"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2013</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Hirzel House, Smith Street, St. Peter Port, Island of Guernsey, GY1 2NG</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Amdocs, Inc. 1390 Timberlake Manor Parkway, Chesterfield, Missouri 63017</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Rune 12g3-2(b) under the Securities Exchange Act of 1934:</w:t>
      </w:r>
    </w:p>
    <w:p>
      <w:pPr>
        <w:spacing w:after="0" w:line="99" w:lineRule="exact"/>
        <w:rPr>
          <w:sz w:val="24"/>
          <w:szCs w:val="24"/>
          <w:color w:val="auto"/>
        </w:rPr>
      </w:pPr>
    </w:p>
    <w:p>
      <w:pPr>
        <w:ind w:left="48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ind w:lef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543560</wp:posOffset>
            </wp:positionV>
            <wp:extent cx="13208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 TO BE HELD ON THURSDAY, JANUARY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shareholders of Amdocs Limited will be held at 9:00 a.m., local time, on Thursday, January 30, 2014, at the offices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WilmerHale, 7 World Trade Center, 250 Greenwich Street, New York, New York, 45th floor, for the following purposes:</w:t>
      </w:r>
    </w:p>
    <w:p>
      <w:pPr>
        <w:spacing w:after="0" w:line="84" w:lineRule="exact"/>
        <w:rPr>
          <w:sz w:val="20"/>
          <w:szCs w:val="20"/>
          <w:color w:val="auto"/>
        </w:rPr>
      </w:pPr>
    </w:p>
    <w:p>
      <w:pPr>
        <w:ind w:left="460" w:right="120" w:firstLine="443"/>
        <w:spacing w:after="0" w:line="332" w:lineRule="auto"/>
        <w:tabs>
          <w:tab w:leader="none" w:pos="10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10 individuals to serve as directors of Amdocs Limited until the next annual general meeting of shareholders or until his earlier resignation or removal or until his respective successor is elected and qualified (Proposal I);</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Giora Yaron</w:t>
      </w:r>
    </w:p>
    <w:p>
      <w:pPr>
        <w:spacing w:after="0" w:line="84"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$0.13 per share to $0.155 per share (Proposal II);</w:t>
      </w:r>
    </w:p>
    <w:p>
      <w:pPr>
        <w:spacing w:after="0" w:line="113" w:lineRule="exact"/>
        <w:rPr>
          <w:rFonts w:ascii="Arial" w:cs="Arial" w:eastAsia="Arial" w:hAnsi="Arial"/>
          <w:sz w:val="16"/>
          <w:szCs w:val="16"/>
          <w:color w:val="auto"/>
        </w:rPr>
      </w:pPr>
    </w:p>
    <w:p>
      <w:pPr>
        <w:ind w:left="460" w:firstLine="443"/>
        <w:spacing w:after="0" w:line="268" w:lineRule="auto"/>
        <w:tabs>
          <w:tab w:leader="none" w:pos="10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Amdocs Limited’s Articles of Incorporation to eliminate the requirement of shareholder approval for the declaration of dividends. (Proposal III);</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0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authorized share capital of Amdocs Limited and the authorization of the Board of Directors to issue shares for a fixed period of five years (Proposal IV);</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2013 (Proposal V); and</w:t>
      </w:r>
    </w:p>
    <w:p>
      <w:pPr>
        <w:spacing w:after="0" w:line="90" w:lineRule="exact"/>
        <w:rPr>
          <w:rFonts w:ascii="Arial" w:cs="Arial" w:eastAsia="Arial" w:hAnsi="Arial"/>
          <w:sz w:val="18"/>
          <w:szCs w:val="18"/>
          <w:color w:val="auto"/>
        </w:rPr>
      </w:pPr>
    </w:p>
    <w:p>
      <w:pPr>
        <w:ind w:left="460" w:right="240" w:firstLine="443"/>
        <w:spacing w:after="0" w:line="306" w:lineRule="auto"/>
        <w:tabs>
          <w:tab w:leader="none" w:pos="107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2014, and until the next annual general meeting, and authorize the Audit Committee of the Board of Directors to fix the remuneration of such independent registered public accounting firm in accordance with the nature and extent of its services (Proposal VI).</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Board of Directors has fixed the close of business on December 2, 2013 as the record date for the determination of our shareholders entitled to notice of, and to vote on the matters proposed at, the annual general meeting and any adjournments thereof.</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2013</w:t>
      </w:r>
    </w:p>
    <w:p>
      <w:pPr>
        <w:sectPr>
          <w:pgSz w:w="11900" w:h="16838" w:orient="portrait"/>
          <w:cols w:equalWidth="0" w:num="1">
            <w:col w:w="11320"/>
          </w:cols>
          <w:pgMar w:left="240" w:top="1408" w:right="339" w:bottom="1440" w:gutter="0" w:footer="0" w:header="0"/>
        </w:sectPr>
      </w:pPr>
    </w:p>
    <w:bookmarkStart w:id="2" w:name="page3"/>
    <w:bookmarkEnd w:id="2"/>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ind w:left="640" w:right="140" w:hanging="44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2013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62" w:lineRule="exact"/>
        <w:rPr>
          <w:rFonts w:ascii="Arial" w:cs="Arial" w:eastAsia="Arial" w:hAnsi="Arial"/>
          <w:sz w:val="18"/>
          <w:szCs w:val="18"/>
          <w:color w:val="auto"/>
        </w:rPr>
      </w:pPr>
    </w:p>
    <w:p>
      <w:pPr>
        <w:ind w:left="640" w:hanging="44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59" w:lineRule="exact"/>
        <w:rPr>
          <w:rFonts w:ascii="Arial" w:cs="Arial" w:eastAsia="Arial" w:hAnsi="Arial"/>
          <w:sz w:val="18"/>
          <w:szCs w:val="18"/>
          <w:color w:val="auto"/>
        </w:rPr>
      </w:pPr>
    </w:p>
    <w:p>
      <w:pPr>
        <w:ind w:left="640" w:hanging="44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34" w:lineRule="exact"/>
        <w:rPr>
          <w:rFonts w:ascii="Arial" w:cs="Arial" w:eastAsia="Arial" w:hAnsi="Arial"/>
          <w:sz w:val="16"/>
          <w:szCs w:val="16"/>
          <w:color w:val="auto"/>
        </w:rPr>
      </w:pPr>
    </w:p>
    <w:p>
      <w:pPr>
        <w:ind w:left="640" w:hanging="44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500" w:top="314" w:right="2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GENERAL MEETING OF SHAREHOLDERS TO BE HELD ON THURSDAY, JANUARY 30, 2014</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9:00 a.m., local time, on Thursday, January 30, 2014, at the offices of WilmerHale, 7 World Trade Center, 250 Greenwich Street, New York, New York, 45th floor,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19, 2013.</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December 2, 2013 (the “Record Date”) will be asked to take the following actions:</w:t>
      </w:r>
    </w:p>
    <w:p>
      <w:pPr>
        <w:spacing w:after="0" w:line="51" w:lineRule="exact"/>
        <w:rPr>
          <w:sz w:val="20"/>
          <w:szCs w:val="20"/>
          <w:color w:val="auto"/>
        </w:rPr>
      </w:pPr>
    </w:p>
    <w:p>
      <w:pPr>
        <w:ind w:left="460" w:right="34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10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$0.13 per share to $0.155 per share (Proposal II);</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Articles of Incorporation to eliminate the requirement of shareholder approval for the declaration of dividends (Proposal III);</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authorized share capital and provide authorization to the Board of Directors to issue shares for a fixed period of five years (Proposal IV);</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2013 (Proposal V); and</w:t>
      </w:r>
    </w:p>
    <w:p>
      <w:pPr>
        <w:spacing w:after="0" w:line="90" w:lineRule="exact"/>
        <w:rPr>
          <w:rFonts w:ascii="Arial" w:cs="Arial" w:eastAsia="Arial" w:hAnsi="Arial"/>
          <w:sz w:val="18"/>
          <w:szCs w:val="18"/>
          <w:color w:val="auto"/>
        </w:rPr>
      </w:pPr>
    </w:p>
    <w:p>
      <w:pPr>
        <w:ind w:left="460" w:right="220" w:firstLine="443"/>
        <w:spacing w:after="0" w:line="306" w:lineRule="auto"/>
        <w:tabs>
          <w:tab w:leader="none" w:pos="107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2014, and until the next annual general meeting, and authorize the Audit Committee of the Board of Directors to fix the remuneration of such independent registered public accounting firm in accordance with the nature and extent of its services (Proposal VI).</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the Record Date, Amdocs had outstanding 159,969,427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4" w:name="page5"/>
    <w:bookmarkEnd w:id="4"/>
    <w:p>
      <w:pPr>
        <w:ind w:right="4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Proposals I, II, IV, V and VI requires the affirmative vote of a majority of our ordinary shares voted in person or by proxy at the General Meeting. Approval of Proposal III requires the affirmative vote of at least 75% of our ordinary shares voted in person or by proxy at the General Meeting.</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enclosed proxy provides that each shareholder may specify that his, her or its ordinary shares be voted “for”, “against” or “abstain” from voting for each of the director nominees named in Proposal I and with respect to each of Proposals II, III, IV, V and VI.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each of the proposals.</w:t>
      </w:r>
    </w:p>
    <w:p>
      <w:pPr>
        <w:spacing w:after="0" w:line="11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Proxies will not be counted as voting in respect of any matter as to which abstention is indicated, but abstentions will be counted as ordinary shares that are present for purposes of determining whether a quorum is present at the General Meeting. As of the date of this Proxy Statement, our shares are listed on the New York Stock Exchange, or the NYSE, but beginning on December 20, 2013, our ordinary shares will cease trading on the NYSE and will commence trading on the Nasdaq Global Select Market, or Nasdaq. Nominees who are members of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30, 2014.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30, 2014</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This proxy statement and the 2013 Annual Report to Shareholders are available for viewing, printing and downloading at www.amdocs.com/proxy.</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w:t>
      </w:r>
    </w:p>
    <w:p>
      <w:pPr>
        <w:spacing w:after="0" w:line="21" w:lineRule="exact"/>
        <w:rPr>
          <w:sz w:val="20"/>
          <w:szCs w:val="20"/>
          <w:color w:val="auto"/>
        </w:rPr>
      </w:pPr>
    </w:p>
    <w:p>
      <w:pPr>
        <w:jc w:val="center"/>
        <w:ind w:left="260" w:right="1740"/>
        <w:spacing w:after="0" w:line="255" w:lineRule="auto"/>
        <w:rPr>
          <w:sz w:val="20"/>
          <w:szCs w:val="20"/>
          <w:color w:val="auto"/>
        </w:rPr>
      </w:pPr>
      <w:r>
        <w:rPr>
          <w:rFonts w:ascii="Arial" w:cs="Arial" w:eastAsia="Arial" w:hAnsi="Arial"/>
          <w:sz w:val="18"/>
          <w:szCs w:val="18"/>
          <w:b w:val="1"/>
          <w:bCs w:val="1"/>
          <w:color w:val="auto"/>
        </w:rPr>
        <w:t>proxy statement and form of proxy for our annual general meeting, and our Annual Report on Form 20-F for the fiscal year ended September 30, 2013 by contacting our investor relations department by telephone at (314) 212-8328 or by e-mail at dox_info@amdocs.com.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w:t>
      </w:r>
    </w:p>
    <w:p>
      <w:pPr>
        <w:spacing w:after="0" w:line="1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Ten directors currently serve on our Board of Directors. As set forth below, the Board of Directors has nominated ten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ten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380"/>
          </w:cols>
          <w:pgMar w:left="240" w:top="274" w:right="27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0</wp:posOffset>
            </wp:positionV>
            <wp:extent cx="231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ind w:left="540" w:hanging="479"/>
        <w:spacing w:after="0" w:line="284"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 1993. Until September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 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71" w:lineRule="exact"/>
        <w:rPr>
          <w:sz w:val="20"/>
          <w:szCs w:val="20"/>
          <w:color w:val="auto"/>
        </w:rPr>
      </w:pPr>
    </w:p>
    <w:p>
      <w:pPr>
        <w:ind w:left="540" w:right="140" w:hanging="479"/>
        <w:spacing w:after="0" w:line="294"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Gardner has been a director of Amdocs since April 1998 and is Chairman of the Audit Committee. As of January 2014, Mr. Gardner will serve as Chief Financial Officer of International Personal Finance plc, an international home credit business. Mr. Gardner was Chief Financial Officer and a director of RSM Tenon Group PLC, a London-based accounting and advisory firm listed on the London Stock Exchange, from October 2011 until the acquisition in</w:t>
      </w:r>
    </w:p>
    <w:p>
      <w:pPr>
        <w:spacing w:after="0" w:line="1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20" w:space="720"/>
            <w:col w:w="8340"/>
          </w:cols>
          <w:pgMar w:left="240" w:top="274" w:right="279" w:bottom="1440" w:gutter="0" w:footer="0" w:header="0"/>
          <w:type w:val="continuous"/>
        </w:sectPr>
      </w:pPr>
    </w:p>
    <w:bookmarkStart w:id="6" w:name="page7"/>
    <w:bookmarkEnd w:id="6"/>
    <w:p>
      <w:pPr>
        <w:ind w:left="3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2013 of its operating subsidiaries by Baker Tilly UK Holdings Limited. Mr. Gardner currently serves as</w:t>
      </w:r>
    </w:p>
    <w:p>
      <w:pPr>
        <w:spacing w:after="0" w:line="3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Chief Financial Officer and as a director of the former principal operating subsidiary, which has been renamed</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Baker Tilly Business Services Limited. From March 2011 to October 2011, Mr. Gardner was a private investor.</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Mr. Gardner was Chief Financial Officer of PA Consulting Group, a London-based business consulting firm from</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November 2007 to March 2011. From April until November 2007, Mr. Gardner was a private investor.</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Mr. Gardner was Chief Financial Officer of ProStrakan Group plc, a pharmaceuticals company based in the</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United Kingdom and listed on the London Stock Exchange, from 2002 until April 2007 and a director from April</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2002 until June 2007. Prior to joining ProStrakan, he was a Managing Director of Lazard LLC, based in London,</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where he worked with technology and telecommunications-related companies. Prior to joining Lazard in 1989,</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Mr. Gardner qualified as a chartered accountant with Price Waterhouse (now PricewaterhouseCoopers).</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Mr. Gardner is a member of the Institute of Chartered Accountants in England &amp; Wales. Mr. Gardner’s extensive</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experience as an accountant, technology investment banker and chief financial officer enables him to make</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valuable contributions to our strategic and financial affairs.</w:t>
      </w:r>
    </w:p>
    <w:p>
      <w:pPr>
        <w:sectPr>
          <w:pgSz w:w="11900" w:h="16838" w:orient="portrait"/>
          <w:cols w:equalWidth="0" w:num="1">
            <w:col w:w="11420"/>
          </w:cols>
          <w:pgMar w:left="240" w:top="388" w:right="239" w:bottom="1440" w:gutter="0" w:footer="0" w:header="0"/>
        </w:sectPr>
      </w:pP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John T. McLennan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0" w:hanging="379"/>
        <w:spacing w:after="0" w:line="286" w:lineRule="auto"/>
        <w:rPr>
          <w:sz w:val="20"/>
          <w:szCs w:val="20"/>
          <w:color w:val="auto"/>
        </w:rPr>
      </w:pPr>
      <w:r>
        <w:rPr>
          <w:rFonts w:ascii="Arial" w:cs="Arial" w:eastAsia="Arial" w:hAnsi="Arial"/>
          <w:sz w:val="16"/>
          <w:szCs w:val="16"/>
          <w:color w:val="auto"/>
        </w:rPr>
        <w:t>68</w:t>
      </w:r>
      <w:r>
        <w:rPr>
          <w:sz w:val="20"/>
          <w:szCs w:val="20"/>
          <w:color w:val="auto"/>
        </w:rPr>
        <w:t xml:space="preserve"> </w:t>
      </w:r>
      <w:r>
        <w:rPr>
          <w:rFonts w:ascii="Arial" w:cs="Arial" w:eastAsia="Arial" w:hAnsi="Arial"/>
          <w:sz w:val="16"/>
          <w:szCs w:val="16"/>
          <w:color w:val="auto"/>
        </w:rPr>
        <w:t>Mr. McLennan has been a director of Amdocs since November 1999 and is Chairman of the Management Resources and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67"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Simon Olswang</w:t>
      </w:r>
    </w:p>
    <w:p>
      <w:pPr>
        <w:spacing w:after="0" w:line="20" w:lineRule="exact"/>
        <w:rPr>
          <w:sz w:val="20"/>
          <w:szCs w:val="20"/>
          <w:color w:val="auto"/>
        </w:rPr>
      </w:pPr>
      <w:r>
        <w:rPr>
          <w:sz w:val="20"/>
          <w:szCs w:val="20"/>
          <w:color w:val="auto"/>
        </w:rPr>
        <w:br w:type="column"/>
      </w:r>
    </w:p>
    <w:p>
      <w:pPr>
        <w:ind w:right="80" w:hanging="379"/>
        <w:spacing w:after="0" w:line="288" w:lineRule="auto"/>
        <w:rPr>
          <w:sz w:val="20"/>
          <w:szCs w:val="20"/>
          <w:color w:val="auto"/>
        </w:rPr>
      </w:pPr>
      <w:r>
        <w:rPr>
          <w:rFonts w:ascii="Arial" w:cs="Arial" w:eastAsia="Arial" w:hAnsi="Arial"/>
          <w:sz w:val="16"/>
          <w:szCs w:val="16"/>
          <w:color w:val="auto"/>
        </w:rPr>
        <w:t>69</w:t>
      </w:r>
      <w:r>
        <w:rPr>
          <w:sz w:val="20"/>
          <w:szCs w:val="20"/>
          <w:color w:val="auto"/>
        </w:rPr>
        <w:t xml:space="preserve"> </w:t>
      </w:r>
      <w:r>
        <w:rPr>
          <w:rFonts w:ascii="Arial" w:cs="Arial" w:eastAsia="Arial" w:hAnsi="Arial"/>
          <w:sz w:val="16"/>
          <w:szCs w:val="16"/>
          <w:color w:val="auto"/>
        </w:rPr>
        <w:t>Mr.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In May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w:t>
      </w:r>
    </w:p>
    <w:p>
      <w:pPr>
        <w:spacing w:after="0" w:line="106"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88" w:right="239" w:bottom="1440" w:gutter="0" w:footer="0" w:header="0"/>
          <w:type w:val="continuous"/>
        </w:sectPr>
      </w:pPr>
    </w:p>
    <w:bookmarkStart w:id="7" w:name="page8"/>
    <w:bookmarkEnd w:id="7"/>
    <w:p>
      <w:pPr>
        <w:ind w:left="344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ectPr>
          <w:pgSz w:w="11900" w:h="16838" w:orient="portrait"/>
          <w:cols w:equalWidth="0" w:num="1">
            <w:col w:w="11420"/>
          </w:cols>
          <w:pgMar w:left="240" w:top="388" w:right="239" w:bottom="1440" w:gutter="0" w:footer="0" w:header="0"/>
        </w:sectPr>
      </w:pPr>
    </w:p>
    <w:p>
      <w:pPr>
        <w:spacing w:after="0" w:line="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Zohar Zisapel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hanging="379"/>
        <w:spacing w:after="0" w:line="287" w:lineRule="auto"/>
        <w:rPr>
          <w:sz w:val="20"/>
          <w:szCs w:val="20"/>
          <w:color w:val="auto"/>
        </w:rPr>
      </w:pPr>
      <w:r>
        <w:rPr>
          <w:rFonts w:ascii="Arial" w:cs="Arial" w:eastAsia="Arial" w:hAnsi="Arial"/>
          <w:sz w:val="16"/>
          <w:szCs w:val="16"/>
          <w:color w:val="auto"/>
        </w:rPr>
        <w:t>64</w:t>
      </w:r>
      <w:r>
        <w:rPr>
          <w:sz w:val="20"/>
          <w:szCs w:val="20"/>
          <w:color w:val="auto"/>
        </w:rPr>
        <w:t xml:space="preserve"> </w:t>
      </w:r>
      <w:r>
        <w:rPr>
          <w:rFonts w:ascii="Arial" w:cs="Arial" w:eastAsia="Arial" w:hAnsi="Arial"/>
          <w:sz w:val="16"/>
          <w:szCs w:val="16"/>
          <w:color w:val="auto"/>
        </w:rPr>
        <w:t>Mr. Zisapel has been a director of Amdocs since July 2008 and is the Chairman of the Technology and Innovation Committee. Mr. Zisapel co-founded and was chairman of RAD Data Communications Ltd. from 1982 until August 2012, a privately-held voice and data communications company and part of the RAD Group, a family of independent networking and telecommunications companies. Mr. Zisapel also serves as chairman of Ceragon Networks Ltd. and RADCOM Ltd., each of which is a publicly-traded member of the RAD Group, as a director of Silicom Ltd., a public company, as well as on the boards of directors of several privately-held 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69"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Julian A. Brodsky</w:t>
      </w:r>
    </w:p>
    <w:p>
      <w:pPr>
        <w:spacing w:after="0" w:line="20" w:lineRule="exact"/>
        <w:rPr>
          <w:sz w:val="20"/>
          <w:szCs w:val="20"/>
          <w:color w:val="auto"/>
        </w:rPr>
      </w:pPr>
      <w:r>
        <w:rPr>
          <w:sz w:val="20"/>
          <w:szCs w:val="20"/>
          <w:color w:val="auto"/>
        </w:rPr>
        <w:br w:type="column"/>
      </w:r>
    </w:p>
    <w:p>
      <w:pPr>
        <w:ind w:right="20" w:hanging="379"/>
        <w:spacing w:after="0" w:line="290" w:lineRule="auto"/>
        <w:rPr>
          <w:sz w:val="20"/>
          <w:szCs w:val="20"/>
          <w:color w:val="auto"/>
        </w:rPr>
      </w:pPr>
      <w:r>
        <w:rPr>
          <w:rFonts w:ascii="Arial" w:cs="Arial" w:eastAsia="Arial" w:hAnsi="Arial"/>
          <w:sz w:val="16"/>
          <w:szCs w:val="16"/>
          <w:color w:val="auto"/>
        </w:rPr>
        <w:t>80</w:t>
      </w:r>
      <w:r>
        <w:rPr>
          <w:sz w:val="20"/>
          <w:szCs w:val="20"/>
          <w:color w:val="auto"/>
        </w:rPr>
        <w:t xml:space="preserve"> </w:t>
      </w:r>
      <w:r>
        <w:rPr>
          <w:rFonts w:ascii="Arial" w:cs="Arial" w:eastAsia="Arial" w:hAnsi="Arial"/>
          <w:sz w:val="16"/>
          <w:szCs w:val="16"/>
          <w:color w:val="auto"/>
        </w:rPr>
        <w:t>Mr. Brodsky has been a director of Amdocs since July 2003. Since 2011, Mr. Brodsky has served as a senior advisor to Comcast Corporation. Mr. Brodsky served as a director and as Vice Chairman of Comcast Corporation from 1989 to 2011. From 1969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64"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Eli Gelman</w:t>
      </w:r>
    </w:p>
    <w:p>
      <w:pPr>
        <w:spacing w:after="0" w:line="20" w:lineRule="exact"/>
        <w:rPr>
          <w:sz w:val="20"/>
          <w:szCs w:val="20"/>
          <w:color w:val="auto"/>
        </w:rPr>
      </w:pPr>
      <w:r>
        <w:rPr>
          <w:sz w:val="20"/>
          <w:szCs w:val="20"/>
          <w:color w:val="auto"/>
        </w:rPr>
        <w:br w:type="column"/>
      </w:r>
    </w:p>
    <w:p>
      <w:pPr>
        <w:ind w:hanging="379"/>
        <w:spacing w:after="0" w:line="286" w:lineRule="auto"/>
        <w:rPr>
          <w:sz w:val="20"/>
          <w:szCs w:val="20"/>
          <w:color w:val="auto"/>
        </w:rPr>
      </w:pPr>
      <w:r>
        <w:rPr>
          <w:rFonts w:ascii="Arial" w:cs="Arial" w:eastAsia="Arial" w:hAnsi="Arial"/>
          <w:sz w:val="16"/>
          <w:szCs w:val="16"/>
          <w:color w:val="auto"/>
        </w:rPr>
        <w:t>55</w:t>
      </w:r>
      <w:r>
        <w:rPr>
          <w:sz w:val="20"/>
          <w:szCs w:val="20"/>
          <w:color w:val="auto"/>
        </w:rPr>
        <w:t xml:space="preserve"> </w:t>
      </w:r>
      <w:r>
        <w:rPr>
          <w:rFonts w:ascii="Arial" w:cs="Arial" w:eastAsia="Arial" w:hAnsi="Arial"/>
          <w:sz w:val="16"/>
          <w:szCs w:val="16"/>
          <w:color w:val="auto"/>
        </w:rPr>
        <w:t>Mr. Gelman has been a director of Amdocs since 2002. On November 15, 2010, Mr. Gelman became the President and Chief Executive Officer of Amdocs Management Limited, our wholly-owned subsidiary. From January 2010 until February 2013, Mr. Gelman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w:t>
      </w:r>
    </w:p>
    <w:p>
      <w:pPr>
        <w:spacing w:after="0" w:line="107"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88" w:right="239" w:bottom="1440" w:gutter="0" w:footer="0" w:header="0"/>
          <w:type w:val="continuous"/>
        </w:sectPr>
      </w:pPr>
    </w:p>
    <w:bookmarkStart w:id="8" w:name="page9"/>
    <w:bookmarkEnd w:id="8"/>
    <w:p>
      <w:pPr>
        <w:ind w:left="3440" w:right="8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Officer. With more than 30 years of experience in the software industry, he possesses a vast institutional knowledge and strategic understanding of our organization and industry.</w:t>
      </w:r>
    </w:p>
    <w:p>
      <w:pPr>
        <w:sectPr>
          <w:pgSz w:w="11900" w:h="16838" w:orient="portrait"/>
          <w:cols w:equalWidth="0" w:num="1">
            <w:col w:w="11420"/>
          </w:cols>
          <w:pgMar w:left="240" w:top="388" w:right="239" w:bottom="1440" w:gutter="0" w:footer="0" w:header="0"/>
        </w:sectPr>
      </w:pPr>
    </w:p>
    <w:p>
      <w:pPr>
        <w:spacing w:after="0" w:line="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James S. Kahan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hanging="379"/>
        <w:spacing w:after="0" w:line="287" w:lineRule="auto"/>
        <w:rPr>
          <w:sz w:val="20"/>
          <w:szCs w:val="20"/>
          <w:color w:val="auto"/>
        </w:rPr>
      </w:pPr>
      <w:r>
        <w:rPr>
          <w:rFonts w:ascii="Arial" w:cs="Arial" w:eastAsia="Arial" w:hAnsi="Arial"/>
          <w:sz w:val="16"/>
          <w:szCs w:val="16"/>
          <w:color w:val="auto"/>
        </w:rPr>
        <w:t>66</w:t>
      </w:r>
      <w:r>
        <w:rPr>
          <w:sz w:val="20"/>
          <w:szCs w:val="20"/>
          <w:color w:val="auto"/>
        </w:rPr>
        <w:t xml:space="preserve"> </w:t>
      </w:r>
      <w:r>
        <w:rPr>
          <w:rFonts w:ascii="Arial" w:cs="Arial" w:eastAsia="Arial" w:hAnsi="Arial"/>
          <w:sz w:val="16"/>
          <w:szCs w:val="16"/>
          <w:color w:val="auto"/>
        </w:rPr>
        <w:t>Mr. Kahan has been a director of Amdocs since April 1998.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and Frontier Communication Corporation, a publicly-traded provider of rural communication services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69"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Richard T.C. LeFave</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62</w:t>
        <w:tab/>
        <w:t>Mr. LeFave has been a director of Amdocs since November 2011. Since May 2008, Mr. LeFave has been a</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at D&amp;L Partners, LLC, an information technology consulting firm. Mr. LeFave served as Chief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Officer for Nextel Communications, a telecommunications company, from 1999 until its merger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 Sprint Corporation in September 2005, after which he served as Chief Information Officer for Sprint Nextel</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Corporation until May 2008. From 1995 to 1999, Mr. LeFave served as Chief Information Officer for Southern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New England Telephone Company, a provider of communications products and services. We believe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Mr. LeFave’s qualifications to sit on our board include his extensive experience and leadership in the information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technology and telecommunications industry.</w:t>
      </w:r>
    </w:p>
    <w:p>
      <w:pPr>
        <w:spacing w:after="0" w:line="111" w:lineRule="exact"/>
        <w:rPr>
          <w:sz w:val="20"/>
          <w:szCs w:val="20"/>
          <w:color w:val="auto"/>
        </w:rPr>
      </w:pPr>
    </w:p>
    <w:p>
      <w:pPr>
        <w:sectPr>
          <w:pgSz w:w="11900" w:h="16838" w:orient="portrait"/>
          <w:cols w:equalWidth="0" w:num="2">
            <w:col w:w="2340" w:space="720"/>
            <w:col w:w="8360"/>
          </w:cols>
          <w:pgMar w:left="240" w:top="3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Giora Yaron</w:t>
      </w:r>
    </w:p>
    <w:p>
      <w:pPr>
        <w:spacing w:after="0" w:line="20" w:lineRule="exact"/>
        <w:rPr>
          <w:sz w:val="20"/>
          <w:szCs w:val="20"/>
          <w:color w:val="auto"/>
        </w:rPr>
      </w:pPr>
      <w:r>
        <w:rPr>
          <w:sz w:val="20"/>
          <w:szCs w:val="20"/>
          <w:color w:val="auto"/>
        </w:rPr>
        <w:br w:type="column"/>
      </w:r>
    </w:p>
    <w:p>
      <w:pPr>
        <w:ind w:right="80" w:hanging="379"/>
        <w:spacing w:after="0" w:line="285" w:lineRule="auto"/>
        <w:rPr>
          <w:sz w:val="20"/>
          <w:szCs w:val="20"/>
          <w:color w:val="auto"/>
        </w:rPr>
      </w:pPr>
      <w:r>
        <w:rPr>
          <w:rFonts w:ascii="Arial" w:cs="Arial" w:eastAsia="Arial" w:hAnsi="Arial"/>
          <w:sz w:val="16"/>
          <w:szCs w:val="16"/>
          <w:color w:val="auto"/>
        </w:rPr>
        <w:t>65</w:t>
      </w:r>
      <w:r>
        <w:rPr>
          <w:sz w:val="20"/>
          <w:szCs w:val="20"/>
          <w:color w:val="auto"/>
        </w:rPr>
        <w:t xml:space="preserve"> </w:t>
      </w:r>
      <w:r>
        <w:rPr>
          <w:rFonts w:ascii="Arial" w:cs="Arial" w:eastAsia="Arial" w:hAnsi="Arial"/>
          <w:sz w:val="16"/>
          <w:szCs w:val="16"/>
          <w:color w:val="auto"/>
        </w:rPr>
        <w:t>Dr.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Since 2010, Dr. Yaron has been the chairman of The Executive Council of Tel Aviv University, an institution of higher education and the chairman of Ramot (the Tel Aviv University’s technology transfer company). Dr. Yaron also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15" w:lineRule="exact"/>
        <w:rPr>
          <w:sz w:val="20"/>
          <w:szCs w:val="20"/>
          <w:color w:val="auto"/>
        </w:rPr>
      </w:pPr>
    </w:p>
    <w:p>
      <w:pPr>
        <w:sectPr>
          <w:pgSz w:w="11900" w:h="16838" w:orient="portrait"/>
          <w:cols w:equalWidth="0" w:num="2">
            <w:col w:w="2720" w:space="720"/>
            <w:col w:w="7980"/>
          </w:cols>
          <w:pgMar w:left="240" w:top="388"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8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described below. Members of each committee are appointed by the Board of Directors.</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Brodsky, LeFave and Olswang, all of whom are independent directors, as defined by the rules of both the NYSE and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and Nasdaq. The Audit Committee written charter, which becomes effective on December 20, 2013 when our ordinary share commence trading on Nasdaq, is attached to this Proxy Statement as Appendix A and it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identifies individuals qualified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NYSE listing rules and in accordance with Nasdaq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The Nominating and Corporate Governance Committee has approved corporate governance guidelines that are also available on our website at</w:t>
      </w:r>
      <w:r>
        <w:rPr>
          <w:rFonts w:ascii="Arial" w:cs="Arial" w:eastAsia="Arial" w:hAnsi="Arial"/>
          <w:sz w:val="16"/>
          <w:szCs w:val="16"/>
          <w:i w:val="1"/>
          <w:iCs w:val="1"/>
          <w:color w:val="auto"/>
        </w:rPr>
        <w:t xml:space="preserve"> www.amdocs.com</w:t>
      </w:r>
      <w:r>
        <w:rPr>
          <w:rFonts w:ascii="Arial" w:cs="Arial" w:eastAsia="Arial" w:hAnsi="Arial"/>
          <w:sz w:val="16"/>
          <w:szCs w:val="16"/>
          <w:color w:val="auto"/>
        </w:rPr>
        <w:t>. You may request a copy of the corporate governance guidelines, at no cost, by writing to us at the address listed below under the heading</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20-F.”</w:t>
      </w:r>
    </w:p>
    <w:p>
      <w:pPr>
        <w:spacing w:after="0" w:line="12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i w:val="1"/>
          <w:iCs w:val="1"/>
          <w:color w:val="auto"/>
        </w:rPr>
        <w:t>Management Resources and Compensation Committee</w:t>
      </w:r>
      <w:r>
        <w:rPr>
          <w:rFonts w:ascii="Arial" w:cs="Arial" w:eastAsia="Arial" w:hAnsi="Arial"/>
          <w:sz w:val="15"/>
          <w:szCs w:val="15"/>
          <w:color w:val="auto"/>
        </w:rPr>
        <w:t>. The Management Resources and Compensation Committee discharges the responsibilities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both the NYSE and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5"/>
          <w:szCs w:val="15"/>
          <w:i w:val="1"/>
          <w:iCs w:val="1"/>
          <w:color w:val="auto"/>
        </w:rPr>
        <w:t>www.amdocs.com</w:t>
      </w:r>
      <w:r>
        <w:rPr>
          <w:rFonts w:ascii="Arial" w:cs="Arial" w:eastAsia="Arial" w:hAnsi="Arial"/>
          <w:sz w:val="15"/>
          <w:szCs w:val="15"/>
          <w:color w:val="auto"/>
        </w:rPr>
        <w:t>.</w:t>
      </w:r>
    </w:p>
    <w:p>
      <w:pPr>
        <w:spacing w:after="0" w:line="10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Technology and Innovation Committee</w:t>
      </w:r>
      <w:r>
        <w:rPr>
          <w:rFonts w:ascii="Arial" w:cs="Arial" w:eastAsia="Arial" w:hAnsi="Arial"/>
          <w:sz w:val="18"/>
          <w:szCs w:val="18"/>
          <w:color w:val="auto"/>
        </w:rPr>
        <w:t>. The Technology and Innovation Committee was established to assist the Board of Directors in reviewing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development, opportunities and innovation, in connection with our current and future business and markets. The current members of our Technology and Innovation Committee are Messrs. Zisapel (Chair) and Dr. Yaron.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independent directors receive no compensation from us, except in connection with their membership on the Board of Directors and its committees as described below regarding Non-Employee Directors under “—Compensation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and Committee Meetings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past fiscal year, the Board of Directors held five meetings. In addition, the Audit Committee held eight meetings, the Management Resources and Compensation Committee held four meetings, the Nominating and Corporate Governance Committee held four meetings and the Technology and Innovation Committee held four meetings in the 2013 fiscal year. During fiscal 2013, each of our directors attended at least 75% of the aggregate of the number of Board of Directors meetings held during the time he was serving as a director and meetings held by all committees on which he then served. During fiscal 2013, our directors who are not our employees, which we refer to as Non-Employee Directors, held three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NYSE or Nasdaq listing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adopted a formal set of categorical independence standards with respect to the determination of director independence.</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accordance with these standards and Nasdaq rules, our Board of Directors has determined that each of the following nine of our current ten directors has no material relationship with us that would interfere with the exercise of independent judgment in carrying out the responsibilities of a director: Messrs. Minicucci, Gardner, McLennan, Olswang, Zisapel, Brodsky, Kahan, LeFave and Dr. Yaron.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executive officers, our subsidiaries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 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fiscal 2013, each of our directors who was not our employee, or Non-Employee Directors, received an annual cash payment of $60,000. Each member of our Audit who is a Non-Employee Director and who is not the chairman of such committee received an annual cash payment of $15,000. Each member of our Management Resources and Compensation, Nominating and Corporate Governance and Technology and Innovation Committees, who is a Non-Employee Director and who is not the chairman of such committees, received an annual cash payment of $10,000. The Chairman of our Audit Committee received an annual cash payment of $30,000 and the Chairmen of our Management Resources and Compensation, Nominating and Corporate Governance and Technology and Innovation Committees each received an annual cash payment of $20,000. Each Non-Employee Director received an annual grant of ordinary shares at a total value of $200,000. The Chairman of the Board of Directors received an additional annual amount equal to $150,000 awarded in the form of ordinary shares. All ordinary share awards to our Non-Employee Directors are fully vested upon grant. The price per share for the purpose of determining the value of the grants to our Non-Employee Directors was the NYSE closing price of our shares on the last trading day preceding the grant date. We reimbursed all of our Non-Employee Directors for their reasonable travel expenses incurred in connection with attending Board or committee meetings. Cash compensation paid to our Non-Employee Directors was prorated for partial year service.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Commencing in fiscal 2014, we revised our director compensation program. Each Non-Employee Director will receive an annual cash payment of $75,000. Each member of our Audit who is a Non-Employee Director and who is not the chairman of such committee will continue to receive an annual cash payment of $15,000. Each member of our Management Resources and Compensation, Nominating and Corporate Governance and Technology and Innovation Committees, who is a Non-Employee Director and who is not the chairman of such committees, will continue to receive an annual cash payment of $10,000. The Chairman of our Audit Committee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continue to receive an annual cash payment of $30,000 and the Chairmen of our Management Resources and Compensation, Nominating and Corporate Governance and Technology and Innovation Committees each will continue to receive an annual cash payment of $20,000. Each Non-Employee Director received an annual grant of ordinary shares at a total value of $210,000. The Chairman of the Board of Directors received an additional annual amount equal to $200,000 awarded in the form of ordinary shares. All ordinary share awards to our Non-Employee Directors are fully vested upon grant. The price per share for the purpose of determining the value of the grants to our Non-Employee Directors was the NYSE closing price of our shares on the last trading day preceding the grant date and going forward will be the Nasdaq closing price of our shares on the last trading day preceding the grant date. We will continue to reimburse all of our Non-Employee Directors for their reasonable travel expenses incurred in connection with attending Board or committee meetings. Cash compensation paid to our Non-Employee Directors will be prorated for partial year service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2013 fiscal year, we granted to ten Non-Employee Directors an aggregate of 64,803 shares at a weighted average price of $32.79 per share, which were fully vested upon grant.</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It is proposed that each of the following ten individuals be elected to serve as a director of Amdocs Limited until the next annual general meeting of shareholders or until his earlier resignation or removal or until his respective successor is elected and qualified:</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07"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December 2, 2013 of (i) 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159,969,427 ordinary shares outstanding as of December 2, 2013. Information concerning shareholders other than our directors and officers is based on periodic public filings made by such shareholders and may not necessarily be accurate as of December 2, 2013.</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vMerge w:val="restart"/>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58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9"/>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Manning &amp; Napier Advisors, Inc.(1)</w:t>
            </w:r>
          </w:p>
        </w:tc>
        <w:tc>
          <w:tcPr>
            <w:tcW w:w="8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14,128,523</w:t>
            </w:r>
          </w:p>
        </w:tc>
        <w:tc>
          <w:tcPr>
            <w:tcW w:w="7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FMR LLC (2)</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13,795,897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 (3)</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11,719,500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Janus Capital Management LLC (4)</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9,906,372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persons)(5)</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2,508,798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January 23, 2013, as of December 31, 2012, Manning &amp; Napier had sole voting power over 12,472,333 of our ordinary shares and sole dispositive power over 14,128,523 of our ordinary shares. The address of Manning &amp; Napier is 290 Woodcliff Drive, Fairport, New York 14450.</w:t>
      </w: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13G/A filed by FMR LLC with the SEC on February 14, 2013, as of December 31, 2012, FMR LLC had sole power to vote or direct the vote over 948,734 shares and sole power to dispose or direct the disposition of 13,795,897 shares. This includes 12,750,927 shares beneficially owned by Fidelity Management &amp; Research Company (“Fidelity”) in its capacity as an investment advisor; 169 shares beneficially owned by Strategic Advisers, Inc. (“SAI”) in its capacity as an investment advisor; 22,627 shares beneficially owned by Pyramis Global Advisors Trust Company (“PGATC”) as a result of its serving as an investment manager of institutional accounts owning such shares; and 1,022,174 shares over which FIL Limited (“FIL”) has sole dispositive power through its investment advisory and management services to a number of non-U.S. investment companies and institutional investors. Fidelity and SAI are wholly owned subsidiaries of FMR LLC. PGATC is an indirect wholly owned subsidiary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PGATC is 900 Salem Street, Smithfield, Rhode Island 02917. The address of FIL is Pembroke Hall, 42 Crow Lane, Hamilton, Bermuda.</w:t>
      </w:r>
    </w:p>
    <w:p>
      <w:pPr>
        <w:spacing w:after="0" w:line="7"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T. Rowe Price Associates, Inc., or T. Rowe Price, with the SEC on February 11, 2013, as of December 31, 2012, T. Rowe Price had sole voting power over 2,413,500 of our ordinary shares and sole dispositive power over 11,719,500 of our ordinary shares. The address of T. Rowe Price is 100 E. Pratt Street, Baltimore, Maryland 21202.</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13G/A filed by Janus Capital Management LLC, or Janus, with the SEC on February 14, 2013, as of December 31, 2012, Janus has a direct 95.67% ownership stake in INTECH Investment Management, or INTECH, and a direct 77.8%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4" w:name="page15"/>
    <w:bookmarkEnd w:id="14"/>
    <w:p>
      <w:pPr>
        <w:ind w:left="452"/>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adviser or sub-adviser to the Managed Portfolios, Janus may be deemed to be the beneficial owner of 9,902,472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51 Detroit Street, Denver, Colorado 80206.</w:t>
      </w:r>
    </w:p>
    <w:p>
      <w:pPr>
        <w:spacing w:after="0" w:line="1" w:lineRule="exact"/>
        <w:rPr>
          <w:sz w:val="20"/>
          <w:szCs w:val="20"/>
          <w:color w:val="auto"/>
        </w:rPr>
      </w:pPr>
    </w:p>
    <w:p>
      <w:pPr>
        <w:ind w:left="452" w:right="160" w:hanging="452"/>
        <w:spacing w:after="0" w:line="323"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options held by such directors and executive officers that are exercisable within 60 days after December 2, 2013. As of such date, none of our directors, senior managers or key employees beneficially owned 1% or more of our outstanding ordinary shares.</w:t>
      </w:r>
    </w:p>
    <w:p>
      <w:pPr>
        <w:spacing w:after="0" w:line="79"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92"/>
          </w:cols>
          <w:pgMar w:left="248" w:top="280" w:right="4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2013 and has discussed these financial statements with our management and independent registered public accounting firm.</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2013, our Audit Committee approved all of the services provided by Ernst &amp; Young.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 and subject to the approval of our shareholders by ordinary resolution.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July 31, 2012, our shareholders approved the institution of a quarterly cash dividend program at the quarterly rate of $0.13 per ordinary share. 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w:t>
      </w:r>
    </w:p>
    <w:p>
      <w:pPr>
        <w:spacing w:after="0" w:line="14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On November 5, 2013, our Board of Directors approved an increase in the quarterly cash dividend rate from $0.13 per ordinary share to $0.155 per ordinary share. In order to permit us to implement this dividend rate increase, our Board of Directors proposes that our shareholders approve the ordinary resolution set forth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July 2012, we have generated increases in annual revenue, net income and free cash flow. At the same time, we have continued to repurchase our ordinary shares, through a subsidiary, and repurchased approximately $366.9 million (excluding broker and transaction fees) of our ordinary shares during the fiscal year ended September 30, 2013.</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increase in the quarterly dividend rate coincides with our general long-term guideline to allocate roughly half of our free cash flow (calculated as cash flow from operations less net capital expenditures and other) towards growth investments, including mergers and acquisitions, and to return the other half to our shareholders through a combination of the dividend program and share repurchases. This is not a complete presentation of our financial position, results of operations and cash flows in conformity with U.S. generally accepted accounting principles, so we encourage you to review our consolidated financial statements for the fiscal year ended September 30, 2013 set forth in our Annual Report on Form 20-F filed on December 9, 2013 with the U.S. Securities and Exchange Commission, or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 unless our shareholders also approve the proposed amendment to our Articles of Incorporation as set forth in Proposal III.</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shareholder approval, the Company expects to begin paying the dividend at the increased rate during the quarter commencing April 1, 2014.</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$0.13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United States Federal Income Tax Considerations Related to Distributions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In general, U.S. corporate shareholders will not be entitled to any deduction for distributions received as dividends on the ordinary shares.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(as well as foreign corporations from certain treaty jurisdictions). Since our ordinary shares have been readily tradable on the NYSE and as of December 20, 2013 will be readily tradable on Nasdaq, we believe that dividends paid by us with respect to our ordinary shares should constitute “qualified dividend income” for U.S. federal income tax purposes, provided that the holding period requirements are satisfied and none of the other special exceptions applies. The reduced rate will not apply to dividends received to the extent that the U.S. holder elects to treat dividends as “investment income,” which may be offset by investment interest expense. In addition, dividends paid by us will not qualify for the 20% U.S. federal income tax rate if we are treated, for the tax year in which the dividends are paid or the preceding tax year, as a “passive foreign investment company” for U.S. federal income tax purposes, which we would be if (i) at least 75% of our gross income is “passive income” (</w:t>
      </w:r>
      <w:r>
        <w:rPr>
          <w:rFonts w:ascii="Arial" w:cs="Arial" w:eastAsia="Arial" w:hAnsi="Arial"/>
          <w:sz w:val="16"/>
          <w:szCs w:val="16"/>
          <w:i w:val="1"/>
          <w:iCs w:val="1"/>
          <w:color w:val="auto"/>
        </w:rPr>
        <w:t>i.e.</w:t>
      </w:r>
      <w:r>
        <w:rPr>
          <w:rFonts w:ascii="Arial" w:cs="Arial" w:eastAsia="Arial" w:hAnsi="Arial"/>
          <w:sz w:val="16"/>
          <w:szCs w:val="16"/>
          <w:color w:val="auto"/>
        </w:rPr>
        <w:t>,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classified as a passive foreign investment company in the current taxable year and do not expect to become one in the foreseeable future.</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classified as foreign source “passive income” or “financial services income” for U.S. foreign tax credit purposes.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U.S. holders generally will be subject to information reporting requirements with respect to dividends that are paid within the United States or through U.S.-related financial intermediaries, unless the U.S. holder is an “exempt recipient.” U.S. holders may also be subject to backup withholding (currently at a rate of 28%) on such payments,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proposed that the following ordinary resolution be adopted at the General Meeting:</w:t>
      </w:r>
    </w:p>
    <w:p>
      <w:pPr>
        <w:spacing w:after="0" w:line="171"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“RESOLVED, that an increase in the dividend rate under Amdocs Limited’s quarterly cash dividend program from $0.13 per share to $0.155 per share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of the cash dividend program.</w:t>
      </w:r>
    </w:p>
    <w:p>
      <w:pPr>
        <w:spacing w:after="0" w:line="12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280" w:right="4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RESOLUTION AMENDING THE COMPANY’S ARTICLES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only after first obtaining the approval of our shareholders by ordinary resolution (and subject to compliance with applicable law). Article 92 was initially included in our Articles of Incorporation to comply with requirements imposed by Guernsey law. However, Guernsey’s corporate law was amended in 2008 and now permits companies to dispense with the shareholder approval requirement that we are proposing to eliminate.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Board of Directors has unanimously approved a resolution, subject to shareholder approval, to amend Article 92 to eliminate the requirement of shareholder approval for the declaration of dividends (the “Amendment”). The text of the Amendment with the proposed deleted text struck out is set forth as Appendix 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our shareholders approve the Amendment, our Board of Directors would have the authority to declare dividends, whether in cash or shares, without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further shareholder action. Our Board of Directors believes that having the authority to issue dividends without prior shareholder approval would provide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flexibility by removing any impediments to the timing of such decisions and therefore would be in the best interests of shareholders. For example,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November 5, 2013, subject to shareholder approval, our Board of Directors approved an increase in the quarterly cash dividend rate from $0.13 per ordinary share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$0.155 per ordinary share. The current requirement of shareholder approval delayed the ability of our Board of Directors to effectuate this increase,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the quarterly cash dividend declared by our Board of Directors on November 5, 2013 and to be paid on January 17, 2014, will not be paid at the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Due to the schedule for our General Meeting, the dividend increase, if approved by shareholders, will be paid five months after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determined to increase the quarterly dividend rate. In addition, obtaining shareholder approval other than at an Annual General Meeting of Shareholders would be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expensive and time consuming.</w:t>
      </w:r>
    </w:p>
    <w:p>
      <w:pPr>
        <w:spacing w:after="0" w:line="165"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As a general long-term guideline, we expect to allocate roughly half of our free cash flow (calculated as cash flow from operations less net capital expenditures and other) towards growth investments, including mergers and acquisitions, and return the other half to our shareholders through a combination of the dividend program and share repurchases. However, our declaration or payment of any future dividends will be based on conditions then existing, including our earnings, financial performance and outlook, as well as other conditions we deem relevant.</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Prior to 2008, the corporate law of Guernsey was patterned after much of UK general corporate law, which, among other things, requires shareholder approval for dividends. In 2008, Guernsey enacted a new Companies Law that effected major amendments to its law. One of the changes made was to dispense with the requirement for shareholder approval of dividends. This change brought the Guernsey requirements on dividends more in line with those under the corporate law of the State of Delaware, where many US-listed companies are organized, and which does not impose a shareholder approval requirement on the declaration or payment of dividends. In view of the listing of our shares in the US and the predominance of US investors in our shareholder base, we believe that it is beneficial to our shareholders to conform our practices to those of US-listed companies.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sum, the Amendment seeks to make our Articles of Incorporation more flexible, yet maintains the corporate governance standards generally applicable to listed companies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proposed that the following special resolution be adopted at the General Meeting:</w:t>
      </w:r>
    </w:p>
    <w:p>
      <w:pPr>
        <w:spacing w:after="0" w:line="171"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Article 92 of the Articles of Incorporation of Amdocs Limited be, and it hereby is, amended in the form attached to Amdocs Limited’s proxy statement as Appendix 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affirmative vote of holders of not less than 75% of our ordinary shares represented in person or by proxy at the General Meeting is necessary for approval of the Amendment.</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OUR SHAREHOLDERS VOTE “FOR” THE AMENDMENT TO THE ARTICLES OF INCORPORATION.</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280" w:right="519" w:bottom="1440" w:gutter="0" w:footer="0" w:header="0"/>
        </w:sectPr>
      </w:pPr>
    </w:p>
    <w:bookmarkStart w:id="21" w:name="page22"/>
    <w:bookmarkEnd w:id="21"/>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SHAREHOLDER APPROVAL OF THE AUTHORIZED SHARE CAPITAL AND THE AUTHORIZATION OF THE BOARD OF DIRECTORS TO</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 SHARES FOR A FIXED PERIOD OF FIVE YEARS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Guernsey company may not issue shares unless authority is granted to the board of directors by the company’s shareholders, and, if the company has more than one class of authorized shares, such authority may be granted for no longer than five years. At our Annual General Meeting of Shareholders for the year ended September 30, 2008, our shareholders approved the authority of our Board of Directors to issue up to 25,000,000 preferred shares and up to 700,000,000 ordinary shares, in each case with or without par value, for a fixed period of five years. As this authority is now expiring, we are seeking shareholder approval to renew the authority of our Board of Directors for a fixed period of five years to issue preferred shares and ordinary shares in the same amounts as currently authorized.</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2, 2013, 159,969,427 ordinary shares were outstanding (net of treasury shares) and no non-voting ordinary shares or preferred shares were outstanding.</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approval will not affect the requirement under Nasdaq rules for shareholder approval for (i) any material amendment to our 1998 Stock Option and Incentive Plan and or any other equity compensation plan , (ii) certain issuances to directors, officers and substantial shareholders, (iii) any issuance or potential issuance that will result in a change of control of us or (iii) subject to certain exceptions, an issuance involving voting power equal to or in excess of 20% of the voting power outstanding before the issuance.</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Subject to the authority to issues shares discussed above, the rights, preferences and restrictions attaching to each class of the shares are the same as currently provided in our existing Articles of Incorporation.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71"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RESOLVED</w:t>
      </w:r>
      <w:r>
        <w:rPr>
          <w:rFonts w:ascii="Arial" w:cs="Arial" w:eastAsia="Arial" w:hAnsi="Arial"/>
          <w:sz w:val="16"/>
          <w:szCs w:val="16"/>
          <w:color w:val="auto"/>
        </w:rPr>
        <w:t>, that the Board of Directors of Amdocs Limited may issue up to 700,000,000 ordinary shares and 25,000,000 preferred shares which may be issued as the Board of Directors may determine to the fullest extent permitted by Sections 292 and 293 of The Companies (Guernsey) Law, 2008 as amended, and such authority shall expire five years following the adoption of this ordinary resolution.”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renewal of the Board of Directors’ share issuance authority.</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AUTHORIZED SHARE CAPITAL AND THE AUTHORIZATION OF THE BOARD OF DIRECTORS TO ISSUE SHARES FOR A FIXED PERIOD OF FIVE YEARS.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2" w:name="page23"/>
    <w:bookmarkEnd w:id="22"/>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V</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16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2013 is available on our website at http://www.amdocs.com/About/Pages/AnnualReport.aspx. Our Consolidated Financial Statements for the fiscal year ended September 30, 2013 are included in our Annual Report. At the General Meeting, we will review the Operating and Financial Review and Prospects section of our Annual Report and will answer appropriate questions related thereto.</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71"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2013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3" w:name="page24"/>
    <w:bookmarkEnd w:id="2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VI</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2014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2013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80" w:type="dxa"/>
            <w:vAlign w:val="bottom"/>
          </w:tcPr>
          <w:p>
            <w:pPr>
              <w:spacing w:after="0"/>
              <w:rPr>
                <w:sz w:val="15"/>
                <w:szCs w:val="15"/>
                <w:color w:val="auto"/>
              </w:rPr>
            </w:pPr>
          </w:p>
        </w:tc>
        <w:tc>
          <w:tcPr>
            <w:tcW w:w="4660" w:type="dxa"/>
            <w:vAlign w:val="bottom"/>
            <w:gridSpan w:val="2"/>
          </w:tcPr>
          <w:p>
            <w:pPr>
              <w:jc w:val="center"/>
              <w:ind w:left="3759"/>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5"/>
                <w:szCs w:val="15"/>
                <w:color w:val="auto"/>
              </w:rPr>
            </w:pPr>
          </w:p>
        </w:tc>
        <w:tc>
          <w:tcPr>
            <w:tcW w:w="10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5"/>
                <w:szCs w:val="15"/>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$ 3,000,000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$ 2,900,000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880" w:type="dxa"/>
            <w:vAlign w:val="bottom"/>
            <w:gridSpan w:val="3"/>
          </w:tcPr>
          <w:p>
            <w:pPr>
              <w:jc w:val="center"/>
              <w:ind w:left="3539"/>
              <w:spacing w:after="0"/>
              <w:rPr>
                <w:sz w:val="20"/>
                <w:szCs w:val="20"/>
                <w:color w:val="auto"/>
              </w:rPr>
            </w:pPr>
            <w:r>
              <w:rPr>
                <w:rFonts w:ascii="Arial" w:cs="Arial" w:eastAsia="Arial" w:hAnsi="Arial"/>
                <w:sz w:val="18"/>
                <w:szCs w:val="18"/>
                <w:color w:val="auto"/>
                <w:w w:val="86"/>
              </w:rPr>
              <w:t>$ 1,700,000</w:t>
            </w:r>
          </w:p>
        </w:tc>
        <w:tc>
          <w:tcPr>
            <w:tcW w:w="1140" w:type="dxa"/>
            <w:vAlign w:val="bottom"/>
            <w:gridSpan w:val="3"/>
          </w:tcPr>
          <w:p>
            <w:pPr>
              <w:jc w:val="center"/>
              <w:ind w:left="19"/>
              <w:spacing w:after="0"/>
              <w:rPr>
                <w:sz w:val="20"/>
                <w:szCs w:val="20"/>
                <w:color w:val="auto"/>
              </w:rPr>
            </w:pPr>
            <w:r>
              <w:rPr>
                <w:rFonts w:ascii="Arial" w:cs="Arial" w:eastAsia="Arial" w:hAnsi="Arial"/>
                <w:sz w:val="18"/>
                <w:szCs w:val="18"/>
                <w:color w:val="auto"/>
                <w:w w:val="88"/>
              </w:rPr>
              <w:t>$ 1,200,000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880" w:type="dxa"/>
            <w:vAlign w:val="bottom"/>
            <w:gridSpan w:val="3"/>
            <w:shd w:val="clear" w:color="auto" w:fill="CCEEFF"/>
          </w:tcPr>
          <w:p>
            <w:pPr>
              <w:jc w:val="center"/>
              <w:ind w:left="3539"/>
              <w:spacing w:after="0"/>
              <w:rPr>
                <w:sz w:val="20"/>
                <w:szCs w:val="20"/>
                <w:color w:val="auto"/>
              </w:rPr>
            </w:pPr>
            <w:r>
              <w:rPr>
                <w:rFonts w:ascii="Arial" w:cs="Arial" w:eastAsia="Arial" w:hAnsi="Arial"/>
                <w:sz w:val="18"/>
                <w:szCs w:val="18"/>
                <w:color w:val="auto"/>
                <w:w w:val="86"/>
              </w:rPr>
              <w:t>$ 1,600,000</w:t>
            </w:r>
          </w:p>
        </w:tc>
        <w:tc>
          <w:tcPr>
            <w:tcW w:w="1140" w:type="dxa"/>
            <w:vAlign w:val="bottom"/>
            <w:gridSpan w:val="3"/>
            <w:shd w:val="clear" w:color="auto" w:fill="CCEEFF"/>
          </w:tcPr>
          <w:p>
            <w:pPr>
              <w:jc w:val="center"/>
              <w:ind w:left="19"/>
              <w:spacing w:after="0"/>
              <w:rPr>
                <w:sz w:val="20"/>
                <w:szCs w:val="20"/>
                <w:color w:val="auto"/>
              </w:rPr>
            </w:pPr>
            <w:r>
              <w:rPr>
                <w:rFonts w:ascii="Arial" w:cs="Arial" w:eastAsia="Arial" w:hAnsi="Arial"/>
                <w:sz w:val="18"/>
                <w:szCs w:val="18"/>
                <w:color w:val="auto"/>
                <w:w w:val="88"/>
              </w:rPr>
              <w:t>$ 1,600,000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Audit-related services principally include Statement on Standards for Attestation Engagements (SSAE) 16 report issuances and due diligence examinations.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2014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well as on our website at www.amdocs.com. Requests for copies of our Annual Report on Form 20-F should be provided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Ms. Elizabeth W. McDermon</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1180" w:space="520"/>
            <w:col w:w="970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PURPOSE</w:t>
      </w:r>
    </w:p>
    <w:p>
      <w:pPr>
        <w:spacing w:after="0" w:line="9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the internal audit function, risk assessment and risk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MEMBERSHIP, STRUCTURE, AND ADMINISTRATION</w:t>
      </w:r>
    </w:p>
    <w:p>
      <w:pPr>
        <w:spacing w:after="0" w:line="90" w:lineRule="exact"/>
        <w:rPr>
          <w:sz w:val="20"/>
          <w:szCs w:val="20"/>
          <w:color w:val="auto"/>
        </w:rPr>
      </w:pPr>
    </w:p>
    <w:p>
      <w:pPr>
        <w:ind w:left="460" w:right="4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Size and Member Qualifications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Except as otherwise permitted by applicable NASDAQ rules, the Audit Committee shall consist of at least three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of Directors. Except as otherwise permitted by applicable NASDAQ rules, each member of the Audit Committee shall be an “independent director” as defined by NASDAQ Rule 5605(a)(2), meet the criteria for independence set forth in Rule 10A-3(b)(1) of the Securities Exchange Act of 1934 (subject to the exemptions provided in Rule 10A-3(c)), and not have participated in the preparation of the financial statements of the Company or any current subsidiary of the Company at any time during the past three years.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31" w:lineRule="exact"/>
        <w:rPr>
          <w:rFonts w:ascii="Arial" w:cs="Arial" w:eastAsia="Arial" w:hAnsi="Arial"/>
          <w:sz w:val="16"/>
          <w:szCs w:val="16"/>
          <w:color w:val="auto"/>
        </w:rPr>
      </w:pPr>
    </w:p>
    <w:p>
      <w:pPr>
        <w:ind w:left="460" w:right="18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of Directors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 Members of the Audit Committee shall be appointed by the Board of Directors. The Audit Committee shall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Chair</w:t>
      </w:r>
      <w:r>
        <w:rPr>
          <w:rFonts w:ascii="Arial" w:cs="Arial" w:eastAsia="Arial" w:hAnsi="Arial"/>
          <w:sz w:val="18"/>
          <w:szCs w:val="18"/>
          <w:b w:val="1"/>
          <w:bCs w:val="1"/>
          <w:color w:val="auto"/>
        </w:rPr>
        <w:t xml:space="preserve"> </w:t>
      </w:r>
      <w:r>
        <w:rPr>
          <w:rFonts w:ascii="Arial" w:cs="Arial" w:eastAsia="Arial" w:hAnsi="Arial"/>
          <w:sz w:val="18"/>
          <w:szCs w:val="18"/>
          <w:color w:val="auto"/>
        </w:rPr>
        <w:t>- Unless the Board of Directors elects a Chair of the Audit Committee, the Audit Committee shall elect one by majority vote.</w:t>
      </w:r>
    </w:p>
    <w:p>
      <w:pPr>
        <w:spacing w:after="0" w:line="90" w:lineRule="exact"/>
        <w:rPr>
          <w:rFonts w:ascii="Arial" w:cs="Arial" w:eastAsia="Arial" w:hAnsi="Arial"/>
          <w:sz w:val="18"/>
          <w:szCs w:val="18"/>
          <w:color w:val="auto"/>
        </w:rPr>
      </w:pPr>
    </w:p>
    <w:p>
      <w:pPr>
        <w:ind w:left="460" w:right="40" w:hanging="452"/>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compensation of the Audit Committee members shall be as determined by the Board of Directors. No member of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receive, directly or indirectly, any compensation from the Company other than director’s fees (in cash and/or company shares or options or in-kind consideration).</w:t>
      </w:r>
    </w:p>
    <w:p>
      <w:pPr>
        <w:spacing w:after="0" w:line="51" w:lineRule="exact"/>
        <w:rPr>
          <w:rFonts w:ascii="Arial" w:cs="Arial" w:eastAsia="Arial" w:hAnsi="Arial"/>
          <w:sz w:val="18"/>
          <w:szCs w:val="18"/>
          <w:color w:val="auto"/>
        </w:rPr>
      </w:pPr>
    </w:p>
    <w:p>
      <w:pPr>
        <w:ind w:left="460" w:right="340" w:hanging="452"/>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meet on a schedule and in a manner the Audit Committee shall establish. The Audit Committee may also act by</w:t>
      </w:r>
      <w:r>
        <w:rPr>
          <w:rFonts w:ascii="Arial" w:cs="Arial" w:eastAsia="Arial" w:hAnsi="Arial"/>
          <w:sz w:val="16"/>
          <w:szCs w:val="16"/>
          <w:b w:val="1"/>
          <w:bCs w:val="1"/>
          <w:color w:val="auto"/>
        </w:rPr>
        <w:t xml:space="preserve"> </w:t>
      </w:r>
      <w:r>
        <w:rPr>
          <w:rFonts w:ascii="Arial" w:cs="Arial" w:eastAsia="Arial" w:hAnsi="Arial"/>
          <w:sz w:val="16"/>
          <w:szCs w:val="16"/>
          <w:color w:val="auto"/>
        </w:rPr>
        <w:t>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22" w:lineRule="exact"/>
        <w:rPr>
          <w:rFonts w:ascii="Arial" w:cs="Arial" w:eastAsia="Arial" w:hAnsi="Arial"/>
          <w:sz w:val="16"/>
          <w:szCs w:val="16"/>
          <w:color w:val="auto"/>
        </w:rPr>
      </w:pPr>
    </w:p>
    <w:p>
      <w:pPr>
        <w:ind w:left="460" w:right="240" w:hanging="452"/>
        <w:spacing w:after="0" w:line="27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Subcommittees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may form and delegate authority to one or more subcommittees as it deems appropriate from time to time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circumstances.</w:t>
      </w:r>
    </w:p>
    <w:p>
      <w:pPr>
        <w:spacing w:after="0" w:line="38" w:lineRule="exact"/>
        <w:rPr>
          <w:rFonts w:ascii="Arial" w:cs="Arial" w:eastAsia="Arial" w:hAnsi="Arial"/>
          <w:sz w:val="18"/>
          <w:szCs w:val="18"/>
          <w:color w:val="auto"/>
        </w:rPr>
      </w:pPr>
    </w:p>
    <w:p>
      <w:pPr>
        <w:ind w:left="460" w:right="480" w:hanging="452"/>
        <w:spacing w:after="0" w:line="31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 </w:t>
      </w:r>
      <w:r>
        <w:rPr>
          <w:rFonts w:ascii="Arial" w:cs="Arial" w:eastAsia="Arial" w:hAnsi="Arial"/>
          <w:sz w:val="16"/>
          <w:szCs w:val="16"/>
          <w:color w:val="auto"/>
        </w:rPr>
        <w:t>The Audit Committee shall maintain unrestricted communication with the independent auditors, the Company’s internal audit function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personnel, counsel and financial management to assure that each understands and accepts its responsibilities for direct communication with the Audit Committee as appropriate. The Audit Committee shall have full access to the books and records of the Company, as well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6" w:name="page27"/>
    <w:bookmarkEnd w:id="26"/>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45" w:lineRule="exact"/>
        <w:rPr>
          <w:sz w:val="20"/>
          <w:szCs w:val="20"/>
          <w:color w:val="auto"/>
        </w:rPr>
      </w:pPr>
    </w:p>
    <w:p>
      <w:pPr>
        <w:ind w:left="460" w:right="200" w:hanging="452"/>
        <w:spacing w:after="0" w:line="37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b w:val="1"/>
          <w:bCs w:val="1"/>
          <w:u w:val="single" w:color="auto"/>
          <w:color w:val="auto"/>
        </w:rPr>
        <w:t>Performance and Charter Evaluations</w:t>
      </w:r>
      <w:r>
        <w:rPr>
          <w:rFonts w:ascii="Arial" w:cs="Arial" w:eastAsia="Arial" w:hAnsi="Arial"/>
          <w:sz w:val="15"/>
          <w:szCs w:val="15"/>
          <w:b w:val="1"/>
          <w:bCs w:val="1"/>
          <w:color w:val="auto"/>
        </w:rPr>
        <w:t xml:space="preserve"> </w:t>
      </w:r>
      <w:r>
        <w:rPr>
          <w:rFonts w:ascii="Arial" w:cs="Arial" w:eastAsia="Arial" w:hAnsi="Arial"/>
          <w:sz w:val="15"/>
          <w:szCs w:val="15"/>
          <w:color w:val="auto"/>
        </w:rPr>
        <w:t>- The Audit Committee shall maintain this Audit Committee Charter and obtain the approval of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for all revisions or changes to the Charter. The Audit Committee shall review and reassess the Charter as conditions dictate or at least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RESPONSIBILITIES AND DUTIES</w:t>
      </w:r>
    </w:p>
    <w:p>
      <w:pPr>
        <w:spacing w:after="0" w:line="90" w:lineRule="exact"/>
        <w:rPr>
          <w:sz w:val="20"/>
          <w:szCs w:val="20"/>
          <w:color w:val="auto"/>
        </w:rPr>
      </w:pPr>
    </w:p>
    <w:p>
      <w:pPr>
        <w:ind w:left="460" w:right="4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 </w:t>
      </w:r>
      <w:r>
        <w:rPr>
          <w:rFonts w:ascii="Arial" w:cs="Arial" w:eastAsia="Arial" w:hAnsi="Arial"/>
          <w:sz w:val="16"/>
          <w:szCs w:val="16"/>
          <w:color w:val="auto"/>
        </w:rPr>
        <w:t>The Audit Committee shall discharge its responsibilities and shall assess the information provided by the Company’s management,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Oversight of Independent Auditors</w:t>
      </w:r>
    </w:p>
    <w:p>
      <w:pPr>
        <w:spacing w:after="0" w:line="96"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62"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59" w:lineRule="exact"/>
        <w:rPr>
          <w:rFonts w:ascii="Arial" w:cs="Arial" w:eastAsia="Arial" w:hAnsi="Arial"/>
          <w:sz w:val="18"/>
          <w:szCs w:val="18"/>
          <w:color w:val="auto"/>
        </w:rPr>
      </w:pPr>
    </w:p>
    <w:p>
      <w:pPr>
        <w:ind w:left="900" w:right="200" w:hanging="446"/>
        <w:spacing w:after="0" w:line="294"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Independence</w:t>
      </w:r>
      <w:r>
        <w:rPr>
          <w:rFonts w:ascii="Arial" w:cs="Arial" w:eastAsia="Arial" w:hAnsi="Arial"/>
          <w:sz w:val="16"/>
          <w:szCs w:val="16"/>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Public Company Accounting Oversight Board (the “PCAOB”).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Quality-Control Report</w:t>
      </w:r>
      <w:r>
        <w:rPr>
          <w:rFonts w:ascii="Arial" w:cs="Arial" w:eastAsia="Arial" w:hAnsi="Arial"/>
          <w:sz w:val="16"/>
          <w:szCs w:val="16"/>
          <w:color w:val="auto"/>
        </w:rPr>
        <w:t xml:space="preserve"> - At least annually, the Audit Committee shall obtain and review a report by the independent auditors describing:</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90" w:lineRule="exact"/>
        <w:rPr>
          <w:rFonts w:ascii="Arial" w:cs="Arial" w:eastAsia="Arial" w:hAnsi="Arial"/>
          <w:sz w:val="18"/>
          <w:szCs w:val="18"/>
          <w:color w:val="auto"/>
        </w:rPr>
      </w:pPr>
    </w:p>
    <w:p>
      <w:pPr>
        <w:ind w:left="1480" w:hanging="446"/>
        <w:spacing w:after="0" w:line="306" w:lineRule="auto"/>
        <w:tabs>
          <w:tab w:leader="none" w:pos="14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25" w:lineRule="exact"/>
        <w:rPr>
          <w:rFonts w:ascii="Arial" w:cs="Arial" w:eastAsia="Arial" w:hAnsi="Arial"/>
          <w:sz w:val="16"/>
          <w:szCs w:val="16"/>
          <w:color w:val="auto"/>
        </w:rPr>
      </w:pPr>
    </w:p>
    <w:p>
      <w:pPr>
        <w:ind w:left="900" w:right="460" w:hanging="446"/>
        <w:spacing w:after="0" w:line="306"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Pre-approval of Services</w:t>
      </w:r>
      <w:r>
        <w:rPr>
          <w:rFonts w:ascii="Arial" w:cs="Arial" w:eastAsia="Arial" w:hAnsi="Arial"/>
          <w:sz w:val="16"/>
          <w:szCs w:val="16"/>
          <w:color w:val="auto"/>
        </w:rPr>
        <w:t xml:space="preserve">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SEC rules.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7" w:name="page28"/>
    <w:bookmarkEnd w:id="27"/>
    <w:p>
      <w:pPr>
        <w:ind w:left="92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shall cause the Company to comply with any applicable disclosure 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59" w:lineRule="exact"/>
        <w:rPr>
          <w:sz w:val="20"/>
          <w:szCs w:val="20"/>
          <w:color w:val="auto"/>
        </w:rPr>
      </w:pPr>
    </w:p>
    <w:p>
      <w:pPr>
        <w:jc w:val="both"/>
        <w:ind w:left="900" w:right="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Review Scope of Services</w:t>
      </w:r>
      <w:r>
        <w:rPr>
          <w:rFonts w:ascii="Arial" w:cs="Arial" w:eastAsia="Arial" w:hAnsi="Arial"/>
          <w:sz w:val="18"/>
          <w:szCs w:val="18"/>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59"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Discussion of Independent Auditors’ Comments and Recommendations</w:t>
      </w:r>
      <w:r>
        <w:rPr>
          <w:rFonts w:ascii="Arial" w:cs="Arial" w:eastAsia="Arial" w:hAnsi="Arial"/>
          <w:sz w:val="18"/>
          <w:szCs w:val="18"/>
          <w:color w:val="auto"/>
        </w:rPr>
        <w:t xml:space="preserve"> - The Audit Committee shall receive and consider the reports and other communications required to be made by the independent auditors (including matters addressed in PCAOB Auditing Standard No. 16, Communications with Audit Committee (“AS 16”)) and shall meet with the independent auditors to review their comments and recommendations with respect to:</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50" w:lineRule="exact"/>
        <w:rPr>
          <w:rFonts w:ascii="Arial" w:cs="Arial" w:eastAsia="Arial" w:hAnsi="Arial"/>
          <w:sz w:val="18"/>
          <w:szCs w:val="18"/>
          <w:color w:val="auto"/>
        </w:rPr>
      </w:pPr>
    </w:p>
    <w:p>
      <w:pPr>
        <w:ind w:left="1480" w:right="160" w:hanging="446"/>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51" w:lineRule="exact"/>
        <w:rPr>
          <w:sz w:val="20"/>
          <w:szCs w:val="20"/>
          <w:color w:val="auto"/>
        </w:rPr>
      </w:pPr>
    </w:p>
    <w:p>
      <w:pPr>
        <w:ind w:left="460" w:right="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Interim Financial Information</w:t>
      </w:r>
      <w:r>
        <w:rPr>
          <w:rFonts w:ascii="Arial" w:cs="Arial" w:eastAsia="Arial" w:hAnsi="Arial"/>
          <w:sz w:val="16"/>
          <w:szCs w:val="16"/>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of Financial Data and Disclosures</w:t>
      </w:r>
    </w:p>
    <w:p>
      <w:pPr>
        <w:spacing w:after="0" w:line="96" w:lineRule="exact"/>
        <w:rPr>
          <w:rFonts w:ascii="Arial" w:cs="Arial" w:eastAsia="Arial" w:hAnsi="Arial"/>
          <w:sz w:val="18"/>
          <w:szCs w:val="18"/>
          <w:color w:val="auto"/>
        </w:rPr>
      </w:pPr>
    </w:p>
    <w:p>
      <w:pPr>
        <w:ind w:left="900" w:right="20" w:hanging="446"/>
        <w:spacing w:after="0" w:line="255"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Review of Quarterly Reviewed and Annual Audited Financial Data</w:t>
      </w:r>
      <w:r>
        <w:rPr>
          <w:rFonts w:ascii="Arial" w:cs="Arial" w:eastAsia="Arial" w:hAnsi="Arial"/>
          <w:sz w:val="18"/>
          <w:szCs w:val="18"/>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(including AS 16) with the Company’s management and the independent auditors and report thereon to the Board of Directors prior to the release, by public filing or other public disclosure, of earnings.</w:t>
      </w:r>
    </w:p>
    <w:p>
      <w:pPr>
        <w:spacing w:after="0" w:line="61"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Review of Auditor Reports</w:t>
      </w:r>
      <w:r>
        <w:rPr>
          <w:rFonts w:ascii="Arial" w:cs="Arial" w:eastAsia="Arial" w:hAnsi="Arial"/>
          <w:sz w:val="18"/>
          <w:szCs w:val="18"/>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61"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8" w:name="page29"/>
    <w:bookmarkEnd w:id="28"/>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Internal Reports and Processes</w:t>
      </w:r>
    </w:p>
    <w:p>
      <w:pPr>
        <w:spacing w:after="0" w:line="96" w:lineRule="exact"/>
        <w:rPr>
          <w:rFonts w:ascii="Arial" w:cs="Arial" w:eastAsia="Arial" w:hAnsi="Arial"/>
          <w:sz w:val="18"/>
          <w:szCs w:val="18"/>
          <w:b w:val="1"/>
          <w:bCs w:val="1"/>
          <w:color w:val="auto"/>
        </w:rPr>
      </w:pPr>
    </w:p>
    <w:p>
      <w:pPr>
        <w:ind w:left="892" w:right="160" w:hanging="446"/>
        <w:spacing w:after="0" w:line="306"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Review of Internal Audit Function</w:t>
      </w:r>
      <w:r>
        <w:rPr>
          <w:rFonts w:ascii="Arial" w:cs="Arial" w:eastAsia="Arial" w:hAnsi="Arial"/>
          <w:sz w:val="16"/>
          <w:szCs w:val="16"/>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for reviewing the scope of the internal audit function, as well as, its staffing and compensation.</w:t>
      </w:r>
    </w:p>
    <w:p>
      <w:pPr>
        <w:spacing w:after="0" w:line="25" w:lineRule="exact"/>
        <w:rPr>
          <w:rFonts w:ascii="Arial" w:cs="Arial" w:eastAsia="Arial" w:hAnsi="Arial"/>
          <w:sz w:val="16"/>
          <w:szCs w:val="16"/>
          <w:color w:val="auto"/>
        </w:rPr>
      </w:pPr>
    </w:p>
    <w:p>
      <w:pPr>
        <w:ind w:left="892" w:right="80" w:hanging="446"/>
        <w:spacing w:after="0" w:line="256"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Oversight of Company’s Internal Control Processes</w:t>
      </w:r>
      <w:r>
        <w:rPr>
          <w:rFonts w:ascii="Arial" w:cs="Arial" w:eastAsia="Arial" w:hAnsi="Arial"/>
          <w:sz w:val="18"/>
          <w:szCs w:val="18"/>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62" w:lineRule="exact"/>
        <w:rPr>
          <w:rFonts w:ascii="Arial" w:cs="Arial" w:eastAsia="Arial" w:hAnsi="Arial"/>
          <w:sz w:val="18"/>
          <w:szCs w:val="18"/>
          <w:color w:val="auto"/>
        </w:rPr>
      </w:pPr>
    </w:p>
    <w:p>
      <w:pPr>
        <w:ind w:left="892" w:right="680"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50" w:lineRule="exact"/>
        <w:rPr>
          <w:rFonts w:ascii="Arial" w:cs="Arial" w:eastAsia="Arial" w:hAnsi="Arial"/>
          <w:sz w:val="18"/>
          <w:szCs w:val="18"/>
          <w:color w:val="auto"/>
        </w:rPr>
      </w:pPr>
    </w:p>
    <w:p>
      <w:pPr>
        <w:ind w:left="892" w:right="160" w:hanging="446"/>
        <w:spacing w:after="0" w:line="298"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Procedure for Complaints</w:t>
      </w:r>
      <w:r>
        <w:rPr>
          <w:rFonts w:ascii="Arial" w:cs="Arial" w:eastAsia="Arial" w:hAnsi="Arial"/>
          <w:sz w:val="16"/>
          <w:szCs w:val="16"/>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31" w:lineRule="exact"/>
        <w:rPr>
          <w:rFonts w:ascii="Arial" w:cs="Arial" w:eastAsia="Arial" w:hAnsi="Arial"/>
          <w:sz w:val="16"/>
          <w:szCs w:val="16"/>
          <w:color w:val="auto"/>
        </w:rPr>
      </w:pPr>
    </w:p>
    <w:p>
      <w:pPr>
        <w:ind w:left="892" w:right="240"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Discussion with Company Counsel</w:t>
      </w:r>
      <w:r>
        <w:rPr>
          <w:rFonts w:ascii="Arial" w:cs="Arial" w:eastAsia="Arial" w:hAnsi="Arial"/>
          <w:sz w:val="18"/>
          <w:szCs w:val="18"/>
          <w:color w:val="auto"/>
        </w:rPr>
        <w:t xml:space="preserve"> - The Audit Committee shall periodically review legal, environmental, code of ethics, and related matters with the Company’s counsel.</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Hiring Policies</w:t>
      </w:r>
      <w:r>
        <w:rPr>
          <w:rFonts w:ascii="Arial" w:cs="Arial" w:eastAsia="Arial" w:hAnsi="Arial"/>
          <w:sz w:val="18"/>
          <w:szCs w:val="18"/>
          <w:color w:val="auto"/>
        </w:rPr>
        <w:t xml:space="preserve"> - The Audit Committee shall establish policies regarding the hiring of employees or former employees of the Company’s independent auditors.</w:t>
      </w:r>
    </w:p>
    <w:p>
      <w:pPr>
        <w:spacing w:after="0" w:line="50" w:lineRule="exact"/>
        <w:rPr>
          <w:rFonts w:ascii="Arial" w:cs="Arial" w:eastAsia="Arial" w:hAnsi="Arial"/>
          <w:sz w:val="18"/>
          <w:szCs w:val="18"/>
          <w:color w:val="auto"/>
        </w:rPr>
      </w:pPr>
    </w:p>
    <w:p>
      <w:pPr>
        <w:ind w:left="892" w:right="100" w:hanging="446"/>
        <w:spacing w:after="0" w:line="294"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Enterprise Risk Management</w:t>
      </w:r>
      <w:r>
        <w:rPr>
          <w:rFonts w:ascii="Arial" w:cs="Arial" w:eastAsia="Arial" w:hAnsi="Arial"/>
          <w:sz w:val="16"/>
          <w:szCs w:val="16"/>
          <w:color w:val="auto"/>
        </w:rPr>
        <w:t xml:space="preserve"> - The Audit Committee shall review and discuss the Company’s policies and processes with respect to risk assessment and risk management, including guidelines and policies to govern the process by which the Company’s exposure to risk is handled. The Audit Committee should also discuss the Company’s major financial operational and compliance risk exposures and ensure the Company prudently conducts the risk management process with respect to such exposures. The Audit Committee shall report to the Board of Directors concerning the results of the risk assessment and risk management process.</w:t>
      </w:r>
    </w:p>
    <w:p>
      <w:pPr>
        <w:spacing w:after="0" w:line="34" w:lineRule="exact"/>
        <w:rPr>
          <w:rFonts w:ascii="Arial" w:cs="Arial" w:eastAsia="Arial" w:hAnsi="Arial"/>
          <w:sz w:val="16"/>
          <w:szCs w:val="16"/>
          <w:color w:val="auto"/>
        </w:rPr>
      </w:pPr>
    </w:p>
    <w:p>
      <w:pPr>
        <w:jc w:val="both"/>
        <w:ind w:left="892" w:right="260" w:hanging="446"/>
        <w:spacing w:after="0" w:line="306"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xml:space="preserve">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9" w:lineRule="exact"/>
        <w:rPr>
          <w:rFonts w:ascii="Arial" w:cs="Arial" w:eastAsia="Arial" w:hAnsi="Arial"/>
          <w:sz w:val="16"/>
          <w:szCs w:val="16"/>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96" w:lineRule="exact"/>
        <w:rPr>
          <w:rFonts w:ascii="Arial" w:cs="Arial" w:eastAsia="Arial" w:hAnsi="Arial"/>
          <w:sz w:val="18"/>
          <w:szCs w:val="18"/>
          <w:b w:val="1"/>
          <w:bCs w:val="1"/>
          <w:color w:val="auto"/>
        </w:rPr>
      </w:pPr>
    </w:p>
    <w:p>
      <w:pPr>
        <w:ind w:left="892" w:right="34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Audit Committee Independence</w:t>
      </w:r>
      <w:r>
        <w:rPr>
          <w:rFonts w:ascii="Arial" w:cs="Arial" w:eastAsia="Arial" w:hAnsi="Arial"/>
          <w:sz w:val="16"/>
          <w:szCs w:val="16"/>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4" w:lineRule="exact"/>
        <w:rPr>
          <w:rFonts w:ascii="Arial" w:cs="Arial" w:eastAsia="Arial" w:hAnsi="Arial"/>
          <w:sz w:val="16"/>
          <w:szCs w:val="16"/>
          <w:color w:val="auto"/>
        </w:rPr>
      </w:pPr>
    </w:p>
    <w:p>
      <w:pPr>
        <w:ind w:left="892" w:right="42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Outside Consultants</w:t>
      </w:r>
      <w:r>
        <w:rPr>
          <w:rFonts w:ascii="Arial" w:cs="Arial" w:eastAsia="Arial" w:hAnsi="Arial"/>
          <w:sz w:val="16"/>
          <w:szCs w:val="16"/>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4" w:lineRule="exact"/>
        <w:rPr>
          <w:rFonts w:ascii="Arial" w:cs="Arial" w:eastAsia="Arial" w:hAnsi="Arial"/>
          <w:sz w:val="16"/>
          <w:szCs w:val="16"/>
          <w:color w:val="auto"/>
        </w:rPr>
      </w:pPr>
    </w:p>
    <w:p>
      <w:pPr>
        <w:ind w:left="892" w:right="20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Administrative Expenses</w:t>
      </w:r>
      <w:r>
        <w:rPr>
          <w:rFonts w:ascii="Arial" w:cs="Arial" w:eastAsia="Arial" w:hAnsi="Arial"/>
          <w:sz w:val="16"/>
          <w:szCs w:val="16"/>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92"/>
          </w:cols>
          <w:pgMar w:left="248" w:top="274" w:right="259" w:bottom="1440" w:gutter="0" w:footer="0" w:header="0"/>
        </w:sectPr>
      </w:pPr>
    </w:p>
    <w:bookmarkStart w:id="29" w:name="page30"/>
    <w:bookmarkEnd w:id="29"/>
    <w:p>
      <w:pPr>
        <w:ind w:left="892" w:right="20"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to Board of Directors</w:t>
      </w:r>
      <w:r>
        <w:rPr>
          <w:rFonts w:ascii="Arial" w:cs="Arial" w:eastAsia="Arial" w:hAnsi="Arial"/>
          <w:sz w:val="18"/>
          <w:szCs w:val="18"/>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Annual Self-Evaluation</w:t>
      </w:r>
      <w:r>
        <w:rPr>
          <w:rFonts w:ascii="Arial" w:cs="Arial" w:eastAsia="Arial" w:hAnsi="Arial"/>
          <w:sz w:val="18"/>
          <w:szCs w:val="18"/>
          <w:color w:val="auto"/>
        </w:rPr>
        <w:t xml:space="preserve"> - At least annually, the Audit Committee shall evaluate its own performance.</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Responsibilities</w:t>
      </w:r>
    </w:p>
    <w:p>
      <w:pPr>
        <w:spacing w:after="0" w:line="96" w:lineRule="exact"/>
        <w:rPr>
          <w:rFonts w:ascii="Arial" w:cs="Arial" w:eastAsia="Arial" w:hAnsi="Arial"/>
          <w:sz w:val="18"/>
          <w:szCs w:val="18"/>
          <w:b w:val="1"/>
          <w:bCs w:val="1"/>
          <w:color w:val="auto"/>
        </w:rPr>
      </w:pPr>
    </w:p>
    <w:p>
      <w:pPr>
        <w:ind w:left="892" w:right="240" w:hanging="446"/>
        <w:spacing w:after="0" w:line="259"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Review of Other Outside Reports</w:t>
      </w:r>
      <w:r>
        <w:rPr>
          <w:rFonts w:ascii="Arial" w:cs="Arial" w:eastAsia="Arial" w:hAnsi="Arial"/>
          <w:sz w:val="18"/>
          <w:szCs w:val="18"/>
          <w:color w:val="auto"/>
        </w:rPr>
        <w:t xml:space="preserve">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59" w:lineRule="exact"/>
        <w:rPr>
          <w:rFonts w:ascii="Arial" w:cs="Arial" w:eastAsia="Arial" w:hAnsi="Arial"/>
          <w:sz w:val="18"/>
          <w:szCs w:val="18"/>
          <w:color w:val="auto"/>
        </w:rPr>
      </w:pPr>
    </w:p>
    <w:p>
      <w:pPr>
        <w:ind w:left="892" w:right="340" w:hanging="446"/>
        <w:spacing w:after="0" w:line="332" w:lineRule="auto"/>
        <w:tabs>
          <w:tab w:leader="none" w:pos="8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Other investigations</w:t>
      </w:r>
      <w:r>
        <w:rPr>
          <w:rFonts w:ascii="Arial" w:cs="Arial" w:eastAsia="Arial" w:hAnsi="Arial"/>
          <w:sz w:val="16"/>
          <w:szCs w:val="16"/>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4"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Additional Powers</w:t>
      </w:r>
      <w:r>
        <w:rPr>
          <w:rFonts w:ascii="Arial" w:cs="Arial" w:eastAsia="Arial" w:hAnsi="Arial"/>
          <w:sz w:val="16"/>
          <w:szCs w:val="16"/>
          <w:color w:val="auto"/>
        </w:rPr>
        <w:t xml:space="preserve"> - The Audit Committee shall have such other duties as may be delegated from time to time by the Board of Directors.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26" w:lineRule="exact"/>
        <w:rPr>
          <w:sz w:val="20"/>
          <w:szCs w:val="20"/>
          <w:color w:val="auto"/>
        </w:rPr>
      </w:pPr>
    </w:p>
    <w:p>
      <w:pPr>
        <w:ind w:left="9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Charitable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 charitable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receives payments from the Company in an amount which, in any single fiscal year since the determination date, exceeds the greater of $200,000, or 5% of such charitable organization’s revenues;</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For purposes of the above standards: (i)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xml:space="preserve"> includes a person’s spouse, parents, children, and siblings, whether by blood, marriage, or adoption, or anyone residing in such person’s home.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21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Subject to compliance with Section 304 of the Law </w:t>
      </w:r>
      <w:r>
        <w:rPr>
          <w:rFonts w:ascii="Arial" w:cs="Arial" w:eastAsia="Arial" w:hAnsi="Arial"/>
          <w:sz w:val="16"/>
          <w:szCs w:val="16"/>
          <w:color w:val="auto"/>
          <w:strike w:val="1"/>
        </w:rPr>
        <w:t>and the approval of the holders of Ordinary Shares by ordinary resolution for dividends on such shares</w:t>
      </w:r>
      <w:r>
        <w:rPr>
          <w:rFonts w:ascii="Arial" w:cs="Arial" w:eastAsia="Arial" w:hAnsi="Arial"/>
          <w:sz w:val="16"/>
          <w:szCs w:val="16"/>
          <w:color w:val="auto"/>
        </w:rPr>
        <w:t>:</w:t>
      </w:r>
    </w:p>
    <w:p>
      <w:pPr>
        <w:spacing w:after="0" w:line="113"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Board may at any time declare and pay such dividends to Members according to their right and interest;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method of payment of dividends shall be at the discretion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30, 2014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www.amdocs.com/proxy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AND A VOTE “FOR” PROPOSALS 2, 3, 4, 5 AND 6.</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627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627755"/>
                    </a:xfrm>
                    <a:prstGeom prst="rect">
                      <a:avLst/>
                    </a:prstGeom>
                    <a:noFill/>
                  </pic:spPr>
                </pic:pic>
              </a:graphicData>
            </a:graphic>
          </wp:anchor>
        </w:drawing>
      </w:r>
    </w:p>
    <w:p>
      <w:pPr>
        <w:spacing w:after="0" w:line="150" w:lineRule="exact"/>
        <w:rPr>
          <w:sz w:val="20"/>
          <w:szCs w:val="20"/>
          <w:color w:val="auto"/>
        </w:rPr>
      </w:pPr>
    </w:p>
    <w:p>
      <w:pPr>
        <w:ind w:left="440" w:hanging="288"/>
        <w:spacing w:after="0"/>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960" w:type="dxa"/>
            <w:vAlign w:val="bottom"/>
          </w:tcPr>
          <w:p>
            <w:pPr>
              <w:jc w:val="center"/>
              <w:ind w:left="488"/>
              <w:spacing w:after="0"/>
              <w:rPr>
                <w:sz w:val="20"/>
                <w:szCs w:val="20"/>
                <w:color w:val="auto"/>
              </w:rPr>
            </w:pPr>
            <w:r>
              <w:rPr>
                <w:rFonts w:ascii="Arial" w:cs="Arial" w:eastAsia="Arial" w:hAnsi="Arial"/>
                <w:sz w:val="14"/>
                <w:szCs w:val="14"/>
                <w:color w:val="auto"/>
                <w:w w:val="94"/>
              </w:rPr>
              <w:t>FOR</w:t>
            </w:r>
          </w:p>
        </w:tc>
        <w:tc>
          <w:tcPr>
            <w:tcW w:w="760" w:type="dxa"/>
            <w:vAlign w:val="bottom"/>
          </w:tcPr>
          <w:p>
            <w:pPr>
              <w:jc w:val="center"/>
              <w:spacing w:after="0"/>
              <w:rPr>
                <w:sz w:val="20"/>
                <w:szCs w:val="20"/>
                <w:color w:val="auto"/>
              </w:rPr>
            </w:pPr>
            <w:r>
              <w:rPr>
                <w:rFonts w:ascii="Arial" w:cs="Arial" w:eastAsia="Arial" w:hAnsi="Arial"/>
                <w:sz w:val="14"/>
                <w:szCs w:val="14"/>
                <w:color w:val="auto"/>
              </w:rPr>
              <w:t>AGAINST</w:t>
            </w:r>
          </w:p>
        </w:tc>
        <w:tc>
          <w:tcPr>
            <w:tcW w:w="820" w:type="dxa"/>
            <w:vAlign w:val="bottom"/>
          </w:tcPr>
          <w:p>
            <w:pPr>
              <w:jc w:val="center"/>
              <w:spacing w:after="0"/>
              <w:rPr>
                <w:sz w:val="20"/>
                <w:szCs w:val="20"/>
                <w:color w:val="auto"/>
              </w:rPr>
            </w:pPr>
            <w:r>
              <w:rPr>
                <w:rFonts w:ascii="Arial" w:cs="Arial" w:eastAsia="Arial" w:hAnsi="Arial"/>
                <w:sz w:val="14"/>
                <w:szCs w:val="14"/>
                <w:color w:val="auto"/>
              </w:rPr>
              <w:t>ABSTAIN</w:t>
            </w:r>
          </w:p>
        </w:tc>
        <w:tc>
          <w:tcPr>
            <w:tcW w:w="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69"/>
        </w:trPr>
        <w:tc>
          <w:tcPr>
            <w:tcW w:w="1840" w:type="dxa"/>
            <w:vAlign w:val="bottom"/>
          </w:tcPr>
          <w:p>
            <w:pPr>
              <w:spacing w:after="0"/>
              <w:rPr>
                <w:sz w:val="20"/>
                <w:szCs w:val="20"/>
                <w:color w:val="auto"/>
              </w:rPr>
            </w:pPr>
            <w:r>
              <w:rPr>
                <w:rFonts w:ascii="Arial" w:cs="Arial" w:eastAsia="Arial" w:hAnsi="Arial"/>
                <w:sz w:val="14"/>
                <w:szCs w:val="14"/>
                <w:color w:val="auto"/>
              </w:rPr>
              <w:t>Robert A. Minicucci</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220" w:type="dxa"/>
            <w:vAlign w:val="bottom"/>
          </w:tcPr>
          <w:p>
            <w:pPr>
              <w:ind w:left="80"/>
              <w:spacing w:after="0"/>
              <w:rPr>
                <w:sz w:val="20"/>
                <w:szCs w:val="20"/>
                <w:color w:val="auto"/>
              </w:rPr>
            </w:pPr>
            <w:r>
              <w:rPr>
                <w:rFonts w:ascii="Arial" w:cs="Arial" w:eastAsia="Arial" w:hAnsi="Arial"/>
                <w:sz w:val="14"/>
                <w:szCs w:val="14"/>
                <w:color w:val="auto"/>
                <w:w w:val="96"/>
              </w:rPr>
              <w:t>To approve an increase in the dividend rate under our quarterly cash</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Adrian Gardner</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5"/>
              </w:rPr>
              <w:t>dividend program from $0.13 per share to $0.155 per share (Proposal</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II).</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John T. McLennan</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220" w:type="dxa"/>
            <w:vAlign w:val="bottom"/>
          </w:tcPr>
          <w:p>
            <w:pPr>
              <w:ind w:left="80"/>
              <w:spacing w:after="0"/>
              <w:rPr>
                <w:sz w:val="20"/>
                <w:szCs w:val="20"/>
                <w:color w:val="auto"/>
              </w:rPr>
            </w:pPr>
            <w:r>
              <w:rPr>
                <w:rFonts w:ascii="Arial" w:cs="Arial" w:eastAsia="Arial" w:hAnsi="Arial"/>
                <w:sz w:val="14"/>
                <w:szCs w:val="14"/>
                <w:color w:val="auto"/>
              </w:rPr>
              <w:t>To approve an amendment to Amdocs Limited’s Articles of</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Simon Olswang</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5"/>
              </w:rPr>
              <w:t>Incorporation to eliminate the requirement of shareholder approval for</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the declaration of dividends (Proposal III).</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Zohar Zisapel</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4220" w:type="dxa"/>
            <w:vAlign w:val="bottom"/>
          </w:tcPr>
          <w:p>
            <w:pPr>
              <w:ind w:left="80"/>
              <w:spacing w:after="0"/>
              <w:rPr>
                <w:sz w:val="20"/>
                <w:szCs w:val="20"/>
                <w:color w:val="auto"/>
              </w:rPr>
            </w:pPr>
            <w:r>
              <w:rPr>
                <w:rFonts w:ascii="Arial" w:cs="Arial" w:eastAsia="Arial" w:hAnsi="Arial"/>
                <w:sz w:val="14"/>
                <w:szCs w:val="14"/>
                <w:color w:val="auto"/>
                <w:w w:val="98"/>
              </w:rPr>
              <w:t>To approve the authorized share capital of Amdocs Limited and the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Julian A. Brodsky</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rPr>
              <w:t>authorization of the Board of Directors to issue shares for a fixed</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period of five years (Proposal IV).</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Eli Gelman</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4220" w:type="dxa"/>
            <w:vAlign w:val="bottom"/>
          </w:tcPr>
          <w:p>
            <w:pPr>
              <w:ind w:left="80"/>
              <w:spacing w:after="0"/>
              <w:rPr>
                <w:sz w:val="20"/>
                <w:szCs w:val="20"/>
                <w:color w:val="auto"/>
              </w:rPr>
            </w:pPr>
            <w:r>
              <w:rPr>
                <w:rFonts w:ascii="Arial" w:cs="Arial" w:eastAsia="Arial" w:hAnsi="Arial"/>
                <w:sz w:val="14"/>
                <w:szCs w:val="14"/>
                <w:color w:val="auto"/>
                <w:w w:val="96"/>
              </w:rPr>
              <w:t>To approve our Consolidated Financial Statements for the fiscal year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1840" w:type="dxa"/>
            <w:vAlign w:val="bottom"/>
            <w:vMerge w:val="restart"/>
          </w:tcPr>
          <w:p>
            <w:pPr>
              <w:spacing w:after="0"/>
              <w:rPr>
                <w:sz w:val="20"/>
                <w:szCs w:val="20"/>
                <w:color w:val="auto"/>
              </w:rPr>
            </w:pPr>
            <w:r>
              <w:rPr>
                <w:rFonts w:ascii="Arial" w:cs="Arial" w:eastAsia="Arial" w:hAnsi="Arial"/>
                <w:sz w:val="14"/>
                <w:szCs w:val="14"/>
                <w:color w:val="auto"/>
              </w:rPr>
              <w:t>James S. Kahan</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5"/>
                <w:szCs w:val="15"/>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ended September 30, 2013 (Proposal V).</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Richard T.C. LeFave</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4220" w:type="dxa"/>
            <w:vAlign w:val="bottom"/>
          </w:tcPr>
          <w:p>
            <w:pPr>
              <w:ind w:left="80"/>
              <w:spacing w:after="0"/>
              <w:rPr>
                <w:sz w:val="20"/>
                <w:szCs w:val="20"/>
                <w:color w:val="auto"/>
              </w:rPr>
            </w:pPr>
            <w:r>
              <w:rPr>
                <w:rFonts w:ascii="Arial" w:cs="Arial" w:eastAsia="Arial" w:hAnsi="Arial"/>
                <w:sz w:val="14"/>
                <w:szCs w:val="14"/>
                <w:color w:val="auto"/>
                <w:w w:val="98"/>
              </w:rPr>
              <w:t>To ratify and approve the appointment of Ernst &amp; Young LLP as our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Giora Yaron</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rPr>
              <w:t>independent registered public accounting firm for the fiscal year</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Pr>
          <w:p>
            <w:pPr>
              <w:ind w:left="80"/>
              <w:spacing w:after="0" w:line="154" w:lineRule="exact"/>
              <w:rPr>
                <w:sz w:val="20"/>
                <w:szCs w:val="20"/>
                <w:color w:val="auto"/>
              </w:rPr>
            </w:pPr>
            <w:r>
              <w:rPr>
                <w:rFonts w:ascii="Arial" w:cs="Arial" w:eastAsia="Arial" w:hAnsi="Arial"/>
                <w:sz w:val="14"/>
                <w:szCs w:val="14"/>
                <w:color w:val="auto"/>
                <w:w w:val="93"/>
              </w:rPr>
              <w:t>ending September 30, 2014, and until the next annual general meeting,</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6"/>
              </w:rPr>
              <w:t>and authorize the Audit Committee of the Board of Directors to fix the</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ind w:left="80"/>
              <w:spacing w:after="0" w:line="149" w:lineRule="exact"/>
              <w:rPr>
                <w:sz w:val="20"/>
                <w:szCs w:val="20"/>
                <w:color w:val="auto"/>
              </w:rPr>
            </w:pPr>
            <w:r>
              <w:rPr>
                <w:rFonts w:ascii="Arial" w:cs="Arial" w:eastAsia="Arial" w:hAnsi="Arial"/>
                <w:sz w:val="14"/>
                <w:szCs w:val="14"/>
                <w:color w:val="auto"/>
                <w:w w:val="95"/>
              </w:rPr>
              <w:t>remuneration of such independent registered public accounting firm in</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w w:val="99"/>
              </w:rPr>
              <w:t>accordance with the nature and extent of its services (Proposal VI).</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4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w w:val="97"/>
              </w:rPr>
              <w:t>To change the address on your account, please check the box at right</w:t>
            </w:r>
          </w:p>
        </w:tc>
        <w:tc>
          <w:tcPr>
            <w:tcW w:w="660" w:type="dxa"/>
            <w:vAlign w:val="bottom"/>
            <w:tcBorders>
              <w:top w:val="single" w:sz="8" w:color="auto"/>
            </w:tcBorders>
            <w:gridSpan w:val="2"/>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w w:val="94"/>
              </w:rPr>
              <w:t>and indicate your new address in the address space above. Please note</w:t>
            </w:r>
          </w:p>
        </w:tc>
        <w:tc>
          <w:tcPr>
            <w:tcW w:w="6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that changes to the registered name(s) on the account may not be</w:t>
            </w:r>
          </w:p>
        </w:tc>
        <w:tc>
          <w:tcPr>
            <w:tcW w:w="6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submitted via this method.</w:t>
            </w: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6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4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500" w:type="dxa"/>
            <w:vAlign w:val="bottom"/>
            <w:tcBorders>
              <w:top w:val="single" w:sz="8" w:color="auto"/>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0" w:type="dxa"/>
            <w:vAlign w:val="bottom"/>
          </w:tcPr>
          <w:p>
            <w:pPr>
              <w:ind w:left="260"/>
              <w:spacing w:after="0"/>
              <w:rPr>
                <w:sz w:val="20"/>
                <w:szCs w:val="20"/>
                <w:color w:val="auto"/>
              </w:rPr>
            </w:pPr>
            <w:r>
              <w:rPr>
                <w:rFonts w:ascii="Arial" w:cs="Arial" w:eastAsia="Arial" w:hAnsi="Arial"/>
                <w:sz w:val="14"/>
                <w:szCs w:val="14"/>
                <w:b w:val="1"/>
                <w:bCs w:val="1"/>
                <w:color w:val="auto"/>
              </w:rPr>
              <w:t>Note:</w:t>
            </w:r>
          </w:p>
        </w:tc>
        <w:tc>
          <w:tcPr>
            <w:tcW w:w="10460" w:type="dxa"/>
            <w:vAlign w:val="bottom"/>
            <w:gridSpan w:val="10"/>
          </w:tcPr>
          <w:p>
            <w:pPr>
              <w:ind w:left="140"/>
              <w:spacing w:after="0"/>
              <w:rPr>
                <w:sz w:val="20"/>
                <w:szCs w:val="20"/>
                <w:color w:val="auto"/>
              </w:rPr>
            </w:pP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 trustee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60" w:type="dxa"/>
            <w:vAlign w:val="bottom"/>
            <w:gridSpan w:val="10"/>
          </w:tcPr>
          <w:p>
            <w:pPr>
              <w:ind w:left="16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4240" w:type="dxa"/>
            <w:vAlign w:val="bottom"/>
            <w:gridSpan w:val="5"/>
          </w:tcPr>
          <w:p>
            <w:pPr>
              <w:ind w:left="160"/>
              <w:spacing w:after="0"/>
              <w:rPr>
                <w:sz w:val="20"/>
                <w:szCs w:val="20"/>
                <w:color w:val="auto"/>
              </w:rPr>
            </w:pPr>
            <w:r>
              <w:rPr>
                <w:rFonts w:ascii="Arial" w:cs="Arial" w:eastAsia="Arial" w:hAnsi="Arial"/>
                <w:sz w:val="14"/>
                <w:szCs w:val="14"/>
                <w:color w:val="auto"/>
                <w:w w:val="97"/>
              </w:rPr>
              <w:t>partnership, please sign in partnership name by authorized person.</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3" w:name="page34"/>
    <w:bookmarkEnd w:id="33"/>
    <w:p>
      <w:pPr>
        <w:jc w:val="both"/>
        <w:ind w:left="10160"/>
        <w:spacing w:after="0"/>
        <w:tabs>
          <w:tab w:leader="none" w:pos="1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right="500" w:firstLine="456"/>
        <w:spacing w:after="0" w:line="312" w:lineRule="auto"/>
        <w:rPr>
          <w:sz w:val="20"/>
          <w:szCs w:val="20"/>
          <w:color w:val="auto"/>
        </w:rPr>
      </w:pPr>
      <w:r>
        <w:rPr>
          <w:rFonts w:ascii="Arial" w:cs="Arial" w:eastAsia="Arial" w:hAnsi="Arial"/>
          <w:sz w:val="16"/>
          <w:szCs w:val="16"/>
          <w:color w:val="auto"/>
        </w:rPr>
        <w:t>The undersigned hereby appoints Robert A. Minicucci and Michael Bricker as Proxies, each with the power to appoint his substitute, and hereby authorizes them to represent and vote, as designated on the reverse side, all Ordinary Shares of Amdocs Limited (the “Company”) held of record by the undersigned on December 2, 2013, at the annual General Meeting of shareholders to be held on January 30, 2014 or any adjournment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jc w:val="right"/>
              <w:ind w:right="5250"/>
              <w:spacing w:after="0"/>
              <w:rPr>
                <w:sz w:val="20"/>
                <w:szCs w:val="20"/>
                <w:color w:val="auto"/>
              </w:rPr>
            </w:pPr>
            <w:r>
              <w:rPr>
                <w:rFonts w:ascii="Arial" w:cs="Arial" w:eastAsia="Arial" w:hAnsi="Arial"/>
                <w:sz w:val="18"/>
                <w:szCs w:val="18"/>
                <w:color w:val="auto"/>
                <w:w w:val="79"/>
              </w:rPr>
              <w:t>¢</w:t>
            </w:r>
          </w:p>
        </w:tc>
        <w:tc>
          <w:tcPr>
            <w:tcW w:w="5980" w:type="dxa"/>
            <w:vAlign w:val="bottom"/>
          </w:tcPr>
          <w:p>
            <w:pPr>
              <w:jc w:val="right"/>
              <w:spacing w:after="0"/>
              <w:rPr>
                <w:sz w:val="20"/>
                <w:szCs w:val="20"/>
                <w:color w:val="auto"/>
              </w:rPr>
            </w:pPr>
            <w:r>
              <w:rPr>
                <w:rFonts w:ascii="Arial" w:cs="Arial" w:eastAsia="Arial" w:hAnsi="Arial"/>
                <w:sz w:val="18"/>
                <w:szCs w:val="18"/>
                <w:color w:val="auto"/>
              </w:rPr>
              <w:t>14475 ¢</w:t>
            </w: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172085</wp:posOffset>
            </wp:positionV>
            <wp:extent cx="255587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31750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70" w:right="2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8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12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w:t>
      </w:r>
    </w:p>
    <w:p>
      <w:pPr>
        <w:spacing w:after="0" w:line="6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-197485</wp:posOffset>
            </wp:positionV>
            <wp:extent cx="3181350" cy="909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90932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-1012190</wp:posOffset>
            </wp:positionV>
            <wp:extent cx="497205" cy="497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NUMBER</w:t>
      </w:r>
    </w:p>
    <w:p>
      <w:pPr>
        <w:spacing w:after="0" w:line="1222" w:lineRule="exact"/>
        <w:rPr>
          <w:sz w:val="20"/>
          <w:szCs w:val="20"/>
          <w:color w:val="auto"/>
        </w:rPr>
      </w:pPr>
    </w:p>
    <w:p>
      <w:pPr>
        <w:sectPr>
          <w:pgSz w:w="11900" w:h="16838" w:orient="portrait"/>
          <w:cols w:equalWidth="0" w:num="2">
            <w:col w:w="6120" w:space="720"/>
            <w:col w:w="4600"/>
          </w:cols>
          <w:pgMar w:left="240" w:top="270" w:right="219" w:bottom="1440" w:gutter="0" w:footer="0" w:header="0"/>
          <w:type w:val="continuous"/>
        </w:sectPr>
      </w:pPr>
    </w:p>
    <w:p>
      <w:pPr>
        <w:spacing w:after="0" w:line="7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Proxy Card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54875"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9146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AND A VOTE “FOR” PROPOSALS 2, 3, 4, 5 AND 6.</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507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507740"/>
                    </a:xfrm>
                    <a:prstGeom prst="rect">
                      <a:avLst/>
                    </a:prstGeom>
                    <a:noFill/>
                  </pic:spPr>
                </pic:pic>
              </a:graphicData>
            </a:graphic>
          </wp:anchor>
        </w:drawing>
      </w:r>
    </w:p>
    <w:p>
      <w:pPr>
        <w:spacing w:after="0" w:line="150" w:lineRule="exact"/>
        <w:rPr>
          <w:sz w:val="20"/>
          <w:szCs w:val="20"/>
          <w:color w:val="auto"/>
        </w:rPr>
      </w:pPr>
    </w:p>
    <w:p>
      <w:pPr>
        <w:ind w:left="440" w:hanging="288"/>
        <w:spacing w:after="0"/>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960" w:type="dxa"/>
            <w:vAlign w:val="bottom"/>
          </w:tcPr>
          <w:p>
            <w:pPr>
              <w:jc w:val="center"/>
              <w:ind w:left="488"/>
              <w:spacing w:after="0"/>
              <w:rPr>
                <w:sz w:val="20"/>
                <w:szCs w:val="20"/>
                <w:color w:val="auto"/>
              </w:rPr>
            </w:pPr>
            <w:r>
              <w:rPr>
                <w:rFonts w:ascii="Arial" w:cs="Arial" w:eastAsia="Arial" w:hAnsi="Arial"/>
                <w:sz w:val="14"/>
                <w:szCs w:val="14"/>
                <w:color w:val="auto"/>
                <w:w w:val="94"/>
              </w:rPr>
              <w:t>FOR</w:t>
            </w:r>
          </w:p>
        </w:tc>
        <w:tc>
          <w:tcPr>
            <w:tcW w:w="760" w:type="dxa"/>
            <w:vAlign w:val="bottom"/>
          </w:tcPr>
          <w:p>
            <w:pPr>
              <w:jc w:val="center"/>
              <w:spacing w:after="0"/>
              <w:rPr>
                <w:sz w:val="20"/>
                <w:szCs w:val="20"/>
                <w:color w:val="auto"/>
              </w:rPr>
            </w:pPr>
            <w:r>
              <w:rPr>
                <w:rFonts w:ascii="Arial" w:cs="Arial" w:eastAsia="Arial" w:hAnsi="Arial"/>
                <w:sz w:val="14"/>
                <w:szCs w:val="14"/>
                <w:color w:val="auto"/>
              </w:rPr>
              <w:t>AGAINST</w:t>
            </w:r>
          </w:p>
        </w:tc>
        <w:tc>
          <w:tcPr>
            <w:tcW w:w="820" w:type="dxa"/>
            <w:vAlign w:val="bottom"/>
          </w:tcPr>
          <w:p>
            <w:pPr>
              <w:jc w:val="center"/>
              <w:spacing w:after="0"/>
              <w:rPr>
                <w:sz w:val="20"/>
                <w:szCs w:val="20"/>
                <w:color w:val="auto"/>
              </w:rPr>
            </w:pPr>
            <w:r>
              <w:rPr>
                <w:rFonts w:ascii="Arial" w:cs="Arial" w:eastAsia="Arial" w:hAnsi="Arial"/>
                <w:sz w:val="14"/>
                <w:szCs w:val="14"/>
                <w:color w:val="auto"/>
              </w:rPr>
              <w:t>ABSTAIN</w:t>
            </w:r>
          </w:p>
        </w:tc>
        <w:tc>
          <w:tcPr>
            <w:tcW w:w="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69"/>
        </w:trPr>
        <w:tc>
          <w:tcPr>
            <w:tcW w:w="1840" w:type="dxa"/>
            <w:vAlign w:val="bottom"/>
          </w:tcPr>
          <w:p>
            <w:pPr>
              <w:spacing w:after="0"/>
              <w:rPr>
                <w:sz w:val="20"/>
                <w:szCs w:val="20"/>
                <w:color w:val="auto"/>
              </w:rPr>
            </w:pPr>
            <w:r>
              <w:rPr>
                <w:rFonts w:ascii="Arial" w:cs="Arial" w:eastAsia="Arial" w:hAnsi="Arial"/>
                <w:sz w:val="14"/>
                <w:szCs w:val="14"/>
                <w:color w:val="auto"/>
              </w:rPr>
              <w:t>Robert A. Minicucci</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220" w:type="dxa"/>
            <w:vAlign w:val="bottom"/>
          </w:tcPr>
          <w:p>
            <w:pPr>
              <w:ind w:left="80"/>
              <w:spacing w:after="0"/>
              <w:rPr>
                <w:sz w:val="20"/>
                <w:szCs w:val="20"/>
                <w:color w:val="auto"/>
              </w:rPr>
            </w:pPr>
            <w:r>
              <w:rPr>
                <w:rFonts w:ascii="Arial" w:cs="Arial" w:eastAsia="Arial" w:hAnsi="Arial"/>
                <w:sz w:val="14"/>
                <w:szCs w:val="14"/>
                <w:color w:val="auto"/>
                <w:w w:val="96"/>
              </w:rPr>
              <w:t>To approve an increase in the dividend rate under our quarterly cash</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Adrian Gardner</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5"/>
              </w:rPr>
              <w:t>dividend program from $0.13 per share to $0.155 per share (Proposal</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II).</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John T. McLennan</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220" w:type="dxa"/>
            <w:vAlign w:val="bottom"/>
          </w:tcPr>
          <w:p>
            <w:pPr>
              <w:ind w:left="80"/>
              <w:spacing w:after="0"/>
              <w:rPr>
                <w:sz w:val="20"/>
                <w:szCs w:val="20"/>
                <w:color w:val="auto"/>
              </w:rPr>
            </w:pPr>
            <w:r>
              <w:rPr>
                <w:rFonts w:ascii="Arial" w:cs="Arial" w:eastAsia="Arial" w:hAnsi="Arial"/>
                <w:sz w:val="14"/>
                <w:szCs w:val="14"/>
                <w:color w:val="auto"/>
              </w:rPr>
              <w:t>To approve an amendment to Amdocs Limited’s Articles of</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Simon Olswang</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5"/>
              </w:rPr>
              <w:t>Incorporation to eliminate the requirement of shareholder approval for</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the declaration of dividends (Proposal III).</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Zohar Zisapel</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4220" w:type="dxa"/>
            <w:vAlign w:val="bottom"/>
          </w:tcPr>
          <w:p>
            <w:pPr>
              <w:ind w:left="80"/>
              <w:spacing w:after="0"/>
              <w:rPr>
                <w:sz w:val="20"/>
                <w:szCs w:val="20"/>
                <w:color w:val="auto"/>
              </w:rPr>
            </w:pPr>
            <w:r>
              <w:rPr>
                <w:rFonts w:ascii="Arial" w:cs="Arial" w:eastAsia="Arial" w:hAnsi="Arial"/>
                <w:sz w:val="14"/>
                <w:szCs w:val="14"/>
                <w:color w:val="auto"/>
                <w:w w:val="98"/>
              </w:rPr>
              <w:t>To approve the authorized share capital of Amdocs Limited and the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Julian A. Brodsky</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rPr>
              <w:t>authorization of the Board of Directors to issue shares for a fixed</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period of five years (Proposal IV).</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Eli Gelman</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4220" w:type="dxa"/>
            <w:vAlign w:val="bottom"/>
          </w:tcPr>
          <w:p>
            <w:pPr>
              <w:ind w:left="80"/>
              <w:spacing w:after="0"/>
              <w:rPr>
                <w:sz w:val="20"/>
                <w:szCs w:val="20"/>
                <w:color w:val="auto"/>
              </w:rPr>
            </w:pPr>
            <w:r>
              <w:rPr>
                <w:rFonts w:ascii="Arial" w:cs="Arial" w:eastAsia="Arial" w:hAnsi="Arial"/>
                <w:sz w:val="14"/>
                <w:szCs w:val="14"/>
                <w:color w:val="auto"/>
                <w:w w:val="96"/>
              </w:rPr>
              <w:t>To approve our Consolidated Financial Statements for the fiscal year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rPr>
              <w:t>ended September 30, 2013 (Proposal V).</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0"/>
                <w:szCs w:val="20"/>
                <w:color w:val="auto"/>
              </w:rPr>
            </w:pPr>
            <w:r>
              <w:rPr>
                <w:rFonts w:ascii="Arial" w:cs="Arial" w:eastAsia="Arial" w:hAnsi="Arial"/>
                <w:sz w:val="14"/>
                <w:szCs w:val="14"/>
                <w:color w:val="auto"/>
              </w:rPr>
              <w:t>James S. Kahan</w:t>
            </w:r>
          </w:p>
        </w:tc>
        <w:tc>
          <w:tcPr>
            <w:tcW w:w="96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4220" w:type="dxa"/>
            <w:vAlign w:val="bottom"/>
          </w:tcPr>
          <w:p>
            <w:pPr>
              <w:ind w:left="80"/>
              <w:spacing w:after="0"/>
              <w:rPr>
                <w:sz w:val="20"/>
                <w:szCs w:val="20"/>
                <w:color w:val="auto"/>
              </w:rPr>
            </w:pPr>
            <w:r>
              <w:rPr>
                <w:rFonts w:ascii="Arial" w:cs="Arial" w:eastAsia="Arial" w:hAnsi="Arial"/>
                <w:sz w:val="14"/>
                <w:szCs w:val="14"/>
                <w:color w:val="auto"/>
                <w:w w:val="98"/>
              </w:rPr>
              <w:t>To ratify and approve the appointment of Ernst &amp; Young LLP as our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Richard T.C. LeFave</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rPr>
              <w:t>independent registered public accounting firm for the fiscal year</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Pr>
          <w:p>
            <w:pPr>
              <w:ind w:left="80"/>
              <w:spacing w:after="0" w:line="154" w:lineRule="exact"/>
              <w:rPr>
                <w:sz w:val="20"/>
                <w:szCs w:val="20"/>
                <w:color w:val="auto"/>
              </w:rPr>
            </w:pPr>
            <w:r>
              <w:rPr>
                <w:rFonts w:ascii="Arial" w:cs="Arial" w:eastAsia="Arial" w:hAnsi="Arial"/>
                <w:sz w:val="14"/>
                <w:szCs w:val="14"/>
                <w:color w:val="auto"/>
                <w:w w:val="93"/>
              </w:rPr>
              <w:t>ending September 30, 2014, and until the next annual general meeting,</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4"/>
                <w:szCs w:val="14"/>
                <w:color w:val="auto"/>
              </w:rPr>
              <w:t>Giora Yaron</w:t>
            </w:r>
          </w:p>
        </w:tc>
        <w:tc>
          <w:tcPr>
            <w:tcW w:w="960" w:type="dxa"/>
            <w:vAlign w:val="bottom"/>
            <w:vMerge w:val="restart"/>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4220" w:type="dxa"/>
            <w:vAlign w:val="bottom"/>
          </w:tcPr>
          <w:p>
            <w:pPr>
              <w:ind w:left="80"/>
              <w:spacing w:after="0" w:line="143" w:lineRule="exact"/>
              <w:rPr>
                <w:sz w:val="20"/>
                <w:szCs w:val="20"/>
                <w:color w:val="auto"/>
              </w:rPr>
            </w:pPr>
            <w:r>
              <w:rPr>
                <w:rFonts w:ascii="Arial" w:cs="Arial" w:eastAsia="Arial" w:hAnsi="Arial"/>
                <w:sz w:val="14"/>
                <w:szCs w:val="14"/>
                <w:color w:val="auto"/>
                <w:w w:val="96"/>
              </w:rPr>
              <w:t>and authorize the Audit Committee of the Board of Directors to fix the</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Pr>
          <w:p>
            <w:pPr>
              <w:ind w:left="80"/>
              <w:spacing w:after="0" w:line="154" w:lineRule="exact"/>
              <w:rPr>
                <w:sz w:val="20"/>
                <w:szCs w:val="20"/>
                <w:color w:val="auto"/>
              </w:rPr>
            </w:pPr>
            <w:r>
              <w:rPr>
                <w:rFonts w:ascii="Arial" w:cs="Arial" w:eastAsia="Arial" w:hAnsi="Arial"/>
                <w:sz w:val="14"/>
                <w:szCs w:val="14"/>
                <w:color w:val="auto"/>
                <w:w w:val="95"/>
              </w:rPr>
              <w:t>remuneration of such independent registered public accounting firm in</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Pr>
          <w:p>
            <w:pPr>
              <w:ind w:left="80"/>
              <w:spacing w:after="0"/>
              <w:rPr>
                <w:sz w:val="20"/>
                <w:szCs w:val="20"/>
                <w:color w:val="auto"/>
              </w:rPr>
            </w:pPr>
            <w:r>
              <w:rPr>
                <w:rFonts w:ascii="Arial" w:cs="Arial" w:eastAsia="Arial" w:hAnsi="Arial"/>
                <w:sz w:val="14"/>
                <w:szCs w:val="14"/>
                <w:color w:val="auto"/>
                <w:w w:val="99"/>
              </w:rPr>
              <w:t>accordance with the nature and extent of its services (Proposal VI).</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4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w w:val="97"/>
              </w:rPr>
              <w:t>To change the address on your account, please check the box at right</w:t>
            </w:r>
          </w:p>
        </w:tc>
        <w:tc>
          <w:tcPr>
            <w:tcW w:w="660" w:type="dxa"/>
            <w:vAlign w:val="bottom"/>
            <w:tcBorders>
              <w:top w:val="single" w:sz="8" w:color="auto"/>
            </w:tcBorders>
            <w:gridSpan w:val="2"/>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w w:val="94"/>
              </w:rPr>
              <w:t>and indicate your new address in the address space above. Please note</w:t>
            </w:r>
          </w:p>
        </w:tc>
        <w:tc>
          <w:tcPr>
            <w:tcW w:w="6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that changes to the registered name(s) on the account may not be</w:t>
            </w:r>
          </w:p>
        </w:tc>
        <w:tc>
          <w:tcPr>
            <w:tcW w:w="6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submitted via this method.</w:t>
            </w: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6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4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500" w:type="dxa"/>
            <w:vAlign w:val="bottom"/>
            <w:tcBorders>
              <w:top w:val="single" w:sz="8" w:color="auto"/>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0" w:type="dxa"/>
            <w:vAlign w:val="bottom"/>
          </w:tcPr>
          <w:p>
            <w:pPr>
              <w:ind w:left="260"/>
              <w:spacing w:after="0"/>
              <w:rPr>
                <w:sz w:val="20"/>
                <w:szCs w:val="20"/>
                <w:color w:val="auto"/>
              </w:rPr>
            </w:pPr>
            <w:r>
              <w:rPr>
                <w:rFonts w:ascii="Arial" w:cs="Arial" w:eastAsia="Arial" w:hAnsi="Arial"/>
                <w:sz w:val="14"/>
                <w:szCs w:val="14"/>
                <w:b w:val="1"/>
                <w:bCs w:val="1"/>
                <w:color w:val="auto"/>
              </w:rPr>
              <w:t>Note:</w:t>
            </w:r>
          </w:p>
        </w:tc>
        <w:tc>
          <w:tcPr>
            <w:tcW w:w="10460" w:type="dxa"/>
            <w:vAlign w:val="bottom"/>
            <w:gridSpan w:val="10"/>
          </w:tcPr>
          <w:p>
            <w:pPr>
              <w:ind w:left="140"/>
              <w:spacing w:after="0"/>
              <w:rPr>
                <w:sz w:val="20"/>
                <w:szCs w:val="20"/>
                <w:color w:val="auto"/>
              </w:rPr>
            </w:pP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 trustee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60" w:type="dxa"/>
            <w:vAlign w:val="bottom"/>
            <w:gridSpan w:val="10"/>
          </w:tcPr>
          <w:p>
            <w:pPr>
              <w:ind w:left="16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4240" w:type="dxa"/>
            <w:vAlign w:val="bottom"/>
            <w:gridSpan w:val="5"/>
          </w:tcPr>
          <w:p>
            <w:pPr>
              <w:ind w:left="160"/>
              <w:spacing w:after="0"/>
              <w:rPr>
                <w:sz w:val="20"/>
                <w:szCs w:val="20"/>
                <w:color w:val="auto"/>
              </w:rPr>
            </w:pPr>
            <w:r>
              <w:rPr>
                <w:rFonts w:ascii="Arial" w:cs="Arial" w:eastAsia="Arial" w:hAnsi="Arial"/>
                <w:sz w:val="14"/>
                <w:szCs w:val="14"/>
                <w:color w:val="auto"/>
                <w:w w:val="97"/>
              </w:rPr>
              <w:t>partnership, please sign in partnership name by authorized person.</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type w:val="continuous"/>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2013</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61"/>
    </w:lvl>
  </w:abstractNum>
  <w:abstractNum w:abstractNumId="6">
    <w:nsid w:val="41A7C4C9"/>
    <w:multiLevelType w:val="hybridMultilevel"/>
    <w:lvl w:ilvl="0">
      <w:lvlJc w:val="left"/>
      <w:lvlText w:val="%1"/>
      <w:numFmt w:val="decimal"/>
      <w:start w:val="5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
    <w:nsid w:val="257130A3"/>
    <w:multiLevelType w:val="hybridMultilevel"/>
    <w:lvl w:ilvl="0">
      <w:lvlJc w:val="left"/>
      <w:lvlText w:val="%1."/>
      <w:numFmt w:val="lowerLetter"/>
      <w:start w:val="6"/>
    </w:lvl>
    <w:lvl w:ilvl="1">
      <w:lvlJc w:val="left"/>
      <w:lvlText w:val="•"/>
      <w:numFmt w:val="bullet"/>
      <w:start w:val="1"/>
    </w:lvl>
  </w:abstractNum>
  <w:abstractNum w:abstractNumId="15">
    <w:nsid w:val="62BBD95A"/>
    <w:multiLevelType w:val="hybridMultilevel"/>
    <w:lvl w:ilvl="0">
      <w:lvlJc w:val="left"/>
      <w:lvlText w:val="%1."/>
      <w:numFmt w:val="lowerLetter"/>
      <w:start w:val="8"/>
    </w:lvl>
  </w:abstractNum>
  <w:abstractNum w:abstractNumId="16">
    <w:nsid w:val="436C6125"/>
    <w:multiLevelType w:val="hybridMultilevel"/>
    <w:lvl w:ilvl="0">
      <w:lvlJc w:val="left"/>
      <w:lvlText w:val="%1."/>
      <w:numFmt w:val="decimal"/>
      <w:start w:val="3"/>
    </w:lvl>
    <w:lvl w:ilvl="1">
      <w:lvlJc w:val="left"/>
      <w:lvlText w:val="%2."/>
      <w:numFmt w:val="lowerLetter"/>
      <w:start w:val="1"/>
    </w:lvl>
  </w:abstractNum>
  <w:abstractNum w:abstractNumId="17">
    <w:nsid w:val="628C895D"/>
    <w:multiLevelType w:val="hybridMultilevel"/>
    <w:lvl w:ilvl="0">
      <w:lvlJc w:val="left"/>
      <w:lvlText w:val="%1."/>
      <w:numFmt w:val="decimal"/>
      <w:start w:val="4"/>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4"/>
    </w:lvl>
  </w:abstractNum>
  <w:abstractNum w:abstractNumId="19">
    <w:nsid w:val="721DA317"/>
    <w:multiLevelType w:val="hybridMultilevel"/>
    <w:lvl w:ilvl="0">
      <w:lvlJc w:val="left"/>
      <w:lvlText w:val="%1."/>
      <w:numFmt w:val="decimal"/>
      <w:start w:val="6"/>
    </w:lvl>
    <w:lvl w:ilvl="1">
      <w:lvlJc w:val="left"/>
      <w:lvlText w:val="%2."/>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92"/>
    </w:lvl>
    <w:lvl w:ilvl="1">
      <w:lvlJc w:val="left"/>
      <w:lvlText w:val="(%2)"/>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2019-12-06T21:06:41Z</dcterms:created>
  <dcterms:modified xsi:type="dcterms:W3CDTF">2019-12-06T21:06:41Z</dcterms:modified>
</cp:coreProperties>
</file>