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April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1900"/>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 [ ]</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101(b)(1): [ ]</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 [ ]</w:t>
      </w:r>
    </w:p>
    <w:p>
      <w:pPr>
        <w:spacing w:after="0" w:line="208"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1900"/>
        <w:spacing w:after="0"/>
        <w:tabs>
          <w:tab w:leader="none" w:pos="4720" w:val="left"/>
          <w:tab w:leader="none" w:pos="536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447" w:right="1440" w:bottom="1440" w:gutter="0" w:footer="0" w:header="0"/>
        </w:sectPr>
      </w:pPr>
    </w:p>
    <w:bookmarkStart w:id="1" w:name="page2"/>
    <w:bookmarkEnd w:id="1"/>
    <w:p>
      <w:pPr>
        <w:ind w:right="1779" w:firstLine="632"/>
        <w:spacing w:after="0" w:line="237" w:lineRule="auto"/>
        <w:rPr>
          <w:sz w:val="20"/>
          <w:szCs w:val="20"/>
          <w:color w:val="auto"/>
        </w:rPr>
      </w:pPr>
      <w:r>
        <w:rPr>
          <w:rFonts w:ascii="Courier New" w:cs="Courier New" w:eastAsia="Courier New" w:hAnsi="Courier New"/>
          <w:sz w:val="18"/>
          <w:szCs w:val="18"/>
          <w:color w:val="auto"/>
        </w:rPr>
        <w:t>On April 26, 2006, Amdocs Limited ("Amdocs") issued a press release announcing financial results for the quarter ended March 31, 2006. A copy of the press release is furnished as Exhibit 99.1 to this Report of Foreign Private Issuer on Form 6-K.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925"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Thomas G. O'Brien</w:t>
      </w:r>
    </w:p>
    <w:p>
      <w:pPr>
        <w:ind w:left="47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7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27, 2006</w:t>
      </w:r>
    </w:p>
    <w:p>
      <w:pPr>
        <w:sectPr>
          <w:pgSz w:w="11900" w:h="16838" w:orient="portrait"/>
          <w:cols w:equalWidth="0" w:num="1">
            <w:col w:w="10219"/>
          </w:cols>
          <w:pgMar w:left="240" w:top="1122"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Amdocs Limited Press Release dated April 26, 2006.</w:t>
      </w:r>
    </w:p>
    <w:p>
      <w:pPr>
        <w:sectPr>
          <w:pgSz w:w="11900" w:h="16838" w:orient="portrait"/>
          <w:cols w:equalWidth="0" w:num="1">
            <w:col w:w="10219"/>
          </w:cols>
          <w:pgMar w:left="240" w:top="919"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 COMPANY LOGO]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AMDOCS LIMITED REPORTS 23% GROWTH IN REVENUE TO A RECORD $601 MILLION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THE SECOND QUARTER OF FISCAL 2006</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26% GROWTH IN DILUTED EARNINGS PER SHARE BEFORE CERTAIN ITEMS TO $0.44;</w:t>
      </w:r>
    </w:p>
    <w:p>
      <w:pPr>
        <w:jc w:val="center"/>
        <w:ind w:right="1879"/>
        <w:spacing w:after="0" w:line="238" w:lineRule="auto"/>
        <w:rPr>
          <w:sz w:val="20"/>
          <w:szCs w:val="20"/>
          <w:color w:val="auto"/>
        </w:rPr>
      </w:pPr>
      <w:r>
        <w:rPr>
          <w:rFonts w:ascii="Courier New" w:cs="Courier New" w:eastAsia="Courier New" w:hAnsi="Courier New"/>
          <w:sz w:val="18"/>
          <w:szCs w:val="18"/>
          <w:color w:val="auto"/>
        </w:rPr>
        <w:t>DILUTED GAAP EPS OF $0.38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highlights:</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quarter revenue grew 23% to $601 million</w:t>
      </w:r>
    </w:p>
    <w:p>
      <w:pPr>
        <w:spacing w:after="0" w:line="4"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 increase in second quarter diluted EPS, excluding acquisition-related costs and equity-based compensation expense, net of related tax effects, to $0.44; Exceeds guidance of $0.42</w:t>
      </w:r>
    </w:p>
    <w:p>
      <w:pPr>
        <w:spacing w:after="0" w:line="1"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GAAP EPS of $0.38</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of $86 million for the quarter</w:t>
      </w:r>
    </w:p>
    <w:p>
      <w:pPr>
        <w:spacing w:after="0" w:line="4" w:lineRule="exact"/>
        <w:rPr>
          <w:rFonts w:ascii="Courier New" w:cs="Courier New" w:eastAsia="Courier New" w:hAnsi="Courier New"/>
          <w:sz w:val="18"/>
          <w:szCs w:val="18"/>
          <w:color w:val="auto"/>
        </w:rPr>
      </w:pPr>
    </w:p>
    <w:p>
      <w:pPr>
        <w:ind w:left="640" w:right="187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Sprint Nextel selected Amdocs to provide a single platform to support its more than 45 million wireless subscribers</w:t>
      </w:r>
    </w:p>
    <w:p>
      <w:pPr>
        <w:spacing w:after="0" w:line="5" w:lineRule="exact"/>
        <w:rPr>
          <w:rFonts w:ascii="Courier New" w:cs="Courier New" w:eastAsia="Courier New" w:hAnsi="Courier New"/>
          <w:sz w:val="18"/>
          <w:szCs w:val="18"/>
          <w:color w:val="auto"/>
        </w:rPr>
      </w:pPr>
    </w:p>
    <w:p>
      <w:pPr>
        <w:ind w:left="640" w:right="2199"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quarter, Amdocs announced that it had signed an agreement to acquire Qpass, a leading provider of digital commerce software and solutions, for $275 million in cash</w:t>
      </w:r>
    </w:p>
    <w:p>
      <w:pPr>
        <w:spacing w:after="0" w:line="6"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quarter fiscal 2006 guidance: Expected revenue of approximately $622 million and diluted EPS of $0.46, excluding acquisition-related costs, net of related tax effects, and approximately $0.04-$0.05 per share of equity-based compensation expense. Diluted GAAP EPS is expected to be approximately $0.39-$0.40. This guidance excludes any potential impact of the pending acquisition of Qpass</w:t>
      </w:r>
    </w:p>
    <w:p>
      <w:pPr>
        <w:spacing w:after="0" w:line="7" w:lineRule="exact"/>
        <w:rPr>
          <w:rFonts w:ascii="Courier New" w:cs="Courier New" w:eastAsia="Courier New" w:hAnsi="Courier New"/>
          <w:sz w:val="18"/>
          <w:szCs w:val="18"/>
          <w:color w:val="auto"/>
        </w:rPr>
      </w:pPr>
    </w:p>
    <w:p>
      <w:pPr>
        <w:ind w:left="640" w:right="1999" w:hanging="632"/>
        <w:spacing w:after="0" w:line="272" w:lineRule="auto"/>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Updated fiscal 2006 guidance: Expected revenue of approximately $2.445-$2.465 billion and diluted EPS of $1.78-$1.80, excluding acquisition-related costs, net of related tax effects, and approximately $0.16-$0.18 per share of equity-based compensation expense. Diluted GAAP EPS is expected to be approximately $1.51-$1.55. This guidance excludes any potential impact of the pending acquisition of Qpass</w:t>
      </w:r>
    </w:p>
    <w:p>
      <w:pPr>
        <w:sectPr>
          <w:pgSz w:w="11900" w:h="16838" w:orient="portrait"/>
          <w:cols w:equalWidth="0" w:num="1">
            <w:col w:w="10219"/>
          </w:cols>
          <w:pgMar w:left="240" w:top="344" w:right="1440" w:bottom="1440" w:gutter="0" w:footer="0" w:header="0"/>
        </w:sectPr>
      </w:pPr>
    </w:p>
    <w:bookmarkStart w:id="5" w:name="page6"/>
    <w:bookmarkEnd w:id="5"/>
    <w:p>
      <w:pPr>
        <w:ind w:right="1779"/>
        <w:spacing w:after="0" w:line="270" w:lineRule="auto"/>
        <w:rPr>
          <w:sz w:val="20"/>
          <w:szCs w:val="20"/>
          <w:color w:val="auto"/>
        </w:rPr>
      </w:pPr>
      <w:r>
        <w:rPr>
          <w:rFonts w:ascii="Courier New" w:cs="Courier New" w:eastAsia="Courier New" w:hAnsi="Courier New"/>
          <w:sz w:val="16"/>
          <w:szCs w:val="16"/>
          <w:color w:val="auto"/>
        </w:rPr>
        <w:t>ST. LOUIS, MO - APRIL 26, 2006 - Amdocs Limited (NYSE: DOX) today reported that for the second quarter ended March 31, 2006, revenue was $601.1 million, an increase of 23.1% from last year's second quarter. Excluding acquisition-related costs and equity-based compensation expense, net of related tax effects, of $13.7 million, net income was $95.5 million, or $0.44 per diluted share, compared to net income, excluding $1.7 million of acquisition-related costs net of related tax effects, of $76.0 million, or $0.35 per diluted share, in the second quarter of fiscal 2005. The Company's net income was $81.8 million, or $0.38 per diluted share, compared to net income of $74.3 million, or $0.34 per diluted share, in the second quarter of fiscal 2005. Free cash flow, defined as cash flow from operations less net capital expenditures and principal payments on capital leases, was $86.4 million in the quarter.</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was another very successful quarter for Amdocs," said Dov Baharav, Chief Executive Officer of Amdocs Management Limited. "Revenue grew 23%, helping to increase earnings at an even greater rate. This performance is the result of the 13,000 employees at Amdocs executing on our strategy of providing systems to support integrated customer management to the top tier service providers.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was one of our best quarters ever for new business signings. Demand for Amdocs products and services continues to be driven by service providers' need to address competition, consolidation and convergence. Digital content will be an increasingly important revenue driver in the future as service providers continue to introduce new products and services, and we will expand our presence in this area with our acquisition of Qpass. We are the leading provider to our market and are confident that we will deliver strong results in fiscal 2006 and beyond," continued Baharav.</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second quarter, Amdocs new business included eleven new key wins. In addition to Sprint Nextel, these wins include a large project with a subsidiary of a current wireline customer as it adopts an integrated customer management strategy. In the directory area, Amdocs had several wins with projects involving sales force automation, digital advertising, and business process outsourcing. Amdocs was selected by Vimpelcom and its affiliates in</w:t>
      </w:r>
    </w:p>
    <w:p>
      <w:pPr>
        <w:sectPr>
          <w:pgSz w:w="11900" w:h="16838" w:orient="portrait"/>
          <w:cols w:equalWidth="0" w:num="1">
            <w:col w:w="10219"/>
          </w:cols>
          <w:pgMar w:left="240" w:top="723" w:right="1440" w:bottom="1440" w:gutter="0" w:footer="0" w:header="0"/>
        </w:sectPr>
      </w:pPr>
    </w:p>
    <w:bookmarkStart w:id="6" w:name="page7"/>
    <w:bookmarkEnd w:id="6"/>
    <w:p>
      <w:pPr>
        <w:ind w:right="1879"/>
        <w:spacing w:after="0" w:line="290" w:lineRule="auto"/>
        <w:rPr>
          <w:sz w:val="20"/>
          <w:szCs w:val="20"/>
          <w:color w:val="auto"/>
        </w:rPr>
      </w:pPr>
      <w:r>
        <w:rPr>
          <w:rFonts w:ascii="Courier New" w:cs="Courier New" w:eastAsia="Courier New" w:hAnsi="Courier New"/>
          <w:sz w:val="16"/>
          <w:szCs w:val="16"/>
          <w:color w:val="auto"/>
        </w:rPr>
        <w:t>the Commonwealth of Independent States as they standardize on Amdocs technology to manage their wireless and wireline customers in an integrated fashion.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OUTLOOK</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expects that revenue for the third quarter of fiscal 2006 ending June 30, 2006, will be approximately $622 million. Diluted earnings per share for the quarter are expected to be $0.46, excluding acquisition-related costs, net of related tax effects, and the impact of approximately $0.04-$0.05 per share of equity-based compensation expense. Diluted GAAP EPS is expected to be approximately $0.39-$0.40. This guidance excludes any potential impact of the pending acquisition of Qpass. Amdocs may incur a one-time charge in its third fiscal quarter to account for certain costs related to the Qpass acquisition.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Updated fiscal 2006 guidance: Expected revenue of approximately $2.445-$2.465 billion and diluted EPS of $1.78-$1.80, excluding acquisition-related costs, net of related tax effects, and approximately $0.16-$0.18 per share of equity-based compensation expense. Diluted GAAP EPS is expected to be approximately $1.51-$1.55. This guidance excludes any potential impact of the pending acquisition of Qpass.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Amdocs will host a conference call on April 26, 2006 at 5 p.m. Eastern Time to discuss the Company's second quarter results. The call will be carried live on the Internet via www.InvestorCalendar.com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more than $2 billion in fiscal 2005, Amdocs has 13,000 employees and serves customers in more than 50 countries around the world. For more information, visit Amdocs at www.amdocs.com.</w:t>
      </w:r>
    </w:p>
    <w:p>
      <w:pPr>
        <w:sectPr>
          <w:pgSz w:w="11900" w:h="16838" w:orient="portrait"/>
          <w:cols w:equalWidth="0" w:num="1">
            <w:col w:w="10219"/>
          </w:cols>
          <w:pgMar w:left="240" w:top="92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CAUTIONARY STATEMENTS</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Investors are cautioned that this press release contains certain information that is not prepared in accordance with GAAP. Investors should not construe these financial measures as being superior to GAAP. The Company's management uses this financial information in its internal analysis in order to exclude the effect of acquisitions and other significant items that may have a disproportionate effect in a particular period. Accordingly, management believes that isolating the effects of such items enables management and investors to consistently analyze the critical components and results of operations of the Company's business and to have a meaningful comparison to prior periods.</w:t>
      </w:r>
    </w:p>
    <w:p>
      <w:pPr>
        <w:spacing w:after="0" w:line="18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filed on December 28, 2005 and our quarterly 6-K furnished on February 15, 2006.</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STATEMENTS OF INCOME (UNAUDITED)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c>
          <w:tcPr>
            <w:tcW w:w="320" w:type="dxa"/>
            <w:vAlign w:val="bottom"/>
          </w:tcPr>
          <w:p>
            <w:pPr>
              <w:spacing w:after="0"/>
              <w:rPr>
                <w:sz w:val="17"/>
                <w:szCs w:val="17"/>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MARCH 31,</w:t>
            </w:r>
          </w:p>
        </w:tc>
        <w:tc>
          <w:tcPr>
            <w:tcW w:w="320" w:type="dxa"/>
            <w:vAlign w:val="bottom"/>
          </w:tcPr>
          <w:p>
            <w:pPr>
              <w:spacing w:after="0"/>
              <w:rPr>
                <w:sz w:val="17"/>
                <w:szCs w:val="17"/>
                <w:color w:val="auto"/>
              </w:rPr>
            </w:pPr>
          </w:p>
        </w:tc>
        <w:tc>
          <w:tcPr>
            <w:tcW w:w="22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580" w:type="dxa"/>
            <w:vAlign w:val="bottom"/>
          </w:tcPr>
          <w:p>
            <w:pPr>
              <w:spacing w:after="0"/>
              <w:rPr>
                <w:sz w:val="17"/>
                <w:szCs w:val="17"/>
                <w:color w:val="auto"/>
              </w:rPr>
            </w:pPr>
          </w:p>
        </w:tc>
        <w:tc>
          <w:tcPr>
            <w:tcW w:w="274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2006(1)</w:t>
            </w:r>
          </w:p>
        </w:tc>
        <w:tc>
          <w:tcPr>
            <w:tcW w:w="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License</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$ 30,291</w:t>
            </w:r>
          </w:p>
        </w:tc>
        <w:tc>
          <w:tcPr>
            <w:tcW w:w="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27,344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61,952</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$ 47,710</w:t>
            </w:r>
          </w:p>
        </w:tc>
      </w:tr>
      <w:tr>
        <w:trPr>
          <w:trHeight w:val="405"/>
        </w:trPr>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Service</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570,838</w:t>
            </w:r>
          </w:p>
        </w:tc>
        <w:tc>
          <w:tcPr>
            <w:tcW w:w="3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461,072</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1,126,205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910,238</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601,129</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488,416</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1,188,157</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957,948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Cost of license</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916</w:t>
            </w:r>
          </w:p>
        </w:tc>
        <w:tc>
          <w:tcPr>
            <w:tcW w:w="3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998</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1,978</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2,153</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388,333</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310,291</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762,384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605,238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41,823</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33,263</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84,937</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66,174</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73,799</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54,592</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152,349</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109,552</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purchased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7,469</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2,079</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15,041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5,797</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512,340</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401,223</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1,016,689</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788,914</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88,789</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87,193</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171,468</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169,034</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Interest income and other, net</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10,307</w:t>
            </w:r>
          </w:p>
        </w:tc>
        <w:tc>
          <w:tcPr>
            <w:tcW w:w="3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5,680</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18,721</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10,639</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99,096</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92,873</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190,189</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179,673</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17,334</w:t>
            </w:r>
          </w:p>
        </w:tc>
        <w:tc>
          <w:tcPr>
            <w:tcW w:w="3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18,576</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33,093</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35,933</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$ 81,762</w:t>
            </w:r>
          </w:p>
        </w:tc>
        <w:tc>
          <w:tcPr>
            <w:tcW w:w="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74,297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157,096</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$143,740</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0.40</w:t>
            </w:r>
          </w:p>
        </w:tc>
        <w:tc>
          <w:tcPr>
            <w:tcW w:w="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0.71</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0.38</w:t>
            </w:r>
          </w:p>
        </w:tc>
        <w:tc>
          <w:tcPr>
            <w:tcW w:w="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0.67</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weighted average number of</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202,515</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202,168</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201,509</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201,933</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number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217,919</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218,807</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216,394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218,127</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779"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quarter of fiscal 2006 includes equity-based compensation pre-tax expense of $9,940, which was classified as follows: $3,717 to Cost of service, $720 to Research and development and $5,503 to Selling, general and administrative.</w:t>
      </w:r>
    </w:p>
    <w:p>
      <w:pPr>
        <w:spacing w:after="0" w:line="207"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half of fiscal 2006 includes equity-based compensation pre-tax expense of $21,000, which was classified as follows: $8,072 to Cost of service, $1,809 to Research and development and $11,119 to Selling, general and administrative.</w:t>
      </w:r>
    </w:p>
    <w:p>
      <w:pPr>
        <w:spacing w:after="0" w:line="207" w:lineRule="exact"/>
        <w:rPr>
          <w:rFonts w:ascii="Courier New" w:cs="Courier New" w:eastAsia="Courier New" w:hAnsi="Courier New"/>
          <w:sz w:val="18"/>
          <w:szCs w:val="18"/>
          <w:color w:val="auto"/>
        </w:rPr>
      </w:pPr>
    </w:p>
    <w:p>
      <w:pPr>
        <w:ind w:left="640" w:right="1779" w:hanging="632"/>
        <w:spacing w:after="0" w:line="272"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$979 and $1,979, representing interest expense and amortization of issuance costs, were added back to net income for the three and six months ended March 31, 2006, respectively, and $983 and $1,967 were added back to net income for the three and six months ended March 31, 2005, respectively, for the purpose of computing diluted earnings per share.</w:t>
      </w:r>
    </w:p>
    <w:p>
      <w:pPr>
        <w:sectPr>
          <w:pgSz w:w="11900" w:h="16838" w:orient="portrait"/>
          <w:cols w:equalWidth="0" w:num="1">
            <w:col w:w="10219"/>
          </w:cols>
          <w:pgMar w:left="240" w:top="919" w:right="1440" w:bottom="543"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7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AMDOCS LIMITED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6320" w:type="dxa"/>
            <w:vAlign w:val="bottom"/>
            <w:gridSpan w:val="4"/>
          </w:tcPr>
          <w:p>
            <w:pPr>
              <w:jc w:val="center"/>
              <w:ind w:left="2152"/>
              <w:spacing w:after="0"/>
              <w:rPr>
                <w:sz w:val="20"/>
                <w:szCs w:val="20"/>
                <w:color w:val="auto"/>
              </w:rPr>
            </w:pPr>
            <w:r>
              <w:rPr>
                <w:rFonts w:ascii="Courier New" w:cs="Courier New" w:eastAsia="Courier New" w:hAnsi="Courier New"/>
                <w:sz w:val="18"/>
                <w:szCs w:val="18"/>
                <w:color w:val="auto"/>
                <w:w w:val="97"/>
              </w:rPr>
              <w:t>CONSOLIDATED STATEMENTS OF INCOME</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7860" w:type="dxa"/>
            <w:vAlign w:val="bottom"/>
            <w:gridSpan w:val="6"/>
          </w:tcPr>
          <w:p>
            <w:pPr>
              <w:jc w:val="right"/>
              <w:ind w:right="712"/>
              <w:spacing w:after="0" w:line="203" w:lineRule="exact"/>
              <w:rPr>
                <w:sz w:val="20"/>
                <w:szCs w:val="20"/>
                <w:color w:val="auto"/>
              </w:rPr>
            </w:pPr>
            <w:r>
              <w:rPr>
                <w:rFonts w:ascii="Courier New" w:cs="Courier New" w:eastAsia="Courier New" w:hAnsi="Courier New"/>
                <w:sz w:val="18"/>
                <w:szCs w:val="18"/>
                <w:color w:val="auto"/>
              </w:rPr>
              <w:t>EXCLUDING AMORTIZATION OF PURCHASED INTANGIBLE ASSETS,</w:t>
            </w:r>
          </w:p>
        </w:tc>
        <w:tc>
          <w:tcPr>
            <w:tcW w:w="900" w:type="dxa"/>
            <w:vAlign w:val="bottom"/>
          </w:tcPr>
          <w:p>
            <w:pPr>
              <w:spacing w:after="0"/>
              <w:rPr>
                <w:sz w:val="17"/>
                <w:szCs w:val="17"/>
                <w:color w:val="auto"/>
              </w:rPr>
            </w:pPr>
          </w:p>
        </w:tc>
      </w:tr>
      <w:tr>
        <w:trPr>
          <w:trHeight w:val="203"/>
        </w:trPr>
        <w:tc>
          <w:tcPr>
            <w:tcW w:w="7860" w:type="dxa"/>
            <w:vAlign w:val="bottom"/>
            <w:gridSpan w:val="6"/>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EQUITY-BASED COMPENSATION EXPENSE AND RELATED TAX EFFECTS</w:t>
            </w:r>
          </w:p>
        </w:tc>
        <w:tc>
          <w:tcPr>
            <w:tcW w:w="900" w:type="dxa"/>
            <w:vAlign w:val="bottom"/>
          </w:tcPr>
          <w:p>
            <w:pPr>
              <w:spacing w:after="0"/>
              <w:rPr>
                <w:sz w:val="17"/>
                <w:szCs w:val="17"/>
                <w:color w:val="auto"/>
              </w:rPr>
            </w:pPr>
          </w:p>
        </w:tc>
      </w:tr>
      <w:tr>
        <w:trPr>
          <w:trHeight w:val="405"/>
        </w:trPr>
        <w:tc>
          <w:tcPr>
            <w:tcW w:w="46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THOUSANDS, EXCEPT</w:t>
            </w:r>
          </w:p>
        </w:tc>
        <w:tc>
          <w:tcPr>
            <w:tcW w:w="1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 SHARE DATA)</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10"/>
        </w:trPr>
        <w:tc>
          <w:tcPr>
            <w:tcW w:w="3380" w:type="dxa"/>
            <w:vAlign w:val="bottom"/>
          </w:tcPr>
          <w:p>
            <w:pPr>
              <w:spacing w:after="0"/>
              <w:rPr>
                <w:sz w:val="24"/>
                <w:szCs w:val="24"/>
                <w:color w:val="auto"/>
              </w:rPr>
            </w:pPr>
          </w:p>
        </w:tc>
        <w:tc>
          <w:tcPr>
            <w:tcW w:w="12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THREE</w:t>
            </w:r>
          </w:p>
        </w:tc>
        <w:tc>
          <w:tcPr>
            <w:tcW w:w="1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MONTHS ENDED</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3380" w:type="dxa"/>
            <w:vAlign w:val="bottom"/>
          </w:tcPr>
          <w:p>
            <w:pPr>
              <w:spacing w:after="0"/>
              <w:rPr>
                <w:sz w:val="17"/>
                <w:szCs w:val="17"/>
                <w:color w:val="auto"/>
              </w:rPr>
            </w:pPr>
          </w:p>
        </w:tc>
        <w:tc>
          <w:tcPr>
            <w:tcW w:w="294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380" w:type="dxa"/>
            <w:vAlign w:val="bottom"/>
          </w:tcPr>
          <w:p>
            <w:pPr>
              <w:spacing w:after="0"/>
              <w:rPr>
                <w:sz w:val="17"/>
                <w:szCs w:val="17"/>
                <w:color w:val="auto"/>
              </w:rPr>
            </w:pPr>
          </w:p>
        </w:tc>
        <w:tc>
          <w:tcPr>
            <w:tcW w:w="294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2006(1)</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2005(1)</w:t>
            </w:r>
          </w:p>
        </w:tc>
        <w:tc>
          <w:tcPr>
            <w:tcW w:w="2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2006(2)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2005(2)</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License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$ 30,291</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27,344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61,952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$ 47,710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570,838</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461,072</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1,126,205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910,238</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601,129</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488,416</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1,188,157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957,948</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license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998</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2,153</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384,616</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310,291</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754,312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605,238</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41,103</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33,263</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83,128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66,174</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68,296</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54,592</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141,230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109,552</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494,931</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399,144</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980,648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783,117</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106,198</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89,272</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207,509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174,831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Interest income and other, net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10,307</w:t>
            </w:r>
          </w:p>
        </w:tc>
        <w:tc>
          <w:tcPr>
            <w:tcW w:w="5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5,680</w:t>
            </w:r>
          </w:p>
        </w:tc>
        <w:tc>
          <w:tcPr>
            <w:tcW w:w="22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18,721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10,639</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116,505</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94,952</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226,230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185,470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20,971</w:t>
            </w:r>
          </w:p>
        </w:tc>
        <w:tc>
          <w:tcPr>
            <w:tcW w:w="5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18,990</w:t>
            </w:r>
          </w:p>
        </w:tc>
        <w:tc>
          <w:tcPr>
            <w:tcW w:w="22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40,721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37,094</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$ 95,534</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75,962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185,509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$148,376</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0.44</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0.35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0.87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0.69</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number</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217,919</w:t>
            </w:r>
          </w:p>
        </w:tc>
        <w:tc>
          <w:tcPr>
            <w:tcW w:w="5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218,807</w:t>
            </w:r>
          </w:p>
        </w:tc>
        <w:tc>
          <w:tcPr>
            <w:tcW w:w="2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216,394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218,127</w:t>
            </w:r>
          </w:p>
        </w:tc>
      </w:tr>
      <w:tr>
        <w:trPr>
          <w:trHeight w:val="203"/>
        </w:trPr>
        <w:tc>
          <w:tcPr>
            <w:tcW w:w="3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640" w:right="1999" w:hanging="632"/>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$7,469 and $2,079 for amortization of purchased intangible assets, $9,940 and $0 for equity-based compensation expense and tax effects related to the above of $(3,637) and $(414) for the three months ended March 31, 2006 and 2005, respectively. Including the above items, income before income taxes was $99,096 and $92,873, and diluted earnings per share were $0.38 and $0.34 for the three months ended March 31, 2006 and 2005, respectively.</w:t>
      </w:r>
    </w:p>
    <w:p>
      <w:pPr>
        <w:spacing w:after="0" w:line="211"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$15,041 and $5,797 for amortization of purchased intangible assets, $21,000 and $0 for equity-based compensation expense and tax effects related to the above of $(7,628) and $(1,161) for the six months ended March 31, 2006 and 2005, respectively. Including the above items, income before income taxes was $190,189 and $179,673, and diluted earnings per share were $0.74 and $0.67 for the six months ended March 31, 2006 and 2005, respectively.</w:t>
      </w:r>
    </w:p>
    <w:p>
      <w:pPr>
        <w:spacing w:after="0" w:line="211" w:lineRule="exact"/>
        <w:rPr>
          <w:rFonts w:ascii="Courier New" w:cs="Courier New" w:eastAsia="Courier New" w:hAnsi="Courier New"/>
          <w:sz w:val="18"/>
          <w:szCs w:val="18"/>
          <w:color w:val="auto"/>
        </w:rPr>
      </w:pPr>
    </w:p>
    <w:p>
      <w:pPr>
        <w:ind w:left="640" w:right="1779" w:hanging="632"/>
        <w:spacing w:after="0" w:line="272"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$979 and $1,979, representing interest expense and amortization of issuance costs, were added back to net income for the three and six months ended March 31, 2006, respectively, and $983 and $1,967 were added back to net income for the three and six months ended March 31, 2005, respectively, for the purpose of computing diluted earnings per share.</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22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280" w:type="dxa"/>
            <w:vAlign w:val="bottom"/>
          </w:tcPr>
          <w:p>
            <w:pPr>
              <w:spacing w:after="0"/>
              <w:rPr>
                <w:sz w:val="17"/>
                <w:szCs w:val="17"/>
                <w:color w:val="auto"/>
              </w:rPr>
            </w:pPr>
          </w:p>
        </w:tc>
        <w:tc>
          <w:tcPr>
            <w:tcW w:w="33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MARCH 31,</w:t>
            </w:r>
          </w:p>
        </w:tc>
        <w:tc>
          <w:tcPr>
            <w:tcW w:w="1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SEPTEMBER</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2006</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30,</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7280" w:type="dxa"/>
            <w:vAlign w:val="bottom"/>
          </w:tcPr>
          <w:p>
            <w:pPr>
              <w:spacing w:after="0"/>
              <w:rPr>
                <w:sz w:val="17"/>
                <w:szCs w:val="17"/>
                <w:color w:val="auto"/>
              </w:rPr>
            </w:pP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(Unaudited)</w:t>
            </w:r>
          </w:p>
        </w:tc>
        <w:tc>
          <w:tcPr>
            <w:tcW w:w="1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cash equivalents and short-term interest-bearing investments</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$1,353,046</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$1,145,563</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including unbilled of $42,572 and</w:t>
            </w:r>
          </w:p>
        </w:tc>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$28,994, respectively</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349,744</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304,237</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receivable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80,889</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101,162</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78,538</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76,780</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1,862,217</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1,627,742</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Equipment, vehicles and leasehold improvements, net</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159,891</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181,812</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1,111,752</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1,129,258</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288,231</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263,656</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$3,422,091</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$3,202,468</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Accounts payable and accruals</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418,217</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  462,276</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capital lease obligations and other financing</w:t>
            </w:r>
          </w:p>
        </w:tc>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arrangements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1,976</w:t>
            </w:r>
          </w:p>
        </w:tc>
        <w:tc>
          <w:tcPr>
            <w:tcW w:w="5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8,480</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245,689</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216,770</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payable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179,093</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171,377</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844,975</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858,903</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0.50% Convertible notes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450,000</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 and other</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228,898</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237,113</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1,898,218</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1,656,452</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$3,422,091</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$3,202,468</w:t>
            </w:r>
          </w:p>
        </w:tc>
      </w:tr>
      <w:tr>
        <w:trPr>
          <w:trHeight w:val="203"/>
        </w:trPr>
        <w:tc>
          <w:tcPr>
            <w:tcW w:w="728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1" w:lineRule="exact"/>
        <w:rPr>
          <w:sz w:val="20"/>
          <w:szCs w:val="20"/>
          <w:color w:val="auto"/>
        </w:rPr>
      </w:pPr>
    </w:p>
    <w:sectPr>
      <w:pgSz w:w="11900" w:h="16838" w:orient="portrait"/>
      <w:cols w:equalWidth="0" w:num="1">
        <w:col w:w="10640"/>
      </w:cols>
      <w:pgMar w:left="240" w:top="919"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2019-12-12T02:39:56Z</dcterms:created>
  <dcterms:modified xsi:type="dcterms:W3CDTF">2019-12-12T02:39:56Z</dcterms:modified>
</cp:coreProperties>
</file>