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w:t>
      </w:r>
      <w:r>
        <w:rPr>
          <w:rFonts w:ascii="Times New Roman" w:cs="Times New Roman" w:eastAsia="Times New Roman" w:hAnsi="Times New Roman"/>
          <w:sz w:val="10"/>
          <w:szCs w:val="10"/>
          <w:color w:val="auto"/>
        </w:rPr>
        <w:t>,</w:t>
      </w:r>
      <w:r>
        <w:rPr>
          <w:rFonts w:ascii="Times New Roman" w:cs="Times New Roman" w:eastAsia="Times New Roman" w:hAnsi="Times New Roman"/>
          <w:sz w:val="22"/>
          <w:szCs w:val="22"/>
          <w:b w:val="1"/>
          <w:bCs w:val="1"/>
          <w:color w:val="auto"/>
        </w:rPr>
        <w:t xml:space="preserve">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RULE 13a-16 OR 15d-16 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 Ended December 31, 2023</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1-14840</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AMDOCS LIMITED</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Hirzel House, Smith Street,</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 Peter Port, Island of Guernsey, GY1 2NG</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Amdocs, Inc.</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625 Maryville Centre Drive, Suite 200 Saint Louis, Missouri 63141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39"/>
        <w:spacing w:after="0" w:line="207" w:lineRule="exact"/>
        <w:tabs>
          <w:tab w:leader="none" w:pos="3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pursuant to Rule 12g3-2(b) under the Securities Exchange Act of 1934:</w:t>
      </w:r>
    </w:p>
    <w:p>
      <w:pPr>
        <w:spacing w:after="0" w:line="166" w:lineRule="exact"/>
        <w:rPr>
          <w:sz w:val="24"/>
          <w:szCs w:val="24"/>
          <w:color w:val="auto"/>
        </w:rPr>
      </w:pPr>
    </w:p>
    <w:p>
      <w:pPr>
        <w:jc w:val="center"/>
        <w:ind w:right="-19"/>
        <w:spacing w:after="0" w:line="207" w:lineRule="exact"/>
        <w:tabs>
          <w:tab w:leader="none" w:pos="4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1076325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tbl>
      <w:tblPr>
        <w:tblLayout w:type="fixed"/>
        <w:tblInd w:w="6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540" w:type="dxa"/>
            <w:vAlign w:val="bottom"/>
            <w:gridSpan w:val="2"/>
          </w:tcPr>
          <w:p>
            <w:pPr>
              <w:jc w:val="center"/>
              <w:ind w:right="2380"/>
              <w:spacing w:after="0"/>
              <w:rPr>
                <w:sz w:val="20"/>
                <w:szCs w:val="20"/>
                <w:color w:val="auto"/>
              </w:rPr>
            </w:pPr>
            <w:r>
              <w:rPr>
                <w:rFonts w:ascii="Times New Roman" w:cs="Times New Roman" w:eastAsia="Times New Roman" w:hAnsi="Times New Roman"/>
                <w:sz w:val="18"/>
                <w:szCs w:val="18"/>
                <w:color w:val="auto"/>
              </w:rPr>
              <w:t>AMDOCS LIMITED</w:t>
            </w:r>
          </w:p>
        </w:tc>
        <w:tc>
          <w:tcPr>
            <w:tcW w:w="182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40" w:type="dxa"/>
            <w:vAlign w:val="bottom"/>
            <w:gridSpan w:val="2"/>
          </w:tcPr>
          <w:p>
            <w:pPr>
              <w:jc w:val="center"/>
              <w:ind w:right="2380"/>
              <w:spacing w:after="0"/>
              <w:rPr>
                <w:sz w:val="20"/>
                <w:szCs w:val="20"/>
                <w:color w:val="auto"/>
              </w:rPr>
            </w:pPr>
            <w:r>
              <w:rPr>
                <w:rFonts w:ascii="Times New Roman" w:cs="Times New Roman" w:eastAsia="Times New Roman" w:hAnsi="Times New Roman"/>
                <w:sz w:val="18"/>
                <w:szCs w:val="18"/>
                <w:color w:val="auto"/>
              </w:rPr>
              <w:t>FORM 6-K</w:t>
            </w:r>
          </w:p>
        </w:tc>
        <w:tc>
          <w:tcPr>
            <w:tcW w:w="182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140" w:type="dxa"/>
            <w:vAlign w:val="bottom"/>
            <w:gridSpan w:val="5"/>
          </w:tcPr>
          <w:p>
            <w:pPr>
              <w:jc w:val="center"/>
              <w:ind w:right="1780"/>
              <w:spacing w:after="0"/>
              <w:rPr>
                <w:sz w:val="20"/>
                <w:szCs w:val="20"/>
                <w:color w:val="auto"/>
              </w:rPr>
            </w:pPr>
            <w:r>
              <w:rPr>
                <w:rFonts w:ascii="Times New Roman" w:cs="Times New Roman" w:eastAsia="Times New Roman" w:hAnsi="Times New Roman"/>
                <w:sz w:val="18"/>
                <w:szCs w:val="18"/>
                <w:color w:val="auto"/>
                <w:w w:val="98"/>
              </w:rPr>
              <w:t>REPORT OF FOREIGN PRIVATE ISSUER</w:t>
            </w:r>
          </w:p>
        </w:tc>
        <w:tc>
          <w:tcPr>
            <w:tcW w:w="1820" w:type="dxa"/>
            <w:vAlign w:val="bottom"/>
          </w:tcPr>
          <w:p>
            <w:pPr>
              <w:spacing w:after="0"/>
              <w:rPr>
                <w:sz w:val="24"/>
                <w:szCs w:val="24"/>
                <w:color w:val="auto"/>
              </w:rPr>
            </w:pPr>
          </w:p>
        </w:tc>
      </w:tr>
      <w:tr>
        <w:trPr>
          <w:trHeight w:val="414"/>
        </w:trPr>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20" w:type="dxa"/>
            <w:vAlign w:val="bottom"/>
            <w:gridSpan w:val="6"/>
          </w:tcPr>
          <w:p>
            <w:pPr>
              <w:jc w:val="center"/>
              <w:ind w:right="1280"/>
              <w:spacing w:after="0"/>
              <w:rPr>
                <w:sz w:val="20"/>
                <w:szCs w:val="20"/>
                <w:color w:val="auto"/>
              </w:rPr>
            </w:pPr>
            <w:r>
              <w:rPr>
                <w:rFonts w:ascii="Times New Roman" w:cs="Times New Roman" w:eastAsia="Times New Roman" w:hAnsi="Times New Roman"/>
                <w:sz w:val="18"/>
                <w:szCs w:val="18"/>
                <w:color w:val="auto"/>
              </w:rPr>
              <w:t>FOR THE QUARTER ENDED DECEMBER 31,</w:t>
            </w:r>
          </w:p>
        </w:tc>
        <w:tc>
          <w:tcPr>
            <w:tcW w:w="1820" w:type="dxa"/>
            <w:vAlign w:val="bottom"/>
          </w:tcPr>
          <w:p>
            <w:pPr>
              <w:spacing w:after="0"/>
              <w:rPr>
                <w:sz w:val="24"/>
                <w:szCs w:val="24"/>
                <w:color w:val="auto"/>
              </w:rPr>
            </w:pPr>
          </w:p>
        </w:tc>
      </w:tr>
      <w:tr>
        <w:trPr>
          <w:trHeight w:val="216"/>
        </w:trPr>
        <w:tc>
          <w:tcPr>
            <w:tcW w:w="6560" w:type="dxa"/>
            <w:vAlign w:val="bottom"/>
            <w:gridSpan w:val="16"/>
          </w:tcPr>
          <w:p>
            <w:pPr>
              <w:jc w:val="center"/>
              <w:ind w:left="4470"/>
              <w:spacing w:after="0"/>
              <w:rPr>
                <w:sz w:val="20"/>
                <w:szCs w:val="20"/>
                <w:color w:val="auto"/>
              </w:rPr>
            </w:pPr>
            <w:r>
              <w:rPr>
                <w:rFonts w:ascii="Times New Roman" w:cs="Times New Roman" w:eastAsia="Times New Roman" w:hAnsi="Times New Roman"/>
                <w:sz w:val="18"/>
                <w:szCs w:val="18"/>
                <w:color w:val="auto"/>
                <w:w w:val="99"/>
              </w:rPr>
              <w:t>2023</w:t>
            </w:r>
          </w:p>
        </w:tc>
        <w:tc>
          <w:tcPr>
            <w:tcW w:w="24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540" w:type="dxa"/>
            <w:vAlign w:val="bottom"/>
            <w:gridSpan w:val="2"/>
          </w:tcPr>
          <w:p>
            <w:pPr>
              <w:jc w:val="center"/>
              <w:ind w:right="2380"/>
              <w:spacing w:after="0"/>
              <w:rPr>
                <w:sz w:val="20"/>
                <w:szCs w:val="20"/>
                <w:color w:val="auto"/>
              </w:rPr>
            </w:pPr>
            <w:r>
              <w:rPr>
                <w:rFonts w:ascii="Times New Roman" w:cs="Times New Roman" w:eastAsia="Times New Roman" w:hAnsi="Times New Roman"/>
                <w:sz w:val="18"/>
                <w:szCs w:val="18"/>
                <w:color w:val="auto"/>
                <w:w w:val="99"/>
              </w:rPr>
              <w:t>INDEX</w:t>
            </w:r>
          </w:p>
        </w:tc>
        <w:tc>
          <w:tcPr>
            <w:tcW w:w="1820" w:type="dxa"/>
            <w:vAlign w:val="bottom"/>
          </w:tcPr>
          <w:p>
            <w:pPr>
              <w:spacing w:after="0"/>
              <w:rPr>
                <w:sz w:val="20"/>
                <w:szCs w:val="20"/>
                <w:color w:val="auto"/>
              </w:rPr>
            </w:pPr>
          </w:p>
        </w:tc>
      </w:tr>
      <w:tr>
        <w:trPr>
          <w:trHeight w:val="405"/>
        </w:trPr>
        <w:tc>
          <w:tcPr>
            <w:tcW w:w="9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18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160" w:type="dxa"/>
            <w:vAlign w:val="bottom"/>
            <w:tcBorders>
              <w:top w:val="single" w:sz="8" w:color="0000FF"/>
            </w:tcBorders>
          </w:tcPr>
          <w:p>
            <w:pPr>
              <w:spacing w:after="0"/>
              <w:rPr>
                <w:sz w:val="19"/>
                <w:szCs w:val="19"/>
                <w:color w:val="auto"/>
              </w:rPr>
            </w:pPr>
          </w:p>
        </w:tc>
        <w:tc>
          <w:tcPr>
            <w:tcW w:w="26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6200" w:type="dxa"/>
            <w:vAlign w:val="bottom"/>
            <w:gridSpan w:val="8"/>
          </w:tcPr>
          <w:p>
            <w:pPr>
              <w:spacing w:after="0"/>
              <w:rPr>
                <w:sz w:val="19"/>
                <w:szCs w:val="19"/>
                <w:color w:val="auto"/>
              </w:rPr>
            </w:pPr>
          </w:p>
        </w:tc>
        <w:tc>
          <w:tcPr>
            <w:tcW w:w="18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63"/>
        </w:trPr>
        <w:tc>
          <w:tcPr>
            <w:tcW w:w="160" w:type="dxa"/>
            <w:vAlign w:val="bottom"/>
          </w:tcPr>
          <w:p>
            <w:pPr>
              <w:spacing w:after="0"/>
              <w:rPr>
                <w:sz w:val="22"/>
                <w:szCs w:val="22"/>
                <w:color w:val="auto"/>
              </w:rPr>
            </w:pPr>
          </w:p>
        </w:tc>
        <w:tc>
          <w:tcPr>
            <w:tcW w:w="8860" w:type="dxa"/>
            <w:vAlign w:val="bottom"/>
            <w:gridSpan w:val="16"/>
          </w:tcPr>
          <w:p>
            <w:pPr>
              <w:ind w:left="180"/>
              <w:spacing w:after="0"/>
              <w:rPr>
                <w:sz w:val="20"/>
                <w:szCs w:val="20"/>
                <w:color w:val="auto"/>
              </w:rPr>
            </w:pPr>
            <w:r>
              <w:rPr>
                <w:rFonts w:ascii="Times New Roman" w:cs="Times New Roman" w:eastAsia="Times New Roman" w:hAnsi="Times New Roman"/>
                <w:sz w:val="18"/>
                <w:szCs w:val="18"/>
                <w:color w:val="auto"/>
              </w:rPr>
              <w:t>Unaudited Consolidated Financial Statements</w:t>
            </w:r>
          </w:p>
        </w:tc>
        <w:tc>
          <w:tcPr>
            <w:tcW w:w="1820" w:type="dxa"/>
            <w:vAlign w:val="bottom"/>
          </w:tcPr>
          <w:p>
            <w:pPr>
              <w:spacing w:after="0"/>
              <w:rPr>
                <w:sz w:val="22"/>
                <w:szCs w:val="22"/>
                <w:color w:val="auto"/>
              </w:rPr>
            </w:pPr>
          </w:p>
        </w:tc>
      </w:tr>
      <w:tr>
        <w:trPr>
          <w:trHeight w:val="203"/>
        </w:trPr>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tcBorders>
              <w:bottom w:val="single" w:sz="8" w:color="0000FF"/>
            </w:tcBorders>
            <w:gridSpan w:val="6"/>
          </w:tcPr>
          <w:p>
            <w:pPr>
              <w:spacing w:after="0" w:line="202" w:lineRule="exact"/>
              <w:rPr>
                <w:sz w:val="20"/>
                <w:szCs w:val="20"/>
                <w:color w:val="auto"/>
              </w:rPr>
            </w:pPr>
            <w:r>
              <w:rPr>
                <w:rFonts w:ascii="Times New Roman" w:cs="Times New Roman" w:eastAsia="Times New Roman" w:hAnsi="Times New Roman"/>
                <w:sz w:val="18"/>
                <w:szCs w:val="18"/>
                <w:color w:val="0000FF"/>
                <w:w w:val="98"/>
              </w:rPr>
              <w:t>Consolidated Balance Sheets</w:t>
            </w:r>
          </w:p>
        </w:tc>
        <w:tc>
          <w:tcPr>
            <w:tcW w:w="6400" w:type="dxa"/>
            <w:vAlign w:val="bottom"/>
            <w:gridSpan w:val="9"/>
          </w:tcPr>
          <w:p>
            <w:pPr>
              <w:spacing w:after="0"/>
              <w:rPr>
                <w:sz w:val="17"/>
                <w:szCs w:val="17"/>
                <w:color w:val="auto"/>
              </w:rPr>
            </w:pPr>
          </w:p>
        </w:tc>
        <w:tc>
          <w:tcPr>
            <w:tcW w:w="1820" w:type="dxa"/>
            <w:vAlign w:val="bottom"/>
          </w:tcPr>
          <w:p>
            <w:pPr>
              <w:ind w:left="1640"/>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223"/>
        </w:trPr>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w:t>
            </w:r>
          </w:p>
        </w:tc>
        <w:tc>
          <w:tcPr>
            <w:tcW w:w="5920" w:type="dxa"/>
            <w:vAlign w:val="bottom"/>
            <w:gridSpan w:val="7"/>
          </w:tcPr>
          <w:p>
            <w:pPr>
              <w:spacing w:after="0"/>
              <w:rPr>
                <w:sz w:val="19"/>
                <w:szCs w:val="19"/>
                <w:color w:val="auto"/>
              </w:rPr>
            </w:pPr>
          </w:p>
        </w:tc>
        <w:tc>
          <w:tcPr>
            <w:tcW w:w="18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7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4700" w:type="dxa"/>
            <w:vAlign w:val="bottom"/>
            <w:gridSpan w:val="3"/>
          </w:tcPr>
          <w:p>
            <w:pPr>
              <w:spacing w:after="0"/>
              <w:rPr>
                <w:sz w:val="19"/>
                <w:szCs w:val="19"/>
                <w:color w:val="auto"/>
              </w:rPr>
            </w:pPr>
          </w:p>
        </w:tc>
        <w:tc>
          <w:tcPr>
            <w:tcW w:w="18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Changes in Equity</w:t>
            </w:r>
          </w:p>
        </w:tc>
        <w:tc>
          <w:tcPr>
            <w:tcW w:w="18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6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480" w:type="dxa"/>
            <w:vAlign w:val="bottom"/>
            <w:tcBorders>
              <w:top w:val="single" w:sz="8" w:color="0000FF"/>
            </w:tcBorders>
          </w:tcPr>
          <w:p>
            <w:pPr>
              <w:spacing w:after="0"/>
              <w:rPr>
                <w:sz w:val="19"/>
                <w:szCs w:val="19"/>
                <w:color w:val="auto"/>
              </w:rPr>
            </w:pPr>
          </w:p>
        </w:tc>
        <w:tc>
          <w:tcPr>
            <w:tcW w:w="5140" w:type="dxa"/>
            <w:vAlign w:val="bottom"/>
            <w:gridSpan w:val="5"/>
          </w:tcPr>
          <w:p>
            <w:pPr>
              <w:spacing w:after="0"/>
              <w:rPr>
                <w:sz w:val="19"/>
                <w:szCs w:val="19"/>
                <w:color w:val="auto"/>
              </w:rPr>
            </w:pPr>
          </w:p>
        </w:tc>
        <w:tc>
          <w:tcPr>
            <w:tcW w:w="18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18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80" w:type="dxa"/>
            <w:vAlign w:val="bottom"/>
            <w:gridSpan w:val="6"/>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39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2. Operating and Financial Review and Prospects</w:t>
            </w:r>
          </w:p>
        </w:tc>
        <w:tc>
          <w:tcPr>
            <w:tcW w:w="4920" w:type="dxa"/>
            <w:vAlign w:val="bottom"/>
            <w:gridSpan w:val="4"/>
          </w:tcPr>
          <w:p>
            <w:pPr>
              <w:spacing w:after="0"/>
              <w:rPr>
                <w:sz w:val="19"/>
                <w:szCs w:val="19"/>
                <w:color w:val="auto"/>
              </w:rPr>
            </w:pPr>
          </w:p>
        </w:tc>
        <w:tc>
          <w:tcPr>
            <w:tcW w:w="182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88"/>
              </w:rPr>
              <w:t>20</w:t>
            </w:r>
          </w:p>
        </w:tc>
      </w:tr>
      <w:tr>
        <w:trPr>
          <w:trHeight w:val="223"/>
        </w:trPr>
        <w:tc>
          <w:tcPr>
            <w:tcW w:w="25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6500" w:type="dxa"/>
            <w:vAlign w:val="bottom"/>
            <w:gridSpan w:val="10"/>
          </w:tcPr>
          <w:p>
            <w:pPr>
              <w:spacing w:after="0"/>
              <w:rPr>
                <w:sz w:val="19"/>
                <w:szCs w:val="19"/>
                <w:color w:val="auto"/>
              </w:rPr>
            </w:pPr>
          </w:p>
        </w:tc>
        <w:tc>
          <w:tcPr>
            <w:tcW w:w="182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88"/>
              </w:rPr>
              <w:t>27</w:t>
            </w:r>
          </w:p>
        </w:tc>
      </w:tr>
      <w:tr>
        <w:trPr>
          <w:trHeight w:val="223"/>
        </w:trPr>
        <w:tc>
          <w:tcPr>
            <w:tcW w:w="160" w:type="dxa"/>
            <w:vAlign w:val="bottom"/>
          </w:tcPr>
          <w:p>
            <w:pPr>
              <w:spacing w:after="0"/>
              <w:rPr>
                <w:sz w:val="19"/>
                <w:szCs w:val="19"/>
                <w:color w:val="auto"/>
              </w:rPr>
            </w:pPr>
          </w:p>
        </w:tc>
        <w:tc>
          <w:tcPr>
            <w:tcW w:w="64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Item 1. Changes in Securities, Use of Proceeds and Issuer Purchases of Equity Securities</w:t>
            </w:r>
          </w:p>
        </w:tc>
        <w:tc>
          <w:tcPr>
            <w:tcW w:w="2460" w:type="dxa"/>
            <w:vAlign w:val="bottom"/>
          </w:tcPr>
          <w:p>
            <w:pPr>
              <w:spacing w:after="0"/>
              <w:rPr>
                <w:sz w:val="19"/>
                <w:szCs w:val="19"/>
                <w:color w:val="auto"/>
              </w:rPr>
            </w:pPr>
          </w:p>
        </w:tc>
        <w:tc>
          <w:tcPr>
            <w:tcW w:w="182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88"/>
              </w:rPr>
              <w:t>27</w:t>
            </w:r>
          </w:p>
        </w:tc>
      </w:tr>
      <w:tr>
        <w:trPr>
          <w:trHeight w:val="223"/>
        </w:trPr>
        <w:tc>
          <w:tcPr>
            <w:tcW w:w="160" w:type="dxa"/>
            <w:vAlign w:val="bottom"/>
          </w:tcPr>
          <w:p>
            <w:pPr>
              <w:spacing w:after="0"/>
              <w:rPr>
                <w:sz w:val="19"/>
                <w:szCs w:val="19"/>
                <w:color w:val="auto"/>
              </w:rPr>
            </w:pPr>
          </w:p>
        </w:tc>
        <w:tc>
          <w:tcPr>
            <w:tcW w:w="88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2. Reports on Form 6-K</w:t>
            </w:r>
          </w:p>
        </w:tc>
        <w:tc>
          <w:tcPr>
            <w:tcW w:w="182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88"/>
              </w:rPr>
              <w:t>27</w:t>
            </w:r>
          </w:p>
        </w:tc>
      </w:tr>
      <w:tr>
        <w:trPr>
          <w:trHeight w:val="20"/>
        </w:trPr>
        <w:tc>
          <w:tcPr>
            <w:tcW w:w="16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6760" w:type="dxa"/>
            <w:vAlign w:val="bottom"/>
            <w:gridSpan w:val="11"/>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23"/>
        </w:trPr>
        <w:tc>
          <w:tcPr>
            <w:tcW w:w="11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7920" w:type="dxa"/>
            <w:vAlign w:val="bottom"/>
            <w:gridSpan w:val="13"/>
          </w:tcPr>
          <w:p>
            <w:pPr>
              <w:spacing w:after="0"/>
              <w:rPr>
                <w:sz w:val="19"/>
                <w:szCs w:val="19"/>
                <w:color w:val="auto"/>
              </w:rPr>
            </w:pPr>
          </w:p>
        </w:tc>
        <w:tc>
          <w:tcPr>
            <w:tcW w:w="182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88"/>
              </w:rPr>
              <w:t>27</w:t>
            </w:r>
          </w:p>
        </w:tc>
      </w:tr>
    </w:tbl>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58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gridSpan w:val="3"/>
          </w:tcPr>
          <w:p>
            <w:pPr>
              <w:jc w:val="center"/>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c>
          <w:tcPr>
            <w:tcW w:w="1340" w:type="dxa"/>
            <w:vAlign w:val="bottom"/>
          </w:tcPr>
          <w:p>
            <w:pPr>
              <w:jc w:val="right"/>
              <w:ind w:right="251"/>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r>
      <w:tr>
        <w:trPr>
          <w:trHeight w:val="187"/>
        </w:trPr>
        <w:tc>
          <w:tcPr>
            <w:tcW w:w="58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382,885</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520,080</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interest-bearing investments</w:t>
            </w: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218,043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222,451</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1,029,294</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944,477</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215,914</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224,622</w:t>
            </w:r>
          </w:p>
        </w:tc>
        <w:tc>
          <w:tcPr>
            <w:tcW w:w="100" w:type="dxa"/>
            <w:vAlign w:val="bottom"/>
          </w:tcPr>
          <w:p>
            <w:pPr>
              <w:spacing w:after="0"/>
              <w:rPr>
                <w:sz w:val="20"/>
                <w:szCs w:val="20"/>
                <w:color w:val="auto"/>
              </w:rPr>
            </w:pPr>
          </w:p>
        </w:tc>
      </w:tr>
      <w:tr>
        <w:trPr>
          <w:trHeight w:val="241"/>
        </w:trPr>
        <w:tc>
          <w:tcPr>
            <w:tcW w:w="58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1,846,136</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1,911,630</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776,629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790,923</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assets</w:t>
            </w:r>
          </w:p>
        </w:tc>
        <w:tc>
          <w:tcPr>
            <w:tcW w:w="1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163,181</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160,938</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2,836,030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2,749,041</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1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204,562</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181,539</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645,128</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631,582</w:t>
            </w:r>
          </w:p>
        </w:tc>
        <w:tc>
          <w:tcPr>
            <w:tcW w:w="100" w:type="dxa"/>
            <w:vAlign w:val="bottom"/>
          </w:tcPr>
          <w:p>
            <w:pPr>
              <w:spacing w:after="0"/>
              <w:rPr>
                <w:sz w:val="20"/>
                <w:szCs w:val="20"/>
                <w:color w:val="auto"/>
              </w:rPr>
            </w:pPr>
          </w:p>
        </w:tc>
      </w:tr>
      <w:tr>
        <w:trPr>
          <w:trHeight w:val="238"/>
        </w:trPr>
        <w:tc>
          <w:tcPr>
            <w:tcW w:w="58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1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6,471,666</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6,425,653</w:t>
            </w:r>
          </w:p>
        </w:tc>
        <w:tc>
          <w:tcPr>
            <w:tcW w:w="100" w:type="dxa"/>
            <w:vAlign w:val="bottom"/>
            <w:shd w:val="clear" w:color="auto" w:fill="CFF0FC"/>
          </w:tcPr>
          <w:p>
            <w:pPr>
              <w:spacing w:after="0"/>
              <w:rPr>
                <w:sz w:val="20"/>
                <w:szCs w:val="20"/>
                <w:color w:val="auto"/>
              </w:rPr>
            </w:pPr>
          </w:p>
        </w:tc>
      </w:tr>
      <w:tr>
        <w:trPr>
          <w:trHeight w:val="237"/>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90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278,627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293,344</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749,882</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634,742</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personnel costs</w:t>
            </w: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216,037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214,695</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1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41,361</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39,960</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149,826</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170,634</w:t>
            </w:r>
          </w:p>
        </w:tc>
        <w:tc>
          <w:tcPr>
            <w:tcW w:w="100" w:type="dxa"/>
            <w:vAlign w:val="bottom"/>
          </w:tcPr>
          <w:p>
            <w:pPr>
              <w:spacing w:after="0"/>
              <w:rPr>
                <w:sz w:val="20"/>
                <w:szCs w:val="20"/>
                <w:color w:val="auto"/>
              </w:rPr>
            </w:pPr>
          </w:p>
        </w:tc>
      </w:tr>
      <w:tr>
        <w:trPr>
          <w:trHeight w:val="241"/>
        </w:trPr>
        <w:tc>
          <w:tcPr>
            <w:tcW w:w="58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1,435,733</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1,353,375</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 and taxes payable</w:t>
            </w: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198,577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252,609</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1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117,155</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121,654</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net of unamortized debt issuance costs</w:t>
            </w: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645,844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645,696</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9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472,004</w:t>
            </w:r>
          </w:p>
        </w:tc>
        <w:tc>
          <w:tcPr>
            <w:tcW w:w="2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485,387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58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2,869,313</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2,858,721</w:t>
            </w:r>
          </w:p>
        </w:tc>
        <w:tc>
          <w:tcPr>
            <w:tcW w:w="100" w:type="dxa"/>
            <w:vAlign w:val="bottom"/>
          </w:tcPr>
          <w:p>
            <w:pPr>
              <w:spacing w:after="0"/>
              <w:rPr>
                <w:sz w:val="20"/>
                <w:szCs w:val="20"/>
                <w:color w:val="auto"/>
              </w:rPr>
            </w:pPr>
          </w:p>
        </w:tc>
      </w:tr>
      <w:tr>
        <w:trPr>
          <w:trHeight w:val="23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Amdocs Limited Shareholders' equity:</w:t>
            </w: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796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Shares — Authorized 25,000 shares; £0.01 par value; 0 shares issued</w:t>
            </w: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8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and outstanding</w:t>
            </w:r>
          </w:p>
        </w:tc>
        <w:tc>
          <w:tcPr>
            <w:tcW w:w="1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Ordinary Shares — Authorized 700,000 shares; £0.01 par value; 287,379 and</w:t>
            </w:r>
          </w:p>
        </w:tc>
        <w:tc>
          <w:tcPr>
            <w:tcW w:w="21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286,330 issued and</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116,502 and 117,348 outstanding, respectively</w:t>
            </w: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100" w:type="dxa"/>
            <w:vAlign w:val="bottom"/>
          </w:tcPr>
          <w:p>
            <w:pPr>
              <w:spacing w:after="0"/>
              <w:rPr>
                <w:sz w:val="20"/>
                <w:szCs w:val="20"/>
                <w:color w:val="auto"/>
              </w:rPr>
            </w:pPr>
          </w:p>
        </w:tc>
      </w:tr>
      <w:tr>
        <w:trPr>
          <w:trHeight w:val="250"/>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4,294,652</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4,244,256</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at cost 170,877 and 168,982 ordinary shares, respectively</w:t>
            </w: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(7,379,838 )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(7,221,313 )</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(6,452 )</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(53,272 )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1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6,646,799</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6,549,517</w:t>
            </w:r>
          </w:p>
        </w:tc>
        <w:tc>
          <w:tcPr>
            <w:tcW w:w="100" w:type="dxa"/>
            <w:vAlign w:val="bottom"/>
          </w:tcPr>
          <w:p>
            <w:pPr>
              <w:spacing w:after="0"/>
              <w:rPr>
                <w:sz w:val="20"/>
                <w:szCs w:val="20"/>
                <w:color w:val="auto"/>
              </w:rPr>
            </w:pPr>
          </w:p>
        </w:tc>
      </w:tr>
      <w:tr>
        <w:trPr>
          <w:trHeight w:val="241"/>
        </w:trPr>
        <w:tc>
          <w:tcPr>
            <w:tcW w:w="58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Total Amdocs Limited Shareholders' equity</w:t>
            </w:r>
          </w:p>
        </w:tc>
        <w:tc>
          <w:tcPr>
            <w:tcW w:w="1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3,559,745</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3,523,759</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42,608</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43,173</w:t>
            </w:r>
          </w:p>
        </w:tc>
        <w:tc>
          <w:tcPr>
            <w:tcW w:w="100" w:type="dxa"/>
            <w:vAlign w:val="bottom"/>
          </w:tcPr>
          <w:p>
            <w:pPr>
              <w:spacing w:after="0"/>
              <w:rPr>
                <w:sz w:val="20"/>
                <w:szCs w:val="20"/>
                <w:color w:val="auto"/>
              </w:rPr>
            </w:pPr>
          </w:p>
        </w:tc>
      </w:tr>
      <w:tr>
        <w:trPr>
          <w:trHeight w:val="238"/>
        </w:trPr>
        <w:tc>
          <w:tcPr>
            <w:tcW w:w="582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9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3,602,353</w:t>
            </w:r>
          </w:p>
        </w:tc>
        <w:tc>
          <w:tcPr>
            <w:tcW w:w="2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3,566,932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8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9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6,471,666</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6,425,653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-4199890</wp:posOffset>
            </wp:positionV>
            <wp:extent cx="68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-4199890</wp:posOffset>
            </wp:positionV>
            <wp:extent cx="68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-2331085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214"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1,245,199</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1,185,720</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812,744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756,849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95,726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142,504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143,222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15,313</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charges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24,536</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1,060,865</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1,035,646</w:t>
            </w:r>
          </w:p>
        </w:tc>
        <w:tc>
          <w:tcPr>
            <w:tcW w:w="100" w:type="dxa"/>
            <w:vAlign w:val="bottom"/>
            <w:tcBorders>
              <w:top w:val="single" w:sz="8" w:color="CFF0FC"/>
            </w:tcBorders>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184,334</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150,074</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(9,778 )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(4,963 )</w:t>
            </w: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174,556</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145,111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25,834</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15,239</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148,722</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129,872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Amdocs Limited</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147,965</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129,667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 attributable to Amdocs Limited</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r>
      <w:tr>
        <w:trPr>
          <w:trHeight w:val="235"/>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Amdocs Limited</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per ordinary share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0.435</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-1824990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-1182370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-856615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-839470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-513715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-496570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amounts in thousands)</w:t>
      </w:r>
    </w:p>
    <w:p>
      <w:pPr>
        <w:spacing w:after="0" w:line="214"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50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FF0FC"/>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148,722</w:t>
            </w:r>
          </w:p>
        </w:tc>
        <w:tc>
          <w:tcPr>
            <w:tcW w:w="6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129,872</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change in fair value of cash flow hedges(1)</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42,146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change in fair value of available-for-sale securities(2)</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46,820</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6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195,542</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143,212</w:t>
            </w:r>
          </w:p>
        </w:tc>
        <w:tc>
          <w:tcPr>
            <w:tcW w:w="100" w:type="dxa"/>
            <w:vAlign w:val="bottom"/>
          </w:tcPr>
          <w:p>
            <w:pPr>
              <w:spacing w:after="0"/>
              <w:rPr>
                <w:sz w:val="20"/>
                <w:szCs w:val="20"/>
                <w:color w:val="auto"/>
              </w:rPr>
            </w:pPr>
          </w:p>
        </w:tc>
      </w:tr>
      <w:tr>
        <w:trPr>
          <w:trHeight w:val="20"/>
        </w:trPr>
        <w:tc>
          <w:tcPr>
            <w:tcW w:w="15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3"/>
        </w:trPr>
        <w:tc>
          <w:tcPr>
            <w:tcW w:w="77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960" w:type="dxa"/>
            <w:vAlign w:val="bottom"/>
            <w:tcBorders>
              <w:bottom w:val="single" w:sz="8" w:color="auto"/>
            </w:tcBorders>
            <w:shd w:val="clear" w:color="auto" w:fill="CFF0FC"/>
          </w:tcPr>
          <w:p>
            <w:pPr>
              <w:spacing w:after="0"/>
              <w:rPr>
                <w:sz w:val="23"/>
                <w:szCs w:val="2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19"/>
        </w:trPr>
        <w:tc>
          <w:tcPr>
            <w:tcW w:w="77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Amdocs Limited</w:t>
            </w:r>
          </w:p>
        </w:tc>
        <w:tc>
          <w:tcPr>
            <w:tcW w:w="960" w:type="dxa"/>
            <w:vAlign w:val="bottom"/>
            <w:tcBorders>
              <w:top w:val="single" w:sz="8" w:color="auto"/>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194,785</w:t>
            </w: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143,007</w:t>
            </w:r>
          </w:p>
        </w:tc>
        <w:tc>
          <w:tcPr>
            <w:tcW w:w="100" w:type="dxa"/>
            <w:vAlign w:val="bottom"/>
            <w:tcBorders>
              <w:top w:val="single" w:sz="8" w:color="CFF0FC"/>
            </w:tcBorders>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0"/>
        </w:trPr>
        <w:tc>
          <w:tcPr>
            <w:tcW w:w="1500" w:type="dxa"/>
            <w:vAlign w:val="bottom"/>
            <w:tcBorders>
              <w:bottom w:val="single" w:sz="8" w:color="auto"/>
            </w:tcBorders>
          </w:tcPr>
          <w:p>
            <w:pPr>
              <w:spacing w:after="0"/>
              <w:rPr>
                <w:sz w:val="10"/>
                <w:szCs w:val="10"/>
                <w:color w:val="auto"/>
              </w:rPr>
            </w:pPr>
          </w:p>
        </w:tc>
        <w:tc>
          <w:tcPr>
            <w:tcW w:w="6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-642620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-282575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 w:lineRule="exact"/>
        <w:rPr>
          <w:sz w:val="20"/>
          <w:szCs w:val="20"/>
          <w:color w:val="auto"/>
        </w:rPr>
      </w:pPr>
    </w:p>
    <w:p>
      <w:pPr>
        <w:ind w:left="380" w:hanging="372"/>
        <w:spacing w:after="0"/>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tax of $2,825 and $563 for the three months ended December 31, 2023 and 2022, respectively.</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tax impact for the three months ended December 31, 2023 and 2022.</w:t>
      </w:r>
    </w:p>
    <w:p>
      <w:pPr>
        <w:spacing w:after="0" w:line="1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960" w:type="dxa"/>
            <w:vAlign w:val="bottom"/>
          </w:tcPr>
          <w:p>
            <w:pPr>
              <w:spacing w:after="0"/>
              <w:rPr>
                <w:sz w:val="12"/>
                <w:szCs w:val="12"/>
                <w:color w:val="auto"/>
              </w:rPr>
            </w:pPr>
          </w:p>
        </w:tc>
        <w:tc>
          <w:tcPr>
            <w:tcW w:w="1500" w:type="dxa"/>
            <w:vAlign w:val="bottom"/>
            <w:tcBorders>
              <w:bottom w:val="single" w:sz="8" w:color="auto"/>
            </w:tcBorders>
            <w:gridSpan w:val="5"/>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2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360"/>
              <w:spacing w:after="0" w:line="120"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282"/>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Amdocs</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2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262"/>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Limited</w:t>
            </w:r>
          </w:p>
        </w:tc>
        <w:tc>
          <w:tcPr>
            <w:tcW w:w="80" w:type="dxa"/>
            <w:vAlign w:val="bottom"/>
          </w:tcPr>
          <w:p>
            <w:pPr>
              <w:spacing w:after="0"/>
              <w:rPr>
                <w:sz w:val="10"/>
                <w:szCs w:val="10"/>
                <w:color w:val="auto"/>
              </w:rPr>
            </w:pPr>
          </w:p>
        </w:tc>
        <w:tc>
          <w:tcPr>
            <w:tcW w:w="78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306"/>
              <w:spacing w:after="0" w:line="122" w:lineRule="exact"/>
              <w:rPr>
                <w:sz w:val="20"/>
                <w:szCs w:val="20"/>
                <w:color w:val="auto"/>
              </w:rPr>
            </w:pPr>
            <w:r>
              <w:rPr>
                <w:rFonts w:ascii="Times New Roman" w:cs="Times New Roman" w:eastAsia="Times New Roman" w:hAnsi="Times New Roman"/>
                <w:sz w:val="11"/>
                <w:szCs w:val="11"/>
                <w:b w:val="1"/>
                <w:bCs w:val="1"/>
                <w:color w:val="auto"/>
                <w:w w:val="96"/>
              </w:rPr>
              <w:t>Treasury</w:t>
            </w:r>
          </w:p>
        </w:tc>
        <w:tc>
          <w:tcPr>
            <w:tcW w:w="80" w:type="dxa"/>
            <w:vAlign w:val="bottom"/>
          </w:tcPr>
          <w:p>
            <w:pPr>
              <w:spacing w:after="0"/>
              <w:rPr>
                <w:sz w:val="10"/>
                <w:szCs w:val="10"/>
                <w:color w:val="auto"/>
              </w:rPr>
            </w:pPr>
          </w:p>
        </w:tc>
        <w:tc>
          <w:tcPr>
            <w:tcW w:w="1060" w:type="dxa"/>
            <w:vAlign w:val="bottom"/>
            <w:gridSpan w:val="2"/>
          </w:tcPr>
          <w:p>
            <w:pPr>
              <w:jc w:val="center"/>
              <w:ind w:right="262"/>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80" w:type="dxa"/>
            <w:vAlign w:val="bottom"/>
          </w:tcPr>
          <w:p>
            <w:pPr>
              <w:spacing w:after="0"/>
              <w:rPr>
                <w:sz w:val="10"/>
                <w:szCs w:val="10"/>
                <w:color w:val="auto"/>
              </w:rPr>
            </w:pPr>
          </w:p>
        </w:tc>
        <w:tc>
          <w:tcPr>
            <w:tcW w:w="800" w:type="dxa"/>
            <w:vAlign w:val="bottom"/>
            <w:gridSpan w:val="2"/>
          </w:tcPr>
          <w:p>
            <w:pPr>
              <w:jc w:val="right"/>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98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Shareholders’</w:t>
            </w:r>
          </w:p>
        </w:tc>
        <w:tc>
          <w:tcPr>
            <w:tcW w:w="80" w:type="dxa"/>
            <w:vAlign w:val="bottom"/>
          </w:tcPr>
          <w:p>
            <w:pPr>
              <w:spacing w:after="0"/>
              <w:rPr>
                <w:sz w:val="10"/>
                <w:szCs w:val="10"/>
                <w:color w:val="auto"/>
              </w:rPr>
            </w:pPr>
          </w:p>
        </w:tc>
        <w:tc>
          <w:tcPr>
            <w:tcW w:w="78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controlling</w:t>
            </w:r>
          </w:p>
        </w:tc>
        <w:tc>
          <w:tcPr>
            <w:tcW w:w="120" w:type="dxa"/>
            <w:vAlign w:val="bottom"/>
          </w:tcPr>
          <w:p>
            <w:pPr>
              <w:spacing w:after="0"/>
              <w:rPr>
                <w:sz w:val="10"/>
                <w:szCs w:val="10"/>
                <w:color w:val="auto"/>
              </w:rPr>
            </w:pPr>
          </w:p>
        </w:tc>
        <w:tc>
          <w:tcPr>
            <w:tcW w:w="6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46"/>
        </w:trPr>
        <w:tc>
          <w:tcPr>
            <w:tcW w:w="2960" w:type="dxa"/>
            <w:vAlign w:val="bottom"/>
          </w:tcPr>
          <w:p>
            <w:pPr>
              <w:spacing w:after="0"/>
              <w:rPr>
                <w:sz w:val="12"/>
                <w:szCs w:val="12"/>
                <w:color w:val="auto"/>
              </w:rPr>
            </w:pPr>
          </w:p>
        </w:tc>
        <w:tc>
          <w:tcPr>
            <w:tcW w:w="5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Loss (1)</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200" w:type="dxa"/>
            <w:vAlign w:val="bottom"/>
          </w:tcPr>
          <w:p>
            <w:pPr>
              <w:spacing w:after="0"/>
              <w:rPr>
                <w:sz w:val="12"/>
                <w:szCs w:val="12"/>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Interests (2)</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2"/>
                <w:szCs w:val="12"/>
                <w:color w:val="auto"/>
              </w:rPr>
            </w:pPr>
          </w:p>
        </w:tc>
      </w:tr>
      <w:tr>
        <w:trPr>
          <w:trHeight w:val="146"/>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September 30, 2023</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117,348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4,571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4,244,256</w:t>
            </w:r>
          </w:p>
        </w:tc>
        <w:tc>
          <w:tcPr>
            <w:tcW w:w="38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(7,221,313 )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1"/>
                <w:szCs w:val="11"/>
                <w:color w:val="auto"/>
              </w:rPr>
              <w:t>(53,272 )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6,549,517</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3,523,759</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43,173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3,566,932</w:t>
            </w:r>
          </w:p>
        </w:tc>
        <w:tc>
          <w:tcPr>
            <w:tcW w:w="100" w:type="dxa"/>
            <w:vAlign w:val="bottom"/>
            <w:shd w:val="clear" w:color="auto" w:fill="CFF0FC"/>
          </w:tcPr>
          <w:p>
            <w:pPr>
              <w:spacing w:after="0"/>
              <w:rPr>
                <w:sz w:val="12"/>
                <w:szCs w:val="12"/>
                <w:color w:val="auto"/>
              </w:rPr>
            </w:pPr>
          </w:p>
        </w:tc>
      </w:tr>
      <w:tr>
        <w:trPr>
          <w:trHeight w:val="144"/>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Comprehensive income: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9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Net income</w:t>
            </w:r>
          </w:p>
        </w:tc>
        <w:tc>
          <w:tcPr>
            <w:tcW w:w="8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147,965</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147,965</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757</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148,722</w:t>
            </w:r>
          </w:p>
        </w:tc>
        <w:tc>
          <w:tcPr>
            <w:tcW w:w="100" w:type="dxa"/>
            <w:vAlign w:val="bottom"/>
            <w:shd w:val="clear" w:color="auto" w:fill="CFF0FC"/>
          </w:tcPr>
          <w:p>
            <w:pPr>
              <w:spacing w:after="0"/>
              <w:rPr>
                <w:sz w:val="13"/>
                <w:szCs w:val="13"/>
                <w:color w:val="auto"/>
              </w:rPr>
            </w:pPr>
          </w:p>
        </w:tc>
      </w:tr>
      <w:tr>
        <w:trPr>
          <w:trHeight w:val="148"/>
        </w:trPr>
        <w:tc>
          <w:tcPr>
            <w:tcW w:w="29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46,820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46,820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46,820</w:t>
            </w:r>
          </w:p>
        </w:tc>
        <w:tc>
          <w:tcPr>
            <w:tcW w:w="100" w:type="dxa"/>
            <w:vAlign w:val="bottom"/>
          </w:tcPr>
          <w:p>
            <w:pPr>
              <w:spacing w:after="0"/>
              <w:rPr>
                <w:sz w:val="12"/>
                <w:szCs w:val="12"/>
                <w:color w:val="auto"/>
              </w:rPr>
            </w:pPr>
          </w:p>
        </w:tc>
      </w:tr>
      <w:tr>
        <w:trPr>
          <w:trHeight w:val="142"/>
        </w:trPr>
        <w:tc>
          <w:tcPr>
            <w:tcW w:w="29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Comprehensive income</w:t>
            </w: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194,785</w:t>
            </w:r>
          </w:p>
        </w:tc>
        <w:tc>
          <w:tcPr>
            <w:tcW w:w="2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757</w:t>
            </w: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195,542</w:t>
            </w:r>
          </w:p>
        </w:tc>
        <w:tc>
          <w:tcPr>
            <w:tcW w:w="100" w:type="dxa"/>
            <w:vAlign w:val="bottom"/>
            <w:shd w:val="clear" w:color="auto" w:fill="CFF0FC"/>
          </w:tcPr>
          <w:p>
            <w:pPr>
              <w:spacing w:after="0"/>
              <w:rPr>
                <w:sz w:val="12"/>
                <w:szCs w:val="12"/>
                <w:color w:val="auto"/>
              </w:rPr>
            </w:pPr>
          </w:p>
        </w:tc>
      </w:tr>
      <w:tr>
        <w:trPr>
          <w:trHeight w:val="144"/>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Employee stock options exercised</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4,349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4,350</w:t>
            </w:r>
          </w:p>
        </w:tc>
        <w:tc>
          <w:tcPr>
            <w:tcW w:w="100" w:type="dxa"/>
            <w:vAlign w:val="bottom"/>
          </w:tcPr>
          <w:p>
            <w:pPr>
              <w:spacing w:after="0"/>
              <w:rPr>
                <w:sz w:val="12"/>
                <w:szCs w:val="12"/>
                <w:color w:val="auto"/>
              </w:rPr>
            </w:pPr>
          </w:p>
        </w:tc>
      </w:tr>
      <w:tr>
        <w:trPr>
          <w:trHeight w:val="153"/>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Repurchase of shares</w:t>
            </w: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(1,895 )</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(158,525 )</w:t>
            </w:r>
          </w:p>
        </w:tc>
        <w:tc>
          <w:tcPr>
            <w:tcW w:w="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(158,525 )</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(158,525 )</w:t>
            </w:r>
          </w:p>
        </w:tc>
      </w:tr>
      <w:tr>
        <w:trPr>
          <w:trHeight w:val="144"/>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dividends declared ($0.435 per ordinary share)</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(50,683 )</w:t>
            </w:r>
          </w:p>
        </w:tc>
        <w:tc>
          <w:tcPr>
            <w:tcW w:w="14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(50,683 )</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(50,683 )</w:t>
            </w:r>
          </w:p>
        </w:tc>
      </w:tr>
      <w:tr>
        <w:trPr>
          <w:trHeight w:val="153"/>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FF0FC"/>
          </w:tcPr>
          <w:p>
            <w:pPr>
              <w:spacing w:after="0"/>
              <w:rPr>
                <w:sz w:val="13"/>
                <w:szCs w:val="13"/>
                <w:color w:val="auto"/>
              </w:rPr>
            </w:pPr>
          </w:p>
        </w:tc>
      </w:tr>
      <w:tr>
        <w:trPr>
          <w:trHeight w:val="144"/>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Employee share purchase plan</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19,967</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19,970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19,970</w:t>
            </w:r>
          </w:p>
        </w:tc>
        <w:tc>
          <w:tcPr>
            <w:tcW w:w="100" w:type="dxa"/>
            <w:vAlign w:val="bottom"/>
          </w:tcPr>
          <w:p>
            <w:pPr>
              <w:spacing w:after="0"/>
              <w:rPr>
                <w:sz w:val="12"/>
                <w:szCs w:val="12"/>
                <w:color w:val="auto"/>
              </w:rPr>
            </w:pPr>
          </w:p>
        </w:tc>
      </w:tr>
      <w:tr>
        <w:trPr>
          <w:trHeight w:val="153"/>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Equity-based compensation expense related to employees</w:t>
            </w:r>
          </w:p>
        </w:tc>
        <w:tc>
          <w:tcPr>
            <w:tcW w:w="8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26,080</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26,080</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26,080</w:t>
            </w:r>
          </w:p>
        </w:tc>
        <w:tc>
          <w:tcPr>
            <w:tcW w:w="100" w:type="dxa"/>
            <w:vAlign w:val="bottom"/>
            <w:shd w:val="clear" w:color="auto" w:fill="CFF0FC"/>
          </w:tcPr>
          <w:p>
            <w:pPr>
              <w:spacing w:after="0"/>
              <w:rPr>
                <w:sz w:val="13"/>
                <w:szCs w:val="13"/>
                <w:color w:val="auto"/>
              </w:rPr>
            </w:pPr>
          </w:p>
        </w:tc>
      </w:tr>
      <w:tr>
        <w:trPr>
          <w:trHeight w:val="144"/>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Distribution to noncontrolling interests (2)</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(1,322 )</w:t>
            </w: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(1,322 )</w:t>
            </w:r>
          </w:p>
        </w:tc>
      </w:tr>
      <w:tr>
        <w:trPr>
          <w:trHeight w:val="20"/>
        </w:trPr>
        <w:tc>
          <w:tcPr>
            <w:tcW w:w="29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December 31, 2023</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116,502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4,584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4,294,652</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(7,379,838 )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1"/>
                <w:szCs w:val="11"/>
                <w:color w:val="auto"/>
              </w:rPr>
              <w:t>(6,452 )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6,646,799</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3,559,745</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42,608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3,602,353</w:t>
            </w:r>
          </w:p>
        </w:tc>
        <w:tc>
          <w:tcPr>
            <w:tcW w:w="100" w:type="dxa"/>
            <w:vAlign w:val="bottom"/>
            <w:shd w:val="clear" w:color="auto" w:fill="CFF0FC"/>
          </w:tcPr>
          <w:p>
            <w:pPr>
              <w:spacing w:after="0"/>
              <w:rPr>
                <w:sz w:val="14"/>
                <w:szCs w:val="14"/>
                <w:color w:val="auto"/>
              </w:rPr>
            </w:pPr>
          </w:p>
        </w:tc>
      </w:tr>
      <w:tr>
        <w:trPr>
          <w:trHeight w:val="20"/>
        </w:trPr>
        <w:tc>
          <w:tcPr>
            <w:tcW w:w="29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74"/>
        </w:trPr>
        <w:tc>
          <w:tcPr>
            <w:tcW w:w="2960" w:type="dxa"/>
            <w:vAlign w:val="bottom"/>
          </w:tcPr>
          <w:p>
            <w:pPr>
              <w:spacing w:after="0"/>
              <w:rPr>
                <w:sz w:val="23"/>
                <w:szCs w:val="23"/>
                <w:color w:val="auto"/>
              </w:rPr>
            </w:pPr>
          </w:p>
        </w:tc>
        <w:tc>
          <w:tcPr>
            <w:tcW w:w="1500" w:type="dxa"/>
            <w:vAlign w:val="bottom"/>
            <w:tcBorders>
              <w:bottom w:val="single" w:sz="8" w:color="auto"/>
            </w:tcBorders>
            <w:gridSpan w:val="5"/>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19"/>
        </w:trPr>
        <w:tc>
          <w:tcPr>
            <w:tcW w:w="2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360"/>
              <w:spacing w:after="0" w:line="120"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282"/>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Amdocs</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262"/>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Limited</w:t>
            </w:r>
          </w:p>
        </w:tc>
        <w:tc>
          <w:tcPr>
            <w:tcW w:w="80" w:type="dxa"/>
            <w:vAlign w:val="bottom"/>
          </w:tcPr>
          <w:p>
            <w:pPr>
              <w:spacing w:after="0"/>
              <w:rPr>
                <w:sz w:val="10"/>
                <w:szCs w:val="10"/>
                <w:color w:val="auto"/>
              </w:rPr>
            </w:pPr>
          </w:p>
        </w:tc>
        <w:tc>
          <w:tcPr>
            <w:tcW w:w="78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306"/>
              <w:spacing w:after="0" w:line="122" w:lineRule="exact"/>
              <w:rPr>
                <w:sz w:val="20"/>
                <w:szCs w:val="20"/>
                <w:color w:val="auto"/>
              </w:rPr>
            </w:pPr>
            <w:r>
              <w:rPr>
                <w:rFonts w:ascii="Times New Roman" w:cs="Times New Roman" w:eastAsia="Times New Roman" w:hAnsi="Times New Roman"/>
                <w:sz w:val="11"/>
                <w:szCs w:val="11"/>
                <w:b w:val="1"/>
                <w:bCs w:val="1"/>
                <w:color w:val="auto"/>
                <w:w w:val="96"/>
              </w:rPr>
              <w:t>Treasury</w:t>
            </w:r>
          </w:p>
        </w:tc>
        <w:tc>
          <w:tcPr>
            <w:tcW w:w="80" w:type="dxa"/>
            <w:vAlign w:val="bottom"/>
          </w:tcPr>
          <w:p>
            <w:pPr>
              <w:spacing w:after="0"/>
              <w:rPr>
                <w:sz w:val="10"/>
                <w:szCs w:val="10"/>
                <w:color w:val="auto"/>
              </w:rPr>
            </w:pPr>
          </w:p>
        </w:tc>
        <w:tc>
          <w:tcPr>
            <w:tcW w:w="1060" w:type="dxa"/>
            <w:vAlign w:val="bottom"/>
            <w:gridSpan w:val="2"/>
          </w:tcPr>
          <w:p>
            <w:pPr>
              <w:jc w:val="center"/>
              <w:ind w:right="262"/>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80" w:type="dxa"/>
            <w:vAlign w:val="bottom"/>
          </w:tcPr>
          <w:p>
            <w:pPr>
              <w:spacing w:after="0"/>
              <w:rPr>
                <w:sz w:val="10"/>
                <w:szCs w:val="10"/>
                <w:color w:val="auto"/>
              </w:rPr>
            </w:pPr>
          </w:p>
        </w:tc>
        <w:tc>
          <w:tcPr>
            <w:tcW w:w="800" w:type="dxa"/>
            <w:vAlign w:val="bottom"/>
            <w:gridSpan w:val="2"/>
          </w:tcPr>
          <w:p>
            <w:pPr>
              <w:jc w:val="right"/>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98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Shareholders’</w:t>
            </w:r>
          </w:p>
        </w:tc>
        <w:tc>
          <w:tcPr>
            <w:tcW w:w="80" w:type="dxa"/>
            <w:vAlign w:val="bottom"/>
          </w:tcPr>
          <w:p>
            <w:pPr>
              <w:spacing w:after="0"/>
              <w:rPr>
                <w:sz w:val="10"/>
                <w:szCs w:val="10"/>
                <w:color w:val="auto"/>
              </w:rPr>
            </w:pPr>
          </w:p>
        </w:tc>
        <w:tc>
          <w:tcPr>
            <w:tcW w:w="78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controlling</w:t>
            </w:r>
          </w:p>
        </w:tc>
        <w:tc>
          <w:tcPr>
            <w:tcW w:w="120" w:type="dxa"/>
            <w:vAlign w:val="bottom"/>
          </w:tcPr>
          <w:p>
            <w:pPr>
              <w:spacing w:after="0"/>
              <w:rPr>
                <w:sz w:val="10"/>
                <w:szCs w:val="10"/>
                <w:color w:val="auto"/>
              </w:rPr>
            </w:pPr>
          </w:p>
        </w:tc>
        <w:tc>
          <w:tcPr>
            <w:tcW w:w="6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46"/>
        </w:trPr>
        <w:tc>
          <w:tcPr>
            <w:tcW w:w="2960" w:type="dxa"/>
            <w:vAlign w:val="bottom"/>
          </w:tcPr>
          <w:p>
            <w:pPr>
              <w:spacing w:after="0"/>
              <w:rPr>
                <w:sz w:val="12"/>
                <w:szCs w:val="12"/>
                <w:color w:val="auto"/>
              </w:rPr>
            </w:pPr>
          </w:p>
        </w:tc>
        <w:tc>
          <w:tcPr>
            <w:tcW w:w="5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9"/>
              </w:rPr>
              <w:t>(Loss) (1)</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2"/>
                <w:szCs w:val="12"/>
                <w:color w:val="auto"/>
              </w:rPr>
            </w:pPr>
          </w:p>
        </w:tc>
      </w:tr>
      <w:tr>
        <w:trPr>
          <w:trHeight w:val="146"/>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September 30, 2022</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120,842</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4,548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4,105,900</w:t>
            </w:r>
          </w:p>
        </w:tc>
        <w:tc>
          <w:tcPr>
            <w:tcW w:w="38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(6,731,789 )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1"/>
                <w:szCs w:val="11"/>
                <w:color w:val="auto"/>
              </w:rPr>
              <w:t>(72,476 )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6,211,586</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3,517,769</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42,509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3,560,278</w:t>
            </w:r>
          </w:p>
        </w:tc>
        <w:tc>
          <w:tcPr>
            <w:tcW w:w="100" w:type="dxa"/>
            <w:vAlign w:val="bottom"/>
            <w:shd w:val="clear" w:color="auto" w:fill="CFF0FC"/>
          </w:tcPr>
          <w:p>
            <w:pPr>
              <w:spacing w:after="0"/>
              <w:rPr>
                <w:sz w:val="12"/>
                <w:szCs w:val="12"/>
                <w:color w:val="auto"/>
              </w:rPr>
            </w:pPr>
          </w:p>
        </w:tc>
      </w:tr>
      <w:tr>
        <w:trPr>
          <w:trHeight w:val="144"/>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Comprehensive income: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9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Net income</w:t>
            </w:r>
          </w:p>
        </w:tc>
        <w:tc>
          <w:tcPr>
            <w:tcW w:w="8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129,667</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129,667</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205</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129,872</w:t>
            </w:r>
          </w:p>
        </w:tc>
        <w:tc>
          <w:tcPr>
            <w:tcW w:w="100" w:type="dxa"/>
            <w:vAlign w:val="bottom"/>
            <w:shd w:val="clear" w:color="auto" w:fill="CFF0FC"/>
          </w:tcPr>
          <w:p>
            <w:pPr>
              <w:spacing w:after="0"/>
              <w:rPr>
                <w:sz w:val="13"/>
                <w:szCs w:val="13"/>
                <w:color w:val="auto"/>
              </w:rPr>
            </w:pPr>
          </w:p>
        </w:tc>
      </w:tr>
      <w:tr>
        <w:trPr>
          <w:trHeight w:val="148"/>
        </w:trPr>
        <w:tc>
          <w:tcPr>
            <w:tcW w:w="29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Other comprehensive loss</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13,340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13,340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13,340</w:t>
            </w:r>
          </w:p>
        </w:tc>
        <w:tc>
          <w:tcPr>
            <w:tcW w:w="100" w:type="dxa"/>
            <w:vAlign w:val="bottom"/>
          </w:tcPr>
          <w:p>
            <w:pPr>
              <w:spacing w:after="0"/>
              <w:rPr>
                <w:sz w:val="12"/>
                <w:szCs w:val="12"/>
                <w:color w:val="auto"/>
              </w:rPr>
            </w:pPr>
          </w:p>
        </w:tc>
      </w:tr>
      <w:tr>
        <w:trPr>
          <w:trHeight w:val="142"/>
        </w:trPr>
        <w:tc>
          <w:tcPr>
            <w:tcW w:w="29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Comprehensive income</w:t>
            </w: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143,007</w:t>
            </w:r>
          </w:p>
        </w:tc>
        <w:tc>
          <w:tcPr>
            <w:tcW w:w="2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205</w:t>
            </w: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143,212</w:t>
            </w:r>
          </w:p>
        </w:tc>
        <w:tc>
          <w:tcPr>
            <w:tcW w:w="100" w:type="dxa"/>
            <w:vAlign w:val="bottom"/>
            <w:shd w:val="clear" w:color="auto" w:fill="CFF0FC"/>
          </w:tcPr>
          <w:p>
            <w:pPr>
              <w:spacing w:after="0"/>
              <w:rPr>
                <w:sz w:val="12"/>
                <w:szCs w:val="12"/>
                <w:color w:val="auto"/>
              </w:rPr>
            </w:pPr>
          </w:p>
        </w:tc>
      </w:tr>
      <w:tr>
        <w:trPr>
          <w:trHeight w:val="144"/>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Employee stock options exercised</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14,590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14,593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14,593</w:t>
            </w:r>
          </w:p>
        </w:tc>
        <w:tc>
          <w:tcPr>
            <w:tcW w:w="100" w:type="dxa"/>
            <w:vAlign w:val="bottom"/>
          </w:tcPr>
          <w:p>
            <w:pPr>
              <w:spacing w:after="0"/>
              <w:rPr>
                <w:sz w:val="12"/>
                <w:szCs w:val="12"/>
                <w:color w:val="auto"/>
              </w:rPr>
            </w:pPr>
          </w:p>
        </w:tc>
      </w:tr>
      <w:tr>
        <w:trPr>
          <w:trHeight w:val="153"/>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Repurchase of shares</w:t>
            </w: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(1,183 )</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(100,021 )</w:t>
            </w:r>
          </w:p>
        </w:tc>
        <w:tc>
          <w:tcPr>
            <w:tcW w:w="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(100,021 )</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(100,021 )</w:t>
            </w:r>
          </w:p>
        </w:tc>
      </w:tr>
      <w:tr>
        <w:trPr>
          <w:trHeight w:val="144"/>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dividends declared ($0.395 per ordinary share)</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(47,635 )</w:t>
            </w:r>
          </w:p>
        </w:tc>
        <w:tc>
          <w:tcPr>
            <w:tcW w:w="14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(47,635 )</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(47,635 )</w:t>
            </w:r>
          </w:p>
        </w:tc>
      </w:tr>
      <w:tr>
        <w:trPr>
          <w:trHeight w:val="153"/>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682</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FF0FC"/>
          </w:tcPr>
          <w:p>
            <w:pPr>
              <w:spacing w:after="0"/>
              <w:rPr>
                <w:sz w:val="13"/>
                <w:szCs w:val="13"/>
                <w:color w:val="auto"/>
              </w:rPr>
            </w:pPr>
          </w:p>
        </w:tc>
      </w:tr>
      <w:tr>
        <w:trPr>
          <w:trHeight w:val="142"/>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Equity-based compensation expense related to employees</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19,490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19,490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19,490</w:t>
            </w:r>
          </w:p>
        </w:tc>
        <w:tc>
          <w:tcPr>
            <w:tcW w:w="100" w:type="dxa"/>
            <w:vAlign w:val="bottom"/>
          </w:tcPr>
          <w:p>
            <w:pPr>
              <w:spacing w:after="0"/>
              <w:rPr>
                <w:sz w:val="12"/>
                <w:szCs w:val="12"/>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December 31, 2022</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120,588</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4,559</w:t>
            </w:r>
          </w:p>
        </w:tc>
        <w:tc>
          <w:tcPr>
            <w:tcW w:w="24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4,139,980</w:t>
            </w:r>
          </w:p>
        </w:tc>
        <w:tc>
          <w:tcPr>
            <w:tcW w:w="260" w:type="dxa"/>
            <w:vAlign w:val="bottom"/>
          </w:tcPr>
          <w:p>
            <w:pPr>
              <w:spacing w:after="0"/>
              <w:rPr>
                <w:sz w:val="12"/>
                <w:szCs w:val="12"/>
                <w:color w:val="auto"/>
              </w:rPr>
            </w:pPr>
          </w:p>
        </w:tc>
        <w:tc>
          <w:tcPr>
            <w:tcW w:w="1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(6,831,810</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(59,136</w:t>
            </w:r>
          </w:p>
        </w:tc>
        <w:tc>
          <w:tcPr>
            <w:tcW w:w="220" w:type="dxa"/>
            <w:vAlign w:val="bottom"/>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6,293,618</w:t>
            </w:r>
          </w:p>
        </w:tc>
        <w:tc>
          <w:tcPr>
            <w:tcW w:w="220" w:type="dxa"/>
            <w:vAlign w:val="bottom"/>
          </w:tcPr>
          <w:p>
            <w:pPr>
              <w:spacing w:after="0"/>
              <w:rPr>
                <w:sz w:val="12"/>
                <w:szCs w:val="12"/>
                <w:color w:val="auto"/>
              </w:rPr>
            </w:pPr>
          </w:p>
        </w:tc>
        <w:tc>
          <w:tcPr>
            <w:tcW w:w="14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3,547,211</w:t>
            </w:r>
          </w:p>
        </w:tc>
        <w:tc>
          <w:tcPr>
            <w:tcW w:w="2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42,714</w:t>
            </w:r>
          </w:p>
        </w:tc>
        <w:tc>
          <w:tcPr>
            <w:tcW w:w="220" w:type="dxa"/>
            <w:vAlign w:val="bottom"/>
          </w:tcPr>
          <w:p>
            <w:pPr>
              <w:spacing w:after="0"/>
              <w:rPr>
                <w:sz w:val="12"/>
                <w:szCs w:val="12"/>
                <w:color w:val="auto"/>
              </w:rPr>
            </w:pPr>
          </w:p>
        </w:tc>
        <w:tc>
          <w:tcPr>
            <w:tcW w:w="1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3,589,925</w:t>
            </w:r>
          </w:p>
        </w:tc>
        <w:tc>
          <w:tcPr>
            <w:tcW w:w="1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-1682750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-1665605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-1682750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-1665605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-1682750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-1665605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-1682750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-1665605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-1682750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-1665605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-1682750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-1665605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-1682750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-1665605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-1682750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-1665605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-1682750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-1665605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w:t>
      </w:r>
    </w:p>
    <w:p>
      <w:pPr>
        <w:spacing w:after="0" w:line="33" w:lineRule="exact"/>
        <w:rPr>
          <w:sz w:val="20"/>
          <w:szCs w:val="20"/>
          <w:color w:val="auto"/>
        </w:rPr>
      </w:pPr>
    </w:p>
    <w:p>
      <w:pPr>
        <w:ind w:left="380" w:hanging="372"/>
        <w:spacing w:after="0" w:line="253" w:lineRule="auto"/>
        <w:tabs>
          <w:tab w:leader="none" w:pos="380" w:val="left"/>
        </w:tabs>
        <w:numPr>
          <w:ilvl w:val="0"/>
          <w:numId w:val="2"/>
        </w:numPr>
        <w:rPr>
          <w:rFonts w:ascii="Times New Roman" w:cs="Times New Roman" w:eastAsia="Times New Roman" w:hAnsi="Times New Roman"/>
          <w:sz w:val="15"/>
          <w:szCs w:val="15"/>
          <w:color w:val="404040"/>
        </w:rPr>
      </w:pPr>
      <w:r>
        <w:rPr>
          <w:rFonts w:ascii="Times New Roman" w:cs="Times New Roman" w:eastAsia="Times New Roman" w:hAnsi="Times New Roman"/>
          <w:sz w:val="15"/>
          <w:szCs w:val="15"/>
          <w:color w:val="404040"/>
        </w:rPr>
        <w:t xml:space="preserve">As of December 31, 2023 and 2022, accumulated other comprehensive loss </w:t>
      </w:r>
      <w:r>
        <w:rPr>
          <w:rFonts w:ascii="Times New Roman" w:cs="Times New Roman" w:eastAsia="Times New Roman" w:hAnsi="Times New Roman"/>
          <w:sz w:val="15"/>
          <w:szCs w:val="15"/>
          <w:color w:val="000000"/>
        </w:rPr>
        <w:t>is comprised of unrealized (gain) loss on derivatives, net of tax, of $(7,469) and $20,650 unrealized</w:t>
      </w:r>
      <w:r>
        <w:rPr>
          <w:rFonts w:ascii="Times New Roman" w:cs="Times New Roman" w:eastAsia="Times New Roman" w:hAnsi="Times New Roman"/>
          <w:sz w:val="15"/>
          <w:szCs w:val="15"/>
          <w:color w:val="404040"/>
        </w:rPr>
        <w:t xml:space="preserve"> </w:t>
      </w:r>
      <w:r>
        <w:rPr>
          <w:rFonts w:ascii="Times New Roman" w:cs="Times New Roman" w:eastAsia="Times New Roman" w:hAnsi="Times New Roman"/>
          <w:sz w:val="15"/>
          <w:szCs w:val="15"/>
          <w:color w:val="000000"/>
        </w:rPr>
        <w:t>loss on short-term interest-bearing investments, net of tax, of $11,529 and $35,387, and unrealized loss on defined benefit plan, net of tax, of $2,392 and $3,099, respectively.</w:t>
      </w:r>
    </w:p>
    <w:p>
      <w:pPr>
        <w:ind w:left="380" w:hanging="372"/>
        <w:spacing w:after="0" w:line="261" w:lineRule="auto"/>
        <w:tabs>
          <w:tab w:leader="none" w:pos="38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Starting fiscal year 2023, the Company distributes earnings to the noncontrolling interests, for further details please refer to Note 2, “A summary of Significant Accounting Policies “, in the Company’s Annual Report on Form 20-F for the fiscal year 2023.</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amounts in thousands)</w:t>
      </w:r>
    </w:p>
    <w:p>
      <w:pPr>
        <w:spacing w:after="0" w:line="214"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148,722</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129,872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61,071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(6,683 )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(16,973 )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from short-term interest-bearing investments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changes in operating assets and liabilities, net of amounts acquired:</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(66,657 )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(197,381 )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(10,538 )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(848 )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assets and liabilities, net</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(5,340 )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(1,251 )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accrued expenses and accrued personnel</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82,136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(25,930 )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(6,194 )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 net</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(18,066 )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(11,242 )</w:t>
            </w: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(5,998 )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7,693</w:t>
            </w:r>
          </w:p>
        </w:tc>
        <w:tc>
          <w:tcPr>
            <w:tcW w:w="100" w:type="dxa"/>
            <w:vAlign w:val="bottom"/>
            <w:shd w:val="clear" w:color="auto" w:fill="CFF0FC"/>
          </w:tcPr>
          <w:p>
            <w:pPr>
              <w:spacing w:after="0"/>
              <w:rPr>
                <w:sz w:val="21"/>
                <w:szCs w:val="21"/>
                <w:color w:val="auto"/>
              </w:rPr>
            </w:pPr>
          </w:p>
        </w:tc>
      </w:tr>
      <w:tr>
        <w:trPr>
          <w:trHeight w:val="23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182,387</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83,226</w:t>
            </w:r>
          </w:p>
        </w:tc>
        <w:tc>
          <w:tcPr>
            <w:tcW w:w="100" w:type="dxa"/>
            <w:vAlign w:val="bottom"/>
            <w:tcBorders>
              <w:top w:val="single" w:sz="8" w:color="CFF0FC"/>
            </w:tcBorders>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 net (1)</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(43,743 )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(33,703 )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sale of short-term interest-bearing investments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paid for business acquisitions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(77,329 )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(835 )</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(111,610 )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(30,804 )</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shares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(158,525 )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(100,021 )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employee stock option exercises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dividends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(51,053 )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(47,735 )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(1,322 )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contingent consideration from a business acquisition</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(453 )</w:t>
            </w:r>
          </w:p>
        </w:tc>
      </w:tr>
      <w:tr>
        <w:trPr>
          <w:trHeight w:val="20"/>
        </w:trPr>
        <w:tc>
          <w:tcPr>
            <w:tcW w:w="7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(207,972 )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(133,620 )</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(137,195 )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(81,198 )</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520,080</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573,377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382,885</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492,179</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taxes, net of refunds (2)</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51,255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42,366</w:t>
            </w:r>
          </w:p>
        </w:tc>
        <w:tc>
          <w:tcPr>
            <w:tcW w:w="100" w:type="dxa"/>
            <w:vAlign w:val="bottom"/>
            <w:shd w:val="clear" w:color="auto" w:fill="CFF0FC"/>
          </w:tcPr>
          <w:p>
            <w:pPr>
              <w:spacing w:after="0"/>
              <w:rPr>
                <w:sz w:val="21"/>
                <w:szCs w:val="21"/>
                <w:color w:val="auto"/>
              </w:rPr>
            </w:pPr>
          </w:p>
        </w:tc>
      </w:tr>
      <w:tr>
        <w:trPr>
          <w:trHeight w:val="23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(3)</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-3354070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-3354070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-2393950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-1116965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-1116965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-799465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-799465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82550</wp:posOffset>
            </wp:positionV>
            <wp:extent cx="9512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7" w:lineRule="exact"/>
        <w:rPr>
          <w:sz w:val="20"/>
          <w:szCs w:val="20"/>
          <w:color w:val="auto"/>
        </w:rPr>
      </w:pPr>
    </w:p>
    <w:p>
      <w:pPr>
        <w:ind w:left="760" w:right="20" w:hanging="378"/>
        <w:spacing w:after="0" w:line="253"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amounts under "Purchase of property and equipment, net”, include immaterial proceeds from sale of property and equipment for the three months ended December 31, 2023, and no proceeds for the three months ended December 31, 2022.</w:t>
      </w: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For Further details, </w:t>
      </w:r>
      <w:r>
        <w:rPr>
          <w:rFonts w:ascii="Times New Roman" w:cs="Times New Roman" w:eastAsia="Times New Roman" w:hAnsi="Times New Roman"/>
          <w:sz w:val="17"/>
          <w:szCs w:val="17"/>
          <w:color w:val="auto"/>
        </w:rPr>
        <w:t>see also Note 11.</w:t>
      </w:r>
    </w:p>
    <w:p>
      <w:pPr>
        <w:spacing w:after="0" w:line="1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amounts under “Interest” include payments of interest to financial institution, tax authorities and other.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378"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Entity and Basis of Presentation</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Amdocs Limited (the “Company”) is a leading provider of software and services to communications, entertainment and media service providers of all sizes throughout the world. The Company and its consolidated subsidiaries operate in one segment and design, develop, market, support, implement and operate its open and modular cloud portfolio.</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a Guernsey limited company, which directly or indirectly holds numerous subsidiaries around the world, the vast majority of which are wholly-owned. The majority of the Company’s customers are in North America, Europe, Asia-Pacific and the Latin America region. The Company’s main development facilities are located in Brazil, Canada, Cyprus, India, Ireland, Israel, Mexico, the Philippines, the United Kingdom and the United States.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unaudited consolidated financial statements of the Company have been prepared in accordance with U.S. generally accepted accounting principles, or GAAP and are denominated in U.S. dollars.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opinion of the Company’s management, all adjustments considered necessary for a fair presentation of the unaudited interim consolidated financial statements have been included herein and are of a normal recurring nature. 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2023, set forth in the Company’s Annual Report on Form 20-F filed on December 13, 2023 with the U.S. Securities and Exchange Commission, or the SEC. There have been no material changes to the Company’s significant accounting policies from its Annual Report on Form 20-F for the fiscal year ended September 30,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time to time, certain immaterial amounts in prior year financial statements may be reclassified to conform to the current year presentation.</w:t>
      </w:r>
    </w:p>
    <w:p>
      <w:pPr>
        <w:spacing w:after="0" w:line="181"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Standards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December 14, 2023, the Financial Accounting Standards Board (“FASB”) issued Accounting Standards Update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which requires disclosure of disaggregated income taxes paid, prescribes standard categories for the components of the effective tax rate reconciliation, and modifies other income tax-related disclosures. This ASU will be effective for the Company's annual report for fiscal year 2026 and allows adoption on a prospective basis, with a retrospective option. This ASU will only have an impact on the Company's income tax disclosures. The Company is currently evaluating the impact of the adoption on its consolidated financial statements.</w:t>
      </w:r>
    </w:p>
    <w:p>
      <w:pPr>
        <w:spacing w:after="0" w:line="1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xml:space="preserve"> which enhances the disclosures required for operating segments in the annual and interim consolidated financial statements. This ASU will be effective for the Company's annual report for fiscal year 2025 and for interim period reporting beginning in fiscal year 2026 on a retrospective basis with early adoption permitted. The Company is currently evaluating the impact of the adoption on its consolidated financial statements.</w:t>
      </w:r>
    </w:p>
    <w:p>
      <w:pPr>
        <w:spacing w:after="0" w:line="13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March 2020, the FASB, issued ASU No. 2020-04, “</w:t>
      </w:r>
      <w:r>
        <w:rPr>
          <w:rFonts w:ascii="Times New Roman" w:cs="Times New Roman" w:eastAsia="Times New Roman" w:hAnsi="Times New Roman"/>
          <w:sz w:val="18"/>
          <w:szCs w:val="18"/>
          <w:i w:val="1"/>
          <w:iCs w:val="1"/>
          <w:color w:val="auto"/>
        </w:rPr>
        <w:t>Reference Rate Reform: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w:t>
      </w:r>
      <w:r>
        <w:rPr>
          <w:rFonts w:ascii="Times New Roman" w:cs="Times New Roman" w:eastAsia="Times New Roman" w:hAnsi="Times New Roman"/>
          <w:sz w:val="18"/>
          <w:szCs w:val="18"/>
          <w:color w:val="auto"/>
        </w:rPr>
        <w:t>The ASU provides temporary optional expedients and exceptions on certain contract modifications, hedge relationships and other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reference London Inter-Bank Offered Rate (“LIBOR”) or other reference rates expected to be discontinued due to the reference rate reform. This ASU is effective as of March 12, 2020 through December 31, 2024. The Company expects that the adoption of this ASU will not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2"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Adoption of New Accounting Standards</w:t>
      </w:r>
    </w:p>
    <w:p>
      <w:pPr>
        <w:spacing w:after="0" w:line="20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August 2021, the FASB, issued ASU No. 2021-08, “</w:t>
      </w:r>
      <w:r>
        <w:rPr>
          <w:rFonts w:ascii="Times New Roman" w:cs="Times New Roman" w:eastAsia="Times New Roman" w:hAnsi="Times New Roman"/>
          <w:sz w:val="18"/>
          <w:szCs w:val="18"/>
          <w:i w:val="1"/>
          <w:iCs w:val="1"/>
          <w:color w:val="auto"/>
        </w:rPr>
        <w:t>Business Combinations (Topic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The ASU requires companies to apply ASC 606 to recognize and measure contract assets and contract liabilities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with customers acquired in a business combination. As of October 1, 2023, the Company prospectively adopted this ASU and there was immaterial impact on the Company’s consolidated financial statements.</w:t>
      </w:r>
    </w:p>
    <w:p>
      <w:pPr>
        <w:spacing w:after="0" w:line="178"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December 31, 2023, the Company completed the acquisition of Astadia, which specializes in mainframe-to-cloud migration and modernization, for an aggregate net consideration of approximately $75,000 in cash, and a potential for additional consideration which may be paid later based on achievement of certain performance metrics. In allocating the total consideration based on the preliminary estimated fair values for Astadia, the Company recorded $88,845 of goodwill, $27,677 of customer relationships to be amortized over approximately six years, $8,001 of core technology to be amortized over approximately four years, and $1,784 of trademark to be amortized over approximately three years.</w:t>
      </w:r>
    </w:p>
    <w:p>
      <w:pPr>
        <w:spacing w:after="0" w:line="139" w:lineRule="exact"/>
        <w:rPr>
          <w:sz w:val="20"/>
          <w:szCs w:val="20"/>
          <w:color w:val="auto"/>
        </w:rPr>
      </w:pPr>
    </w:p>
    <w:p>
      <w:pPr>
        <w:ind w:left="520" w:right="9300" w:hanging="512"/>
        <w:spacing w:after="0" w:line="464" w:lineRule="auto"/>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Contract Balances</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information about accounts receivable, both billed and unbilled and deferred revenue:</w:t>
      </w: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6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right"/>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1"/>
                <w:szCs w:val="11"/>
                <w:color w:val="auto"/>
              </w:rPr>
            </w:pPr>
          </w:p>
        </w:tc>
        <w:tc>
          <w:tcPr>
            <w:tcW w:w="1220" w:type="dxa"/>
            <w:vAlign w:val="bottom"/>
          </w:tcPr>
          <w:p>
            <w:pPr>
              <w:jc w:val="right"/>
              <w:ind w:right="174"/>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r>
      <w:tr>
        <w:trPr>
          <w:trHeight w:val="187"/>
        </w:trPr>
        <w:tc>
          <w:tcPr>
            <w:tcW w:w="6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05"/>
        </w:trPr>
        <w:tc>
          <w:tcPr>
            <w:tcW w:w="69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Accounts receivable - billed (net of allowances for credit losses of $21,752</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8"/>
        </w:trPr>
        <w:tc>
          <w:tcPr>
            <w:tcW w:w="6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$19,801 as of December 31, 2023 and September 30, 2023, respectively)</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747,421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732,979</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 unbilled (current)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281,873</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211,498</w:t>
            </w:r>
          </w:p>
        </w:tc>
        <w:tc>
          <w:tcPr>
            <w:tcW w:w="100" w:type="dxa"/>
            <w:vAlign w:val="bottom"/>
          </w:tcPr>
          <w:p>
            <w:pPr>
              <w:spacing w:after="0"/>
              <w:rPr>
                <w:sz w:val="20"/>
                <w:szCs w:val="20"/>
                <w:color w:val="auto"/>
              </w:rPr>
            </w:pPr>
          </w:p>
        </w:tc>
      </w:tr>
      <w:tr>
        <w:trPr>
          <w:trHeight w:val="243"/>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 unbilled (non-current)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32,310</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45,176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Accounts receivable - unbilled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314,183</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256,674</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(149,826 )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(170,634 )</w:t>
            </w: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(805 )</w:t>
            </w:r>
          </w:p>
        </w:tc>
      </w:tr>
      <w:tr>
        <w:trPr>
          <w:trHeight w:val="20"/>
        </w:trPr>
        <w:tc>
          <w:tcPr>
            <w:tcW w:w="6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revenue</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(150,484 )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(171,439 )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-633730</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-633730</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Revenue recognized during the three months ended December 31, 2023, which was included in deferred revenue (current) as of September 30, 2023 was $116,112. Revenue recognized during the three months ended December 31, 2022, which was included in deferred revenue (current) as of September 30, 2022 was $187,655.</w:t>
      </w:r>
    </w:p>
    <w:p>
      <w:pPr>
        <w:spacing w:after="0" w:line="13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2023, the aggregate amount of the transaction price allocated to remaining performance obligations that are unsatisfied or partially unsatisfied was approximately $5.5 billion. Remaining performance obligations include the remaining non-cancelable, committed and fixed portion of these contracts for their entire duration and therefore it is not comparable to what the Company considers to be next 12 months backlog. Given the profile of contract terms, the majority of this amount is expected to be recognized as revenue over the next three years.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0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information that is regularly reviewed by its chief operating decision makers in evaluating financial performance to disaggregate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provide details of revenue by nature of activities and by geography:</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by nature of activities</w:t>
      </w:r>
    </w:p>
    <w:p>
      <w:pPr>
        <w:spacing w:after="0" w:line="23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5080</wp:posOffset>
            </wp:positionV>
            <wp:extent cx="21602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Managed services arrangements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722,459</w:t>
            </w:r>
          </w:p>
        </w:tc>
        <w:tc>
          <w:tcPr>
            <w:tcW w:w="6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699,826</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522,740</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485,894</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1,245,199</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1,185,720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23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America (mainly United States)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838,135</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812,690</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181,420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168,666</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225,644</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204,364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1,245,199</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1,185,720</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0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3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three levels of inputs that may be used to measure fair value are as follows:</w:t>
      </w:r>
    </w:p>
    <w:p>
      <w:pPr>
        <w:spacing w:after="0" w:line="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in active markets for identical assets or liabilities;</w:t>
      </w:r>
    </w:p>
    <w:p>
      <w:pPr>
        <w:spacing w:after="0" w:line="63" w:lineRule="exact"/>
        <w:rPr>
          <w:sz w:val="20"/>
          <w:szCs w:val="20"/>
          <w:color w:val="auto"/>
        </w:rPr>
      </w:pPr>
    </w:p>
    <w:p>
      <w:pPr>
        <w:jc w:val="both"/>
        <w:ind w:left="2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inputs other than quoted prices included in Level 1, such as quoted prices for similar assets or liabilities in active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that is significant to the fair value of the assets or liabilities.</w:t>
      </w:r>
    </w:p>
    <w:p>
      <w:pPr>
        <w:spacing w:after="0" w:line="20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assets and liabilities measured at fair value on a recurring basis as of December 31, 2023 and September 30,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As of December 31,2023</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4"/>
                <w:szCs w:val="14"/>
                <w:color w:val="auto"/>
              </w:rPr>
            </w:pP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4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198,091</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198,091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145,618</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145,618</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treasuries</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1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17,260</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17,260</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backed obligations</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8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4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240,222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175,912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416,134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4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46,451</w:t>
            </w: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46,451</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net</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(61,761 )</w:t>
            </w: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(61,761 )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0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8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240,222</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185,948</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(15,310 )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410,860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-1868170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-1868170</wp:posOffset>
            </wp:positionV>
            <wp:extent cx="603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-1868170</wp:posOffset>
            </wp:positionV>
            <wp:extent cx="60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-1868170</wp:posOffset>
            </wp:positionV>
            <wp:extent cx="603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-1233805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-1233805</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-1233805</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-1233805</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38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 of September 30, 2023</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4"/>
                <w:szCs w:val="14"/>
                <w:color w:val="auto"/>
              </w:rPr>
            </w:pP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308,354</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308,354</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150,310</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150,310</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treasuries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41,138</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16,792</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16,792</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backed obligations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100" w:type="dxa"/>
            <w:vAlign w:val="bottom"/>
          </w:tcPr>
          <w:p>
            <w:pPr>
              <w:spacing w:after="0"/>
              <w:rPr>
                <w:sz w:val="20"/>
                <w:szCs w:val="20"/>
                <w:color w:val="auto"/>
              </w:rPr>
            </w:pPr>
          </w:p>
        </w:tc>
      </w:tr>
      <w:tr>
        <w:trPr>
          <w:trHeight w:val="243"/>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349,492</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181,313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530,805</w:t>
            </w:r>
          </w:p>
        </w:tc>
        <w:tc>
          <w:tcPr>
            <w:tcW w:w="100" w:type="dxa"/>
            <w:vAlign w:val="bottom"/>
          </w:tcPr>
          <w:p>
            <w:pPr>
              <w:spacing w:after="0"/>
              <w:rPr>
                <w:sz w:val="20"/>
                <w:szCs w:val="20"/>
                <w:color w:val="auto"/>
              </w:rPr>
            </w:pPr>
          </w:p>
        </w:tc>
      </w:tr>
      <w:tr>
        <w:trPr>
          <w:trHeight w:val="241"/>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47,985</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47,985</w:t>
            </w:r>
          </w:p>
        </w:tc>
        <w:tc>
          <w:tcPr>
            <w:tcW w:w="100" w:type="dxa"/>
            <w:vAlign w:val="bottom"/>
            <w:shd w:val="clear" w:color="auto" w:fill="CFF0FC"/>
          </w:tcPr>
          <w:p>
            <w:pPr>
              <w:spacing w:after="0"/>
              <w:rPr>
                <w:sz w:val="20"/>
                <w:szCs w:val="20"/>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net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(36,832 )</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(36,832 )</w:t>
            </w:r>
          </w:p>
        </w:tc>
      </w:tr>
      <w:tr>
        <w:trPr>
          <w:trHeight w:val="24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(24,627 )</w:t>
            </w: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(24,627 )</w:t>
            </w:r>
          </w:p>
        </w:tc>
      </w:tr>
      <w:tr>
        <w:trPr>
          <w:trHeight w:val="236"/>
        </w:trPr>
        <w:tc>
          <w:tcPr>
            <w:tcW w:w="5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349,492</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144,481</w:t>
            </w:r>
          </w:p>
        </w:tc>
        <w:tc>
          <w:tcPr>
            <w:tcW w:w="22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23,358</w:t>
            </w:r>
          </w:p>
        </w:tc>
        <w:tc>
          <w:tcPr>
            <w:tcW w:w="22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517,331</w:t>
            </w:r>
          </w:p>
        </w:tc>
        <w:tc>
          <w:tcPr>
            <w:tcW w:w="100" w:type="dxa"/>
            <w:vAlign w:val="bottom"/>
            <w:tcBorders>
              <w:top w:val="single" w:sz="8" w:color="CFF0FC"/>
            </w:tcBorders>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-822325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-822325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-822325</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-822325</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-187960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-187960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months ended December 31, 2023. Level 3 liabilities relate to certain acquisition-related liabilities, which were generally valued using a Monte-Carlo simulation model and based on estimates of potential pay-out scenarios, valued every quarter. These liabilities were included in both accrued expenses and other current liabilities and other noncurrent liabilities as of December 31, 2023 and September 30, 2023. The increase in Level 3 liabilities was primarily attributable to changes recorded against goodwill in connection with the recent acquisition, partially offset by payments of certain acquisition-related liabilities and changes in the fair value recorded in the consolidated statement of income during the three months ended December 31, 2023.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accrued expenses and other current liabilities, accrued personnel costs approximate their fair value because of the relatively short maturity of these items, for the fair value of the Senior Notes, see Note 14.</w:t>
      </w:r>
    </w:p>
    <w:p>
      <w:pPr>
        <w:spacing w:after="0" w:line="117"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Available-For-Sale Securities</w:t>
      </w:r>
    </w:p>
    <w:p>
      <w:pPr>
        <w:spacing w:after="0" w:line="202"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Available-for-sale securities consist of the following interest-bearing investments: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As of December 31,2023</w:t>
            </w: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1"/>
                <w:szCs w:val="11"/>
                <w:color w:val="auto"/>
              </w:rPr>
            </w:pPr>
          </w:p>
        </w:tc>
        <w:tc>
          <w:tcPr>
            <w:tcW w:w="920" w:type="dxa"/>
            <w:vAlign w:val="bottom"/>
          </w:tcPr>
          <w:p>
            <w:pPr>
              <w:jc w:val="center"/>
              <w:ind w:left="12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92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198,091</w:t>
            </w:r>
          </w:p>
        </w:tc>
        <w:tc>
          <w:tcPr>
            <w:tcW w:w="116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152,650</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treasuries</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44,831</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18,565</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backed obligations</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2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80" w:type="dxa"/>
            <w:vAlign w:val="bottom"/>
          </w:tcPr>
          <w:p>
            <w:pPr>
              <w:spacing w:after="0"/>
              <w:rPr>
                <w:sz w:val="24"/>
                <w:szCs w:val="24"/>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427,663</w:t>
            </w:r>
          </w:p>
        </w:tc>
        <w:tc>
          <w:tcPr>
            <w:tcW w:w="116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416,134</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580" w:type="dxa"/>
            <w:vAlign w:val="bottom"/>
            <w:tcBorders>
              <w:bottom w:val="single" w:sz="8" w:color="auto"/>
            </w:tcBorders>
          </w:tcPr>
          <w:p>
            <w:pPr>
              <w:spacing w:after="0"/>
              <w:rPr>
                <w:sz w:val="9"/>
                <w:szCs w:val="9"/>
                <w:color w:val="auto"/>
              </w:rPr>
            </w:pPr>
          </w:p>
        </w:tc>
        <w:tc>
          <w:tcPr>
            <w:tcW w:w="920" w:type="dxa"/>
            <w:vAlign w:val="bottom"/>
            <w:tcBorders>
              <w:top w:val="single" w:sz="8" w:color="CFF0FC"/>
              <w:bottom w:val="single" w:sz="8" w:color="auto"/>
            </w:tcBorders>
          </w:tcPr>
          <w:p>
            <w:pPr>
              <w:spacing w:after="0"/>
              <w:rPr>
                <w:sz w:val="9"/>
                <w:szCs w:val="9"/>
                <w:color w:val="auto"/>
              </w:rPr>
            </w:pPr>
          </w:p>
        </w:tc>
        <w:tc>
          <w:tcPr>
            <w:tcW w:w="392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-111125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-93980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-111125</wp:posOffset>
            </wp:positionV>
            <wp:extent cx="60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-93980</wp:posOffset>
            </wp:positionV>
            <wp:extent cx="603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-111125</wp:posOffset>
            </wp:positionV>
            <wp:extent cx="603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-93980</wp:posOffset>
            </wp:positionV>
            <wp:extent cx="603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-111125</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-93980</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 w:lineRule="exact"/>
        <w:rPr>
          <w:sz w:val="20"/>
          <w:szCs w:val="20"/>
          <w:color w:val="auto"/>
        </w:rPr>
      </w:pPr>
    </w:p>
    <w:p>
      <w:pPr>
        <w:jc w:val="both"/>
        <w:ind w:left="380" w:hanging="372"/>
        <w:spacing w:after="0" w:line="261"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December 31, 2023, $218,043 of securities were classified as short-term interest-bearing investments and $198,091 of securities were classified as cash and cash equivalents.</w:t>
      </w:r>
    </w:p>
    <w:p>
      <w:pPr>
        <w:sectPr>
          <w:pgSz w:w="11900" w:h="16838" w:orient="portrait"/>
          <w:cols w:equalWidth="0" w:num="1">
            <w:col w:w="11240"/>
          </w:cols>
          <w:pgMar w:left="320" w:top="765"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As of September 30, 2023</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1"/>
                <w:szCs w:val="11"/>
                <w:color w:val="auto"/>
              </w:rPr>
            </w:pPr>
          </w:p>
        </w:tc>
        <w:tc>
          <w:tcPr>
            <w:tcW w:w="1020" w:type="dxa"/>
            <w:vAlign w:val="bottom"/>
          </w:tcPr>
          <w:p>
            <w:pPr>
              <w:jc w:val="center"/>
              <w:ind w:left="14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5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6"/>
                <w:szCs w:val="16"/>
                <w:color w:val="auto"/>
              </w:rPr>
            </w:pPr>
          </w:p>
        </w:tc>
        <w:tc>
          <w:tcPr>
            <w:tcW w:w="1020" w:type="dxa"/>
            <w:vAlign w:val="bottom"/>
            <w:tcBorders>
              <w:bottom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308,354</w:t>
            </w:r>
          </w:p>
        </w:tc>
        <w:tc>
          <w:tcPr>
            <w:tcW w:w="130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308,354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160,370</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treasuries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44,782</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18,566</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backed obligations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2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Total(1)</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547,008</w:t>
            </w:r>
          </w:p>
        </w:tc>
        <w:tc>
          <w:tcPr>
            <w:tcW w:w="130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16,203</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530,805</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500" w:type="dxa"/>
            <w:vAlign w:val="bottom"/>
            <w:tcBorders>
              <w:top w:val="single" w:sz="8" w:color="CFF0FC"/>
              <w:bottom w:val="single" w:sz="8" w:color="auto"/>
            </w:tcBorders>
          </w:tcPr>
          <w:p>
            <w:pPr>
              <w:spacing w:after="0"/>
              <w:rPr>
                <w:sz w:val="9"/>
                <w:szCs w:val="9"/>
                <w:color w:val="auto"/>
              </w:rPr>
            </w:pPr>
          </w:p>
        </w:tc>
        <w:tc>
          <w:tcPr>
            <w:tcW w:w="390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280" w:type="dxa"/>
            <w:vAlign w:val="bottom"/>
            <w:tcBorders>
              <w:top w:val="single" w:sz="8" w:color="CFF0FC"/>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6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-111125</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-93345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-111125</wp:posOffset>
            </wp:positionV>
            <wp:extent cx="768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-93345</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-111125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-93345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-111125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 w:lineRule="exact"/>
        <w:rPr>
          <w:sz w:val="20"/>
          <w:szCs w:val="20"/>
          <w:color w:val="auto"/>
        </w:rPr>
      </w:pPr>
    </w:p>
    <w:p>
      <w:pPr>
        <w:jc w:val="both"/>
        <w:ind w:left="380" w:hanging="372"/>
        <w:spacing w:after="0" w:line="261"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securities with maturities longer than 90 days from the date of acquisition were classified as short-term interest- bearing investments and available-for-sale securities with maturities of 90 days or less from the date of acquisition were included in cash and cash equivalents on the Company’s consolidated balance sheets. As of September 30, 2023, $222,451 of securities were classified as short-term interest-bearing investments and $308,354 of securities were classified as cash and cash equivalents.</w:t>
      </w:r>
    </w:p>
    <w:p>
      <w:pPr>
        <w:spacing w:after="0" w:line="15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2023, the unrealized losses attributable to the Company’s available-for-sale securities were primarily due to credit spreads and interest rate movements. The securities that have unrealized losses as of December 31, 2023 also had unrealized losses as of December 31, 2022. The Company assessed whether such unrealized losses for the investments in its portfolio were caused by expected credit losses. Based on this assessment, the Company did not recognize any credit losses in the three months ended December 31, 2023 and 2022. Realized gains and losses on short-term interest-bearing investments are included in earnings and are determined based on specific identification method. The Company does not intend to sell these investments. In addition, it is more likely than not that the Company will not be required to sell them before recovery of the amortized cost basis, which may be at maturity.</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the Company’s available-for-sale securities had the following maturity dates:</w:t>
      </w:r>
    </w:p>
    <w:p>
      <w:pPr>
        <w:spacing w:after="0" w:line="232"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Market Value</w:t>
            </w:r>
          </w:p>
        </w:tc>
      </w:tr>
      <w:tr>
        <w:trPr>
          <w:trHeight w:val="23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257,895</w:t>
            </w:r>
          </w:p>
        </w:tc>
        <w:tc>
          <w:tcPr>
            <w:tcW w:w="60" w:type="dxa"/>
            <w:vAlign w:val="bottom"/>
            <w:shd w:val="clear" w:color="auto" w:fill="CFF0FC"/>
          </w:tcPr>
          <w:p>
            <w:pPr>
              <w:spacing w:after="0"/>
              <w:rPr>
                <w:sz w:val="20"/>
                <w:szCs w:val="20"/>
                <w:color w:val="auto"/>
              </w:rPr>
            </w:pPr>
          </w:p>
        </w:tc>
      </w:tr>
      <w:tr>
        <w:trPr>
          <w:trHeight w:val="23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1 to 2 years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102,411</w:t>
            </w:r>
          </w:p>
        </w:tc>
        <w:tc>
          <w:tcPr>
            <w:tcW w:w="60" w:type="dxa"/>
            <w:vAlign w:val="bottom"/>
          </w:tcPr>
          <w:p>
            <w:pPr>
              <w:spacing w:after="0"/>
              <w:rPr>
                <w:sz w:val="20"/>
                <w:szCs w:val="20"/>
                <w:color w:val="auto"/>
              </w:rPr>
            </w:pPr>
          </w:p>
        </w:tc>
      </w:tr>
      <w:tr>
        <w:trPr>
          <w:trHeight w:val="24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 to 3 years</w:t>
            </w:r>
          </w:p>
        </w:tc>
        <w:tc>
          <w:tcPr>
            <w:tcW w:w="1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55,828</w:t>
            </w:r>
          </w:p>
        </w:tc>
        <w:tc>
          <w:tcPr>
            <w:tcW w:w="60" w:type="dxa"/>
            <w:vAlign w:val="bottom"/>
            <w:shd w:val="clear" w:color="auto" w:fill="CFF0FC"/>
          </w:tcPr>
          <w:p>
            <w:pPr>
              <w:spacing w:after="0"/>
              <w:rPr>
                <w:sz w:val="21"/>
                <w:szCs w:val="21"/>
                <w:color w:val="auto"/>
              </w:rPr>
            </w:pPr>
          </w:p>
        </w:tc>
      </w:tr>
      <w:tr>
        <w:trPr>
          <w:trHeight w:val="236"/>
        </w:trPr>
        <w:tc>
          <w:tcPr>
            <w:tcW w:w="53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416,134</w:t>
            </w:r>
          </w:p>
        </w:tc>
        <w:tc>
          <w:tcPr>
            <w:tcW w:w="60" w:type="dxa"/>
            <w:vAlign w:val="bottom"/>
          </w:tcPr>
          <w:p>
            <w:pPr>
              <w:spacing w:after="0"/>
              <w:rPr>
                <w:sz w:val="20"/>
                <w:szCs w:val="20"/>
                <w:color w:val="auto"/>
              </w:rPr>
            </w:pP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3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$19,116 as of December 31, 2023. The Company has limited its credit risk by entering into derivative transactions exclusively with investment-grade rated financial institutions and monitors the creditworthiness of these financial institutions on an ongoing basis.</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classifies cash flows from its derivative transactions as cash flows from operating activities in the consolidated statements of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200" w:lineRule="exact"/>
        <w:rPr>
          <w:sz w:val="20"/>
          <w:szCs w:val="20"/>
          <w:color w:val="auto"/>
        </w:rPr>
      </w:pPr>
    </w:p>
    <w:p>
      <w:pPr>
        <w:spacing w:after="0" w:line="37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table below presents the total volume or notional amounts of the Company’s derivative instruments as of December 31, 2023. Notional values are in U.S. dollars and are translated and calculated based on forward rates as of December 31, 2023 for forward contracts.</w:t>
      </w:r>
    </w:p>
    <w:p>
      <w:pPr>
        <w:spacing w:after="0" w:line="169"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4"/>
          <w:szCs w:val="14"/>
          <w:b w:val="1"/>
          <w:bCs w:val="1"/>
          <w:color w:val="auto"/>
        </w:rPr>
        <w:t>Notional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16510</wp:posOffset>
            </wp:positionV>
            <wp:extent cx="11912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4" w:lineRule="exact"/>
        <w:rPr>
          <w:sz w:val="20"/>
          <w:szCs w:val="20"/>
          <w:color w:val="auto"/>
        </w:rPr>
      </w:pPr>
    </w:p>
    <w:p>
      <w:pPr>
        <w:ind w:left="20"/>
        <w:spacing w:after="0"/>
        <w:tabs>
          <w:tab w:leader="none" w:pos="9240" w:val="left"/>
          <w:tab w:leader="none" w:pos="10380" w:val="left"/>
        </w:tabs>
        <w:rPr>
          <w:sz w:val="20"/>
          <w:szCs w:val="20"/>
          <w:color w:val="auto"/>
        </w:rPr>
      </w:pPr>
      <w:r>
        <w:rPr>
          <w:rFonts w:ascii="Times New Roman" w:cs="Times New Roman" w:eastAsia="Times New Roman" w:hAnsi="Times New Roman"/>
          <w:sz w:val="18"/>
          <w:szCs w:val="18"/>
          <w:color w:val="auto"/>
        </w:rPr>
        <w:t>Foreign exchange contracts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2,222,280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9512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92" w:lineRule="exact"/>
        <w:rPr>
          <w:sz w:val="20"/>
          <w:szCs w:val="20"/>
          <w:color w:val="auto"/>
        </w:rPr>
      </w:pPr>
    </w:p>
    <w:p>
      <w:pPr>
        <w:ind w:left="340" w:right="20" w:hanging="332"/>
        <w:spacing w:after="0" w:line="282" w:lineRule="auto"/>
        <w:tabs>
          <w:tab w:leader="none" w:pos="16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notional amounts do not quantify risk or represent assets or liabilities of the Company but are used in the calculation of settlements under the contracts.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records all derivative instruments on the consolidated balance sheets at fair value. For further information, please see Note 6 to the consolidated financial statements. The fair value of the open foreign exchange contracts recorded as an asset or a liability by the Company on its consolidated balance sheets as of December 31, 2023 and September 30, 2023, is as follows: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6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right"/>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1"/>
                <w:szCs w:val="11"/>
                <w:color w:val="auto"/>
              </w:rPr>
            </w:pPr>
          </w:p>
        </w:tc>
        <w:tc>
          <w:tcPr>
            <w:tcW w:w="1220" w:type="dxa"/>
            <w:vAlign w:val="bottom"/>
          </w:tcPr>
          <w:p>
            <w:pPr>
              <w:jc w:val="right"/>
              <w:ind w:right="173"/>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r>
      <w:tr>
        <w:trPr>
          <w:trHeight w:val="187"/>
        </w:trPr>
        <w:tc>
          <w:tcPr>
            <w:tcW w:w="6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(11,169 )</w:t>
            </w:r>
          </w:p>
        </w:tc>
        <w:tc>
          <w:tcPr>
            <w:tcW w:w="1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(32,295 )</w:t>
            </w:r>
          </w:p>
        </w:tc>
      </w:tr>
      <w:tr>
        <w:trPr>
          <w:trHeight w:val="243"/>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(527 )</w:t>
            </w: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(7,050 )</w:t>
            </w:r>
          </w:p>
        </w:tc>
      </w:tr>
      <w:tr>
        <w:trPr>
          <w:trHeight w:val="20"/>
        </w:trPr>
        <w:tc>
          <w:tcPr>
            <w:tcW w:w="69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(38,046 )</w:t>
            </w: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w:t>
            </w:r>
          </w:p>
        </w:tc>
        <w:tc>
          <w:tcPr>
            <w:tcW w:w="100" w:type="dxa"/>
            <w:vAlign w:val="bottom"/>
          </w:tcPr>
          <w:p>
            <w:pPr>
              <w:spacing w:after="0"/>
              <w:rPr>
                <w:sz w:val="20"/>
                <w:szCs w:val="20"/>
                <w:color w:val="auto"/>
              </w:rPr>
            </w:pPr>
          </w:p>
        </w:tc>
      </w:tr>
      <w:tr>
        <w:trPr>
          <w:trHeight w:val="243"/>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(13,836 )</w:t>
            </w: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(9,372 )</w:t>
            </w:r>
          </w:p>
        </w:tc>
      </w:tr>
      <w:tr>
        <w:trPr>
          <w:trHeight w:val="236"/>
        </w:trPr>
        <w:tc>
          <w:tcPr>
            <w:tcW w:w="69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Borders>
              <w:top w:val="single" w:sz="8" w:color="CFF0FC"/>
            </w:tcBorders>
          </w:tcPr>
          <w:p>
            <w:pPr>
              <w:spacing w:after="0"/>
              <w:rPr>
                <w:sz w:val="20"/>
                <w:szCs w:val="20"/>
                <w:color w:val="auto"/>
              </w:rPr>
            </w:pPr>
          </w:p>
        </w:tc>
      </w:tr>
      <w:tr>
        <w:trPr>
          <w:trHeight w:val="25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fair value</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10,036</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(36,832 )</w:t>
            </w: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-976630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-976630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-350520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-350520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0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contracts outstanding as of December 31, 2023 is scheduled to mature within the next 12 months.</w:t>
      </w:r>
    </w:p>
    <w:p>
      <w:pPr>
        <w:spacing w:after="0" w:line="14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effective portion of the gain or loss on the derivative instruments is initially recorded as a component of other comprehensive income, net, a separate component of equity, and subsequently reclassified into earnings in the same line item as the related forecasted transaction and in the same period or periods during which the hedged exposure affects earnings. The cash flow hedges are evaluated for effectiveness quarterly. As the critical terms of the forward contract or option and the hedged transaction are matched at inception, the hedge effectiveness is assessed generally based on changes in the fair value for cash flow hedges, as compared to the changes in the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of the cash flows associated with the underlying hedged transactions. Hedge ineffectiveness, if any, is recognized immediately in interest and other expense, net.</w:t>
      </w:r>
    </w:p>
    <w:p>
      <w:pPr>
        <w:spacing w:after="0" w:line="13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effect of the Company's cash flow hedging instruments in the consolidated statements of income for the three months ended December 31, 2023 and 2022, respectively, which partially offsets the foreign currency impact from the underlying exposures, is summarized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80" w:type="dxa"/>
            <w:vAlign w:val="bottom"/>
            <w:gridSpan w:val="3"/>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Losses Reclassified from</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9"/>
        </w:trPr>
        <w:tc>
          <w:tcPr>
            <w:tcW w:w="7720" w:type="dxa"/>
            <w:vAlign w:val="bottom"/>
          </w:tcPr>
          <w:p>
            <w:pPr>
              <w:spacing w:after="0"/>
              <w:rPr>
                <w:sz w:val="12"/>
                <w:szCs w:val="12"/>
                <w:color w:val="auto"/>
              </w:rPr>
            </w:pPr>
          </w:p>
        </w:tc>
        <w:tc>
          <w:tcPr>
            <w:tcW w:w="3520" w:type="dxa"/>
            <w:vAlign w:val="bottom"/>
            <w:gridSpan w:val="6"/>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 Comprehensive Loss (Effective</w:t>
            </w:r>
          </w:p>
        </w:tc>
      </w:tr>
      <w:tr>
        <w:trPr>
          <w:trHeight w:val="175"/>
        </w:trPr>
        <w:tc>
          <w:tcPr>
            <w:tcW w:w="7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80" w:type="dxa"/>
            <w:vAlign w:val="bottom"/>
            <w:gridSpan w:val="3"/>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720" w:type="dxa"/>
            <w:vAlign w:val="bottom"/>
          </w:tcPr>
          <w:p>
            <w:pPr>
              <w:spacing w:after="0"/>
              <w:rPr>
                <w:sz w:val="16"/>
                <w:szCs w:val="16"/>
                <w:color w:val="auto"/>
              </w:rPr>
            </w:pPr>
          </w:p>
        </w:tc>
        <w:tc>
          <w:tcPr>
            <w:tcW w:w="2820" w:type="dxa"/>
            <w:vAlign w:val="bottom"/>
            <w:tcBorders>
              <w:bottom w:val="single" w:sz="8" w:color="auto"/>
            </w:tcBorders>
            <w:gridSpan w:val="4"/>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Line item in consolidated statements of income:</w:t>
            </w: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940" w:type="dxa"/>
            <w:vAlign w:val="bottom"/>
          </w:tcPr>
          <w:p>
            <w:pPr>
              <w:jc w:val="right"/>
              <w:ind w:right="74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80" w:type="dxa"/>
            <w:vAlign w:val="bottom"/>
          </w:tcPr>
          <w:p>
            <w:pPr>
              <w:spacing w:after="0"/>
              <w:rPr>
                <w:sz w:val="20"/>
                <w:szCs w:val="20"/>
                <w:color w:val="auto"/>
              </w:rPr>
            </w:pP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9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(6,130 )</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(7,212 )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(2,040 )</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(2,007 )</w:t>
            </w: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(2,096 )</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(1,965 )</w:t>
            </w:r>
          </w:p>
        </w:tc>
      </w:tr>
      <w:tr>
        <w:trPr>
          <w:trHeight w:val="20"/>
        </w:trPr>
        <w:tc>
          <w:tcPr>
            <w:tcW w:w="77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Pr>
          <w:p>
            <w:pPr>
              <w:jc w:val="right"/>
              <w:ind w:right="74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(9,911 )</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(10,369 )</w:t>
            </w:r>
          </w:p>
        </w:tc>
      </w:tr>
      <w:tr>
        <w:trPr>
          <w:trHeight w:val="20"/>
        </w:trPr>
        <w:tc>
          <w:tcPr>
            <w:tcW w:w="7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activity related to the changes in net unrealized gains (losses) on cash flow hedges recorded in accumulated other comprehensive loss, net of tax,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unrealized losses on cash flow hedges, net of tax, beginning of period</w:t>
            </w:r>
          </w:p>
        </w:tc>
        <w:tc>
          <w:tcPr>
            <w:tcW w:w="98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6"/>
              </w:rPr>
              <w:t>(34,677 )</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(46,580 )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of cash flow hedges, net of tax</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32,854</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Reclassification of net losses into earnings, net of tax</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cash flow hedges, net of tax, end of period</w:t>
            </w:r>
          </w:p>
        </w:tc>
        <w:tc>
          <w:tcPr>
            <w:tcW w:w="98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7,469</w:t>
            </w:r>
          </w:p>
        </w:tc>
        <w:tc>
          <w:tcPr>
            <w:tcW w:w="280" w:type="dxa"/>
            <w:vAlign w:val="bottom"/>
          </w:tcPr>
          <w:p>
            <w:pPr>
              <w:spacing w:after="0"/>
              <w:rPr>
                <w:sz w:val="20"/>
                <w:szCs w:val="20"/>
                <w:color w:val="auto"/>
              </w:rPr>
            </w:pP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(35,387 )</w:t>
            </w: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gains from cash flow hedges recognized in other comprehensive income, net were $35,060 and $1,387, or $32,854 and $1,367 net of taxes, during the three months ended December 31, 2023 and 2022, respectively.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Of the net unrealized gains related to derivatives designated as cash flow hedges and recorded in accumulated other comprehensive loss as of December 31, 2023, a net loss of $8,359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3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ineffective portion of the change in fair value of a cash flow hedge, including the time value portion excluded from effectiveness testing for the three months ended December 31, 2023 and 2022, was not material.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Risk Management Derivatives</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These instruments are generally short-term in nature, with typical maturities of less than 12 months, and are subject to fluctuations in foreign exchange rates.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The effect of the Company's derivative instruments not designated as hedging instruments in the consolidated statements of income for the three months ended December 31, 2023 and 2022, respectively, which partially offsets the foreign currency impact from the underlying exposure, is summarized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82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Losses Recognized in Income</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720" w:type="dxa"/>
            <w:vAlign w:val="bottom"/>
          </w:tcPr>
          <w:p>
            <w:pPr>
              <w:spacing w:after="0"/>
              <w:rPr>
                <w:sz w:val="16"/>
                <w:szCs w:val="16"/>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Line item in consolidated statements of income:</w:t>
            </w:r>
          </w:p>
        </w:tc>
        <w:tc>
          <w:tcPr>
            <w:tcW w:w="10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1020" w:type="dxa"/>
            <w:vAlign w:val="bottom"/>
          </w:tcPr>
          <w:p>
            <w:pPr>
              <w:jc w:val="right"/>
              <w:ind w:right="82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280" w:type="dxa"/>
            <w:vAlign w:val="bottom"/>
          </w:tcPr>
          <w:p>
            <w:pPr>
              <w:spacing w:after="0"/>
              <w:rPr>
                <w:sz w:val="20"/>
                <w:szCs w:val="20"/>
                <w:color w:val="auto"/>
              </w:rPr>
            </w:pP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0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(6,134 )</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(11,408 )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10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(617 )</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(204 )</w:t>
            </w:r>
          </w:p>
        </w:tc>
      </w:tr>
      <w:tr>
        <w:trPr>
          <w:trHeight w:val="20"/>
        </w:trPr>
        <w:tc>
          <w:tcPr>
            <w:tcW w:w="77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shd w:val="clear" w:color="auto" w:fill="CFF0FC"/>
          </w:tcPr>
          <w:p>
            <w:pPr>
              <w:jc w:val="right"/>
              <w:ind w:right="82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(2,022 )</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(9,946 )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02"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150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gridSpan w:val="3"/>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c>
          <w:tcPr>
            <w:tcW w:w="1340" w:type="dxa"/>
            <w:vAlign w:val="bottom"/>
          </w:tcPr>
          <w:p>
            <w:pPr>
              <w:jc w:val="right"/>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r>
      <w:tr>
        <w:trPr>
          <w:trHeight w:val="187"/>
        </w:trPr>
        <w:tc>
          <w:tcPr>
            <w:tcW w:w="150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Ongoing accrued expenses (1)</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361,315</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277,037</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Project-related provisions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55,569</w:t>
            </w:r>
          </w:p>
        </w:tc>
        <w:tc>
          <w:tcPr>
            <w:tcW w:w="100" w:type="dxa"/>
            <w:vAlign w:val="bottom"/>
          </w:tcPr>
          <w:p>
            <w:pPr>
              <w:spacing w:after="0"/>
              <w:rPr>
                <w:sz w:val="20"/>
                <w:szCs w:val="20"/>
                <w:color w:val="auto"/>
              </w:rPr>
            </w:pPr>
          </w:p>
        </w:tc>
      </w:tr>
      <w:tr>
        <w:trPr>
          <w:trHeight w:val="247"/>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50,683</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51,053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Taxes payable (2)</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78,424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47,470</w:t>
            </w:r>
          </w:p>
        </w:tc>
        <w:tc>
          <w:tcPr>
            <w:tcW w:w="100" w:type="dxa"/>
            <w:vAlign w:val="bottom"/>
          </w:tcPr>
          <w:p>
            <w:pPr>
              <w:spacing w:after="0"/>
              <w:rPr>
                <w:sz w:val="20"/>
                <w:szCs w:val="20"/>
                <w:color w:val="auto"/>
              </w:rPr>
            </w:pPr>
          </w:p>
        </w:tc>
      </w:tr>
      <w:tr>
        <w:trPr>
          <w:trHeight w:val="247"/>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25,005</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41,667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(1)</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181,769</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161,946</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749,882</w:t>
            </w:r>
          </w:p>
        </w:tc>
        <w:tc>
          <w:tcPr>
            <w:tcW w:w="2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634,742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06"/>
        </w:trPr>
        <w:tc>
          <w:tcPr>
            <w:tcW w:w="1500" w:type="dxa"/>
            <w:vAlign w:val="bottom"/>
            <w:tcBorders>
              <w:bottom w:val="single" w:sz="8" w:color="auto"/>
            </w:tcBorders>
          </w:tcPr>
          <w:p>
            <w:pPr>
              <w:spacing w:after="0"/>
              <w:rPr>
                <w:sz w:val="9"/>
                <w:szCs w:val="9"/>
                <w:color w:val="auto"/>
              </w:rPr>
            </w:pPr>
          </w:p>
        </w:tc>
        <w:tc>
          <w:tcPr>
            <w:tcW w:w="6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-110490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amounts were reclassified from "other" to "ongoing accrued expenses" to conform the prior period to the current year presentation.</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further details, please see Note 11 to the consolidated financial statements.</w:t>
      </w:r>
    </w:p>
    <w:p>
      <w:pPr>
        <w:spacing w:after="0" w:line="162"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charges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As of December 31, 2022, the Company incurred restructuring charges of </w:t>
      </w:r>
      <w:r>
        <w:rPr>
          <w:rFonts w:ascii="Times New Roman" w:cs="Times New Roman" w:eastAsia="Times New Roman" w:hAnsi="Times New Roman"/>
          <w:sz w:val="18"/>
          <w:szCs w:val="18"/>
          <w:color w:val="404040"/>
        </w:rPr>
        <w:t>$24,536</w:t>
      </w:r>
      <w:r>
        <w:rPr>
          <w:rFonts w:ascii="Times New Roman" w:cs="Times New Roman" w:eastAsia="Times New Roman" w:hAnsi="Times New Roman"/>
          <w:sz w:val="18"/>
          <w:szCs w:val="18"/>
          <w:color w:val="auto"/>
        </w:rPr>
        <w:t>, primarily associated with alignment of the Company’s workforce around its global site strategy, as well as the optimization of the Company’s hybrid work mod</w:t>
      </w:r>
      <w:r>
        <w:rPr>
          <w:rFonts w:ascii="Times New Roman" w:cs="Times New Roman" w:eastAsia="Times New Roman" w:hAnsi="Times New Roman"/>
          <w:sz w:val="18"/>
          <w:szCs w:val="18"/>
          <w:color w:val="404040"/>
        </w:rPr>
        <w:t>el. T</w:t>
      </w:r>
      <w:r>
        <w:rPr>
          <w:rFonts w:ascii="Times New Roman" w:cs="Times New Roman" w:eastAsia="Times New Roman" w:hAnsi="Times New Roman"/>
          <w:sz w:val="18"/>
          <w:szCs w:val="18"/>
          <w:color w:val="auto"/>
        </w:rPr>
        <w:t>hese charges were paid or adjusted as of September 30, 2023. On August 2, 2023, the Company announced it is taking proactive and appropriate measures to optimize expenditures and resource allocation in response to the prevailing level of economic uncertainty and industry pressure. These measures include, among others, a workforce reduction aligned with the Company’s global site strategy and work model. During the fourth quarter of fiscal year 2023, the Company incurred restructuring charges of $46,365, primarily associated with employees' severance expenses and exit charges associated with office space reductions. As of December 31, 2023, the majority of charges were paid. The Company expects to pay the vast majority of the remaining amount in fiscal year 2024.</w:t>
      </w:r>
    </w:p>
    <w:p>
      <w:pPr>
        <w:spacing w:after="0" w:line="158"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 for income tax expense for the following periods consisted of:</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0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32,517</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32,212</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0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(6,683 )</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(16,973 )</w:t>
            </w: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tcBorders>
              <w:top w:val="single" w:sz="8" w:color="auto"/>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25,834</w:t>
            </w:r>
          </w:p>
        </w:tc>
        <w:tc>
          <w:tcPr>
            <w:tcW w:w="2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5" w:name="page16"/>
    <w:bookmarkEnd w:id="15"/>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effective income tax rate varied from the statutory Guernsey tax rate as follows for the following periods:</w:t>
      </w:r>
    </w:p>
    <w:p>
      <w:pPr>
        <w:spacing w:after="0" w:line="232"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r>
      <w:tr>
        <w:trPr>
          <w:trHeight w:val="228"/>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Statutory Guernsey tax rate</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45"/>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taxes (1)</w:t>
            </w:r>
          </w:p>
        </w:tc>
        <w:tc>
          <w:tcPr>
            <w:tcW w:w="1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21"/>
                <w:szCs w:val="21"/>
                <w:color w:val="auto"/>
              </w:rPr>
            </w:pPr>
          </w:p>
        </w:tc>
      </w:tr>
      <w:tr>
        <w:trPr>
          <w:trHeight w:val="239"/>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0"/>
        </w:trPr>
        <w:tc>
          <w:tcPr>
            <w:tcW w:w="7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a Guernsey company subject to a corporate tax rate of zero percent, the Company's overall effective tax rate is attributable to foreign taxes. The change in rate is primarily driven by discrete items in the respective period presented as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9512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27"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Foreign taxes for the three months ended December 31, 2023:</w:t>
      </w:r>
    </w:p>
    <w:p>
      <w:pPr>
        <w:spacing w:after="0" w:line="229"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Foreign taxes in the three months ended December 31, 2023 included a benefit of $54,667 relating primarily to release of gross unrecognized tax benefits due to settlements of tax audits, and expiration of the periods set forth in statutes of limitations in certain jurisdictions. The majority of the release was offset by an increase in taxes payable and tax payments, and, as a result, a net benefit of $20,880 was included within income tax expense for the period.</w:t>
      </w:r>
    </w:p>
    <w:p>
      <w:pPr>
        <w:spacing w:after="0" w:line="392"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Foreign taxes for the three months ended December 31, 2022:</w:t>
      </w:r>
    </w:p>
    <w:p>
      <w:pPr>
        <w:spacing w:after="0" w:line="229" w:lineRule="exact"/>
        <w:rPr>
          <w:sz w:val="20"/>
          <w:szCs w:val="20"/>
          <w:color w:val="auto"/>
        </w:rPr>
      </w:pPr>
    </w:p>
    <w:p>
      <w:pPr>
        <w:jc w:val="both"/>
        <w:ind w:right="80" w:firstLine="509"/>
        <w:spacing w:after="0" w:line="282" w:lineRule="auto"/>
        <w:rPr>
          <w:sz w:val="20"/>
          <w:szCs w:val="20"/>
          <w:color w:val="auto"/>
        </w:rPr>
      </w:pPr>
      <w:r>
        <w:rPr>
          <w:rFonts w:ascii="Times New Roman" w:cs="Times New Roman" w:eastAsia="Times New Roman" w:hAnsi="Times New Roman"/>
          <w:sz w:val="18"/>
          <w:szCs w:val="18"/>
          <w:color w:val="auto"/>
        </w:rPr>
        <w:t>Foreign taxes in the three months ended December 31, 2022 included a recognition of tax benefit of $8,566 resulting from internal structural changes in certain jurisdictions in which the Company operates.</w:t>
      </w:r>
    </w:p>
    <w:p>
      <w:pPr>
        <w:spacing w:after="0" w:line="162" w:lineRule="exact"/>
        <w:rPr>
          <w:sz w:val="20"/>
          <w:szCs w:val="20"/>
          <w:color w:val="auto"/>
        </w:rPr>
      </w:pPr>
    </w:p>
    <w:p>
      <w:pPr>
        <w:jc w:val="both"/>
        <w:ind w:right="80" w:firstLine="509"/>
        <w:spacing w:after="0" w:line="282" w:lineRule="auto"/>
        <w:rPr>
          <w:sz w:val="20"/>
          <w:szCs w:val="20"/>
          <w:color w:val="auto"/>
        </w:rPr>
      </w:pPr>
      <w:r>
        <w:rPr>
          <w:rFonts w:ascii="Times New Roman" w:cs="Times New Roman" w:eastAsia="Times New Roman" w:hAnsi="Times New Roman"/>
          <w:sz w:val="18"/>
          <w:szCs w:val="18"/>
          <w:color w:val="auto"/>
        </w:rPr>
        <w:t>Foreign taxes in the three months ended December 31, 2022 also included a benefit of $3,747 relating to release of gross unrecognized tax benefits due to settlements of tax audits and expiration of the periods set forth in statutes of limitations in certain jurisdictions.</w:t>
      </w:r>
    </w:p>
    <w:p>
      <w:pPr>
        <w:spacing w:after="0" w:line="162" w:lineRule="exact"/>
        <w:rPr>
          <w:sz w:val="20"/>
          <w:szCs w:val="20"/>
          <w:color w:val="auto"/>
        </w:rPr>
      </w:pPr>
    </w:p>
    <w:p>
      <w:pPr>
        <w:jc w:val="both"/>
        <w:ind w:right="80" w:firstLine="509"/>
        <w:spacing w:after="0" w:line="282" w:lineRule="auto"/>
        <w:rPr>
          <w:sz w:val="20"/>
          <w:szCs w:val="20"/>
          <w:color w:val="auto"/>
        </w:rPr>
      </w:pPr>
      <w:r>
        <w:rPr>
          <w:rFonts w:ascii="Times New Roman" w:cs="Times New Roman" w:eastAsia="Times New Roman" w:hAnsi="Times New Roman"/>
          <w:sz w:val="18"/>
          <w:szCs w:val="18"/>
          <w:color w:val="auto"/>
        </w:rPr>
        <w:t>Foreign taxes in the three months ended December 31, 2022 also included a benefit of $3,666 relating to changes in tax regulations in certain jurisdictions.</w:t>
      </w:r>
    </w:p>
    <w:p>
      <w:pPr>
        <w:spacing w:after="0" w:line="162"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As previously disclosed in the Company’s Annual Report on Form 20-F for fiscal year 2022, our primary Israeli subsidiary has elected, during fiscal year 2022, to pay the reduced corporate tax on all of its “previously exempt earnings” based on a temporary order of the Israeli budget law. Following this election, payment of this tax, was made during the three months ended December 31, 2022. The impact of this election on income taxes was already reflected in prior periods.</w:t>
      </w:r>
    </w:p>
    <w:p>
      <w:pPr>
        <w:spacing w:after="0" w:line="396"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deferred tax assets of $69,305, derived primarily from tax credits, net capital and operating loss carry forwards related to some of the Company's subsidiaries, were offset by valuation allowances due to the uncertainty of realizing tax benefit for such credits and losses.</w:t>
      </w:r>
    </w:p>
    <w:p>
      <w:pPr>
        <w:spacing w:after="0" w:line="162"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The total amount of gross unrecognized tax benefits, which includes interest and penalties, was $154,276 as of December 31, 2023, all of which would affect the effective tax rate if realized.</w:t>
      </w:r>
    </w:p>
    <w:p>
      <w:pPr>
        <w:spacing w:after="0" w:line="162" w:lineRule="exact"/>
        <w:rPr>
          <w:sz w:val="20"/>
          <w:szCs w:val="20"/>
          <w:color w:val="auto"/>
        </w:rPr>
      </w:pPr>
    </w:p>
    <w:p>
      <w:pPr>
        <w:jc w:val="both"/>
        <w:ind w:right="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accrued $25,854 in income taxes payable for interest and penalties relating to unrecognized tax benefits.</w:t>
      </w:r>
    </w:p>
    <w:p>
      <w:pPr>
        <w:spacing w:after="0" w:line="16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is currently under tax audit in several jurisdictions for the tax years 2007 and onwards. Timing of the resolution of audits is highly uncertain and therefore, as of December 31, 2023, the Company cannot estimate the change in unrecognized tax benefits resulting from these audits within the next 12 months.</w:t>
      </w:r>
    </w:p>
    <w:p>
      <w:pPr>
        <w:spacing w:after="0" w:line="3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2"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02"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23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96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147,965</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attributable to Amdocs Limited and dividends</w:t>
            </w:r>
          </w:p>
        </w:tc>
        <w:tc>
          <w:tcPr>
            <w:tcW w:w="960" w:type="dxa"/>
            <w:vAlign w:val="bottom"/>
            <w:shd w:val="clear" w:color="auto" w:fill="CFF0FC"/>
          </w:tcPr>
          <w:p>
            <w:pPr>
              <w:spacing w:after="0"/>
              <w:rPr>
                <w:sz w:val="18"/>
                <w:szCs w:val="18"/>
                <w:color w:val="auto"/>
              </w:rPr>
            </w:pPr>
          </w:p>
        </w:tc>
        <w:tc>
          <w:tcPr>
            <w:tcW w:w="9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(2,679 )</w:t>
            </w:r>
          </w:p>
        </w:tc>
        <w:tc>
          <w:tcPr>
            <w:tcW w:w="360" w:type="dxa"/>
            <w:vAlign w:val="bottom"/>
            <w:shd w:val="clear" w:color="auto" w:fill="CFF0FC"/>
          </w:tcPr>
          <w:p>
            <w:pPr>
              <w:spacing w:after="0"/>
              <w:rPr>
                <w:sz w:val="18"/>
                <w:szCs w:val="18"/>
                <w:color w:val="auto"/>
              </w:rPr>
            </w:pPr>
          </w:p>
        </w:tc>
        <w:tc>
          <w:tcPr>
            <w:tcW w:w="13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(2,014 )</w:t>
            </w: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attributable to participating restricted stock</w:t>
            </w:r>
          </w:p>
        </w:tc>
        <w:tc>
          <w:tcPr>
            <w:tcW w:w="960" w:type="dxa"/>
            <w:vAlign w:val="bottom"/>
            <w:shd w:val="clear" w:color="auto" w:fill="CFF0FC"/>
          </w:tcPr>
          <w:p>
            <w:pPr>
              <w:spacing w:after="0"/>
              <w:rPr>
                <w:sz w:val="20"/>
                <w:szCs w:val="20"/>
                <w:color w:val="auto"/>
              </w:rPr>
            </w:pPr>
          </w:p>
        </w:tc>
        <w:tc>
          <w:tcPr>
            <w:tcW w:w="900" w:type="dxa"/>
            <w:vAlign w:val="bottom"/>
            <w:gridSpan w:val="2"/>
            <w:vMerge w:val="continue"/>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7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Numerator for basic earnings per common share</w:t>
            </w:r>
          </w:p>
        </w:tc>
        <w:tc>
          <w:tcPr>
            <w:tcW w:w="96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145,286</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127,653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Undistributed income allocated to participating restricted stock</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Undistributed income reallocated to participating restricted stock</w:t>
            </w:r>
          </w:p>
        </w:tc>
        <w:tc>
          <w:tcPr>
            <w:tcW w:w="9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(1,748 )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(1,265 )</w:t>
            </w:r>
          </w:p>
        </w:tc>
        <w:tc>
          <w:tcPr>
            <w:tcW w:w="0" w:type="dxa"/>
            <w:vAlign w:val="bottom"/>
          </w:tcPr>
          <w:p>
            <w:pPr>
              <w:spacing w:after="0"/>
              <w:rPr>
                <w:sz w:val="1"/>
                <w:szCs w:val="1"/>
                <w:color w:val="auto"/>
              </w:rPr>
            </w:pPr>
          </w:p>
        </w:tc>
      </w:tr>
      <w:tr>
        <w:trPr>
          <w:trHeight w:val="27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Numerator for diluted earnings per common share</w:t>
            </w:r>
          </w:p>
        </w:tc>
        <w:tc>
          <w:tcPr>
            <w:tcW w:w="960" w:type="dxa"/>
            <w:vAlign w:val="bottom"/>
            <w:tcBorders>
              <w:top w:val="single" w:sz="8" w:color="auto"/>
              <w:bottom w:val="single" w:sz="8" w:color="auto"/>
            </w:tcBorders>
            <w:shd w:val="clear" w:color="auto" w:fill="CFF0FC"/>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145,297</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127,662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116,841</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number of participating restricted stock</w:t>
            </w:r>
          </w:p>
        </w:tc>
        <w:tc>
          <w:tcPr>
            <w:tcW w:w="9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(2,115 )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(1,874 )</w:t>
            </w:r>
          </w:p>
        </w:tc>
        <w:tc>
          <w:tcPr>
            <w:tcW w:w="0" w:type="dxa"/>
            <w:vAlign w:val="bottom"/>
          </w:tcPr>
          <w:p>
            <w:pPr>
              <w:spacing w:after="0"/>
              <w:rPr>
                <w:sz w:val="1"/>
                <w:szCs w:val="1"/>
                <w:color w:val="auto"/>
              </w:rPr>
            </w:pPr>
          </w:p>
        </w:tc>
      </w:tr>
      <w:tr>
        <w:trPr>
          <w:trHeight w:val="27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number of common shares - basic</w:t>
            </w:r>
          </w:p>
        </w:tc>
        <w:tc>
          <w:tcPr>
            <w:tcW w:w="960" w:type="dxa"/>
            <w:vAlign w:val="bottom"/>
            <w:tcBorders>
              <w:top w:val="single" w:sz="8" w:color="auto"/>
              <w:bottom w:val="single" w:sz="8" w:color="auto"/>
            </w:tcBorders>
            <w:shd w:val="clear" w:color="auto" w:fill="CFF0FC"/>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114,726</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118,778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dilutive equity-based compensation awards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number of common shares - diluted</w:t>
            </w:r>
          </w:p>
        </w:tc>
        <w:tc>
          <w:tcPr>
            <w:tcW w:w="960" w:type="dxa"/>
            <w:vAlign w:val="bottom"/>
            <w:tcBorders>
              <w:bottom w:val="single" w:sz="8" w:color="auto"/>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115,421</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119,626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earnings per common share attributable to Amdocs Limited</w:t>
            </w:r>
          </w:p>
        </w:tc>
        <w:tc>
          <w:tcPr>
            <w:tcW w:w="96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 earnings per common share attributable to Amdocs Limited</w:t>
            </w:r>
          </w:p>
        </w:tc>
        <w:tc>
          <w:tcPr>
            <w:tcW w:w="960" w:type="dxa"/>
            <w:vAlign w:val="bottom"/>
            <w:tcBorders>
              <w:bottom w:val="single" w:sz="8" w:color="auto"/>
            </w:tcBorders>
            <w:shd w:val="clear" w:color="auto" w:fill="CFF0FC"/>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-2039620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-1379855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-1362075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-1379855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-728345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-710565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-385445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-367665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2023 and 2022, 21 and 12 shares, respectively, on a weighted average basis, were attributable to antidilutive outstanding equity-based compensation awards. Shares attributable to antidilutive outstanding stock equity-based compensation awards were not included in the calculation of diluted earnings per share.</w:t>
      </w:r>
    </w:p>
    <w:p>
      <w:pPr>
        <w:spacing w:after="0" w:line="131"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Repurchase of Shares</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From time to time, the Company’s Board of Directors can adopt share repurchase plans authorizing the repurchase of the Company’s outstanding ordinary shares. On May 12, 2021, the Company’s Board of Directors adopted a share repurchase plan for the repurchase of up to a $1.0 billion of the Company’s outstanding ordinary shares with no expiration date. The May 2021 plan permits the Company to purchase our ordinary shares in the open market or through privately negotiated transactions at times and prices that the Company considers appropriate. On August 2, 2023, the Company’s Board of Directors adopted a share repurchase plan for the repurchase of up to an additional $1.1 billion of the Company’s outstanding ordinary shares with no expiration date. The August 2023 plan permits the Company to purchase our ordinary shares in the open market or through privately negotiated transactions at times and prices that the Company considers appropriate. In the three months ended December 31, 2023, </w:t>
      </w:r>
      <w:r>
        <w:rPr>
          <w:rFonts w:ascii="Times New Roman" w:cs="Times New Roman" w:eastAsia="Times New Roman" w:hAnsi="Times New Roman"/>
          <w:sz w:val="18"/>
          <w:szCs w:val="18"/>
          <w:color w:val="231F20"/>
        </w:rPr>
        <w:t>the Company completed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repurchase of the remaining authorized amount of ordinary shares under the May 2021 plan and initiated repurchases of the Company’s outstanding ordinary shares pursuant to the August 2023 plan. In the three months ended December 31, 2023, </w:t>
      </w:r>
      <w:r>
        <w:rPr>
          <w:rFonts w:ascii="Times New Roman" w:cs="Times New Roman" w:eastAsia="Times New Roman" w:hAnsi="Times New Roman"/>
          <w:sz w:val="18"/>
          <w:szCs w:val="18"/>
          <w:color w:val="000000"/>
        </w:rPr>
        <w:t>the Company repurchased 1,895 ordinary shares at an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average price of $83.65 per share (excluding broker and transaction fees). As of December 31, 2023, the Company had remaining authority to repurchase up to $942,169 of its outstanding ordinary shares under the August 2023 plan.</w:t>
      </w:r>
    </w:p>
    <w:p>
      <w:pPr>
        <w:spacing w:after="0" w:line="161"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Arrangements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2011, the Company entered into an unsecured $500,000 five-year revolving credit facility with a syndicate of banks (the “Revolving Credit Facility”). In December 2014, December 2017 and March 2021, the Revolving Credit Facility was amended and restated to, among other things, extend the maturity date of the facility to December 2019, December 2022 and March 2026, respectively. As of December 31, 2023, the Company was in compliance with the financial covenants and had no outstanding borrowings under the Revolving Credit Facility.</w:t>
      </w:r>
    </w:p>
    <w:p>
      <w:pPr>
        <w:spacing w:after="0" w:line="13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June 2020, the Company issued an aggregate principal amount of $650,000 in Senior Notes that will mature in June 2030 and bear interest at a fixed rate of 2.538 percent per annum (the “Senior Notes”). The interest is payable semi-annually in June and December of each year, commencing in December 2020. The Company incurred issuance costs of $6,121 in relation with the Senior Notes, which are being amortized to interest expenses over the term of the Senior Notes using the effective interest rate. The Senior Notes are senior unsecured obligations of the Company and rank equally in right of payment with all existing and future senior indebtedness of the Company, including any indebtedness the Company may incur from time to time under the Revolving Credit Facility.</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200" w:lineRule="exact"/>
        <w:rPr>
          <w:sz w:val="20"/>
          <w:szCs w:val="20"/>
          <w:color w:val="auto"/>
        </w:rPr>
      </w:pPr>
    </w:p>
    <w:p>
      <w:pPr>
        <w:spacing w:after="0" w:line="37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total interest expense recognized in connection with the Senior Notes for the three months ended December 31, 2023 and 2022 were $4,313 and 4,309, respectively. The accrued interest on the Senior Notes is included in accrued expenses and other current liabilities and was immaterial as of December 31, 2023. </w:t>
      </w:r>
      <w:r>
        <w:rPr>
          <w:rFonts w:ascii="Times New Roman" w:cs="Times New Roman" w:eastAsia="Times New Roman" w:hAnsi="Times New Roman"/>
          <w:sz w:val="18"/>
          <w:szCs w:val="18"/>
          <w:color w:val="231F20"/>
        </w:rPr>
        <w:t>As of December 31, 2023, the noncurrent outstanding principal</w:t>
      </w:r>
      <w:r>
        <w:rPr>
          <w:rFonts w:ascii="Times New Roman" w:cs="Times New Roman" w:eastAsia="Times New Roman" w:hAnsi="Times New Roman"/>
          <w:sz w:val="18"/>
          <w:szCs w:val="18"/>
          <w:color w:val="auto"/>
        </w:rPr>
        <w:t xml:space="preserve"> portion was $650,000.</w:t>
      </w:r>
    </w:p>
    <w:p>
      <w:pPr>
        <w:spacing w:after="0" w:line="13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total estimated fair value of the Senior Notes as of December 31, 2023 was $562,016. The fair value was determined based on observable data, such as quoted prices for similar liabilities in active markets of Senior Notes as of December 31, 2023 and is deemed a Level 2 liability within the fair value measurement framework.</w:t>
      </w:r>
    </w:p>
    <w:p>
      <w:pPr>
        <w:spacing w:after="0" w:line="13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additional uncommitted lines of credit available for general corporate and other specific purposes and had outstanding letters of credit and bank guarantees from various banks totaling $95,366. These were supported by a combination of the uncommitted lines of credit that the Company maintains with various banks.</w:t>
      </w:r>
    </w:p>
    <w:p>
      <w:pPr>
        <w:spacing w:after="0" w:line="145" w:lineRule="exact"/>
        <w:rPr>
          <w:sz w:val="20"/>
          <w:szCs w:val="20"/>
          <w:color w:val="auto"/>
        </w:rPr>
      </w:pPr>
    </w:p>
    <w:p>
      <w:pPr>
        <w:ind w:left="520" w:right="8540" w:hanging="512"/>
        <w:spacing w:after="0" w:line="456" w:lineRule="auto"/>
        <w:tabs>
          <w:tab w:leader="none" w:pos="5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Equity-based Compensation </w:t>
      </w:r>
      <w:r>
        <w:rPr>
          <w:rFonts w:ascii="Times New Roman" w:cs="Times New Roman" w:eastAsia="Times New Roman" w:hAnsi="Times New Roman"/>
          <w:sz w:val="18"/>
          <w:szCs w:val="18"/>
          <w:b w:val="1"/>
          <w:bCs w:val="1"/>
          <w:i w:val="1"/>
          <w:iCs w:val="1"/>
          <w:color w:val="auto"/>
        </w:rPr>
        <w:t>Equity Incentive Plan</w:t>
      </w: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January 1998, the Company adopted the 1998 Stock Option and Incentive Plan (the "Equity Incentive Plan"), which provides for the grant of restricted stock awards, restricted stock units and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2020, the maximum number of ordinary shares authorized to be granted under the Equity Incentive Plan was increased from 67,550 to 70,550. In February 2024, the maximum number of ordinary shares authorized to be granted under the Equity Incentive Plan was increased from 70,550 to 73,550. The amendment to the Equity Incentive Plan and will become effective upon the filing of a Form S-8 Registration Statement with the U.S. Securities and Exchange Commission. Awards granted under the Equity Incentive Plan generally vest over a period of three to four years subject to service based conditions or a combination of service and performance-based conditions and stock options have a term of ten years. Also, in accordance with the Equity Incentive Plan, options were issued at or above the market price at the time of the grant.</w:t>
      </w:r>
    </w:p>
    <w:p>
      <w:pPr>
        <w:spacing w:after="0" w:line="16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2023, the Company granted 696 restricted stock and 39 restricted stock units. The weighted average fair values associated with these grants were $74.13 per restricted stock and $77.06 per restricted stock unit.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Purchase Plan</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November 8, 2022, the Company’s Board of Directors adopted, subject to shareholder approval, the Amdocs Limited 2023 Employee Share Purchase Plan (the “ESPP”). The ESPP was subsequently approved by our shareholders at the annual general meeting of shareholders in January 2023. The approved number of shares that may be issued under the ESPP will not exceed in the aggregate 2,400 ordinary shares. Under its terms, the ESPP became effective upon the filing of a Form S-8 Registration Statement with the U.S. Securities and Exchange Commission. On February 13, 2023, the Company filed a registration statement on Form S-8 registering the offer and sale of 2,400 ordinary shares issuable under the ESPP. As of December 31, 2023, 275 ordinary shares have been issued under the ESPP.</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the ESPP, eligible employees have the right to purchase ordinary shares at the end of each purchase period based on their accumulated payroll deductions during the purchase period of a specified percentage of eligible compensation up to 10% (subject to a limitation to accrue the right to purchase ordinary shares up to twenty-five thousand dollars in any calendar year). Each purchase period lasts six months in duration, with purchases occurring in December and June. The purchase price per ordinary share will equal the lesser of 85% of the fair market value of our ordinary shares at either the beginning of the purchase period or the end of the purchase period.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December 31, 2023, the Company issued 275 ordinary shares to employees under the ESPP at a price of $72.56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8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Equity-based payments to employees, including grants of employee stock options, restricted stock, restricted stock units and ESPP are recognized in the statements of income based on their fair values.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Employee equity-based compensation pre-tax expense for the three months ended December 31, 2023 and 2022 was as follows:</w:t>
      </w:r>
    </w:p>
    <w:p>
      <w:pPr>
        <w:spacing w:after="0" w:line="23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13,527</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8,655</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26,080</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19,490</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compensation costs for its equity incentive grants using the graded vesting attribution method. As of December 31, 2023, there was $99,648 of unrecognized compensation expense related to unvested stock options, unvested restricted stock and unvested restricted stock units which is expected to be recognized over a weighted average period of approximately one to two years, based on the vesting periods of the grants.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$3,740 of unrecognized compensation expense related to the ESPP which is expected to be recognized over the remaining purchase period.</w:t>
      </w:r>
    </w:p>
    <w:p>
      <w:pPr>
        <w:spacing w:after="0" w:line="131"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188"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Board of Directors declared the following dividends during the three months ended December 31, 2023 and 2022:</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vMerge w:val="restart"/>
          </w:tcPr>
          <w:p>
            <w:pPr>
              <w:jc w:val="center"/>
              <w:ind w:right="2616"/>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Dividends Per</w:t>
            </w:r>
          </w:p>
        </w:tc>
        <w:tc>
          <w:tcPr>
            <w:tcW w:w="280" w:type="dxa"/>
            <w:vAlign w:val="bottom"/>
          </w:tcPr>
          <w:p>
            <w:pPr>
              <w:spacing w:after="0"/>
              <w:rPr>
                <w:sz w:val="13"/>
                <w:szCs w:val="13"/>
                <w:color w:val="auto"/>
              </w:rPr>
            </w:pPr>
          </w:p>
        </w:tc>
        <w:tc>
          <w:tcPr>
            <w:tcW w:w="17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260" w:type="dxa"/>
            <w:vAlign w:val="bottom"/>
          </w:tcPr>
          <w:p>
            <w:pPr>
              <w:spacing w:after="0"/>
              <w:rPr>
                <w:sz w:val="13"/>
                <w:szCs w:val="13"/>
                <w:color w:val="auto"/>
              </w:rPr>
            </w:pPr>
          </w:p>
        </w:tc>
        <w:tc>
          <w:tcPr>
            <w:tcW w:w="17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87"/>
        </w:trPr>
        <w:tc>
          <w:tcPr>
            <w:tcW w:w="40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280" w:type="dxa"/>
            <w:vAlign w:val="bottom"/>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60" w:type="dxa"/>
            <w:vAlign w:val="bottom"/>
            <w:shd w:val="clear" w:color="auto" w:fill="CFF0FC"/>
          </w:tcPr>
          <w:p>
            <w:pPr>
              <w:jc w:val="center"/>
              <w:ind w:right="2596"/>
              <w:spacing w:after="0"/>
              <w:rPr>
                <w:sz w:val="20"/>
                <w:szCs w:val="20"/>
                <w:color w:val="auto"/>
              </w:rPr>
            </w:pPr>
            <w:r>
              <w:rPr>
                <w:rFonts w:ascii="Times New Roman" w:cs="Times New Roman" w:eastAsia="Times New Roman" w:hAnsi="Times New Roman"/>
                <w:sz w:val="18"/>
                <w:szCs w:val="18"/>
                <w:color w:val="auto"/>
                <w:w w:val="99"/>
              </w:rPr>
              <w:t>November 7, 2023</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0.435</w:t>
            </w:r>
          </w:p>
        </w:tc>
        <w:tc>
          <w:tcPr>
            <w:tcW w:w="280" w:type="dxa"/>
            <w:vAlign w:val="bottom"/>
            <w:shd w:val="clear" w:color="auto" w:fill="CFF0FC"/>
          </w:tcPr>
          <w:p>
            <w:pPr>
              <w:spacing w:after="0"/>
              <w:rPr>
                <w:sz w:val="20"/>
                <w:szCs w:val="20"/>
                <w:color w:val="auto"/>
              </w:rPr>
            </w:pP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29, 2023</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50,683</w:t>
            </w:r>
          </w:p>
        </w:tc>
        <w:tc>
          <w:tcPr>
            <w:tcW w:w="260" w:type="dxa"/>
            <w:vAlign w:val="bottom"/>
            <w:shd w:val="clear" w:color="auto" w:fill="CFF0FC"/>
          </w:tcPr>
          <w:p>
            <w:pPr>
              <w:spacing w:after="0"/>
              <w:rPr>
                <w:sz w:val="20"/>
                <w:szCs w:val="20"/>
                <w:color w:val="auto"/>
              </w:rPr>
            </w:pPr>
          </w:p>
        </w:tc>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26, 2024</w:t>
            </w:r>
          </w:p>
        </w:tc>
        <w:tc>
          <w:tcPr>
            <w:tcW w:w="0" w:type="dxa"/>
            <w:vAlign w:val="bottom"/>
          </w:tcPr>
          <w:p>
            <w:pPr>
              <w:spacing w:after="0"/>
              <w:rPr>
                <w:sz w:val="1"/>
                <w:szCs w:val="1"/>
                <w:color w:val="auto"/>
              </w:rPr>
            </w:pPr>
          </w:p>
        </w:tc>
      </w:tr>
      <w:tr>
        <w:trPr>
          <w:trHeight w:val="234"/>
        </w:trPr>
        <w:tc>
          <w:tcPr>
            <w:tcW w:w="4060" w:type="dxa"/>
            <w:vAlign w:val="bottom"/>
          </w:tcPr>
          <w:p>
            <w:pPr>
              <w:jc w:val="center"/>
              <w:ind w:right="2596"/>
              <w:spacing w:after="0"/>
              <w:rPr>
                <w:sz w:val="20"/>
                <w:szCs w:val="20"/>
                <w:color w:val="auto"/>
              </w:rPr>
            </w:pPr>
            <w:r>
              <w:rPr>
                <w:rFonts w:ascii="Times New Roman" w:cs="Times New Roman" w:eastAsia="Times New Roman" w:hAnsi="Times New Roman"/>
                <w:sz w:val="18"/>
                <w:szCs w:val="18"/>
                <w:color w:val="auto"/>
                <w:w w:val="99"/>
              </w:rPr>
              <w:t>November 8, 2022</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0.395</w:t>
            </w:r>
          </w:p>
        </w:tc>
        <w:tc>
          <w:tcPr>
            <w:tcW w:w="280" w:type="dxa"/>
            <w:vAlign w:val="bottom"/>
          </w:tcPr>
          <w:p>
            <w:pPr>
              <w:spacing w:after="0"/>
              <w:rPr>
                <w:sz w:val="20"/>
                <w:szCs w:val="20"/>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30, 2022</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47,635</w:t>
            </w:r>
          </w:p>
        </w:tc>
        <w:tc>
          <w:tcPr>
            <w:tcW w:w="260" w:type="dxa"/>
            <w:vAlign w:val="bottom"/>
          </w:tcPr>
          <w:p>
            <w:pPr>
              <w:spacing w:after="0"/>
              <w:rPr>
                <w:sz w:val="20"/>
                <w:szCs w:val="20"/>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27, 2023</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amounts payable as a result of the November 7, 2023 and November 8, 2022 declarations were included in accrued expenses and other current liabilities as of December 31, 2023 and 2022, respectively.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February 6, 2024 the Company’s Board of Directors approved the next quarterly dividend payment and set March 29, 2024 as the record date for determining the shareholders entitled to receive the dividend, which is payable on April 26, 2024. On February 2, 2024, at the annual general meeting of shareholders, the Company’s shareholders approved an increase of approximately 10% in the rate of the quarterly cash dividend from $0.435 per share to $0.479 per share. As a result, the April 26, 2024 cash dividend will be paid at the increased rate of $0.479 per share.</w:t>
      </w:r>
    </w:p>
    <w:p>
      <w:pPr>
        <w:spacing w:after="0" w:line="149" w:lineRule="exact"/>
        <w:rPr>
          <w:sz w:val="20"/>
          <w:szCs w:val="20"/>
          <w:color w:val="auto"/>
        </w:rPr>
      </w:pPr>
    </w:p>
    <w:p>
      <w:pPr>
        <w:ind w:left="520" w:right="9380" w:hanging="512"/>
        <w:spacing w:after="0" w:line="483" w:lineRule="auto"/>
        <w:tabs>
          <w:tab w:leader="none" w:pos="52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Contingencies </w:t>
      </w:r>
      <w:r>
        <w:rPr>
          <w:rFonts w:ascii="Times New Roman" w:cs="Times New Roman" w:eastAsia="Times New Roman" w:hAnsi="Times New Roman"/>
          <w:sz w:val="17"/>
          <w:szCs w:val="17"/>
          <w:i w:val="1"/>
          <w:iCs w:val="1"/>
          <w:color w:val="auto"/>
        </w:rPr>
        <w:t>Legal Proceedings</w:t>
      </w: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Operating and Financial Review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0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4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Important factors that may affect these projections or expectations include, but are not limited to: the effects of macro-economic conditions, prevailing level of macro-economic, business, and operational uncertainty, including as a result of geopolitical events or other global or regional events such as the recent attacks in Israel and evolving conflict and the COVID-19 pandemic, as well as the current inflationary environment, and the effects of these conditions on the Company’s customers’ businesses and levels of business activity; including the effect of the current economic uncertainty and industry pressure on the spending decisions of our customers; our ability to grow in the business markets that we serve; our ability to successfully integrate acquired businesses; adverse effects of market competition; rapid technological shifts that may render our products and services obsolete; potential loss of a major customer; our ability to develop long-term relationships with our customers; our ability to successfully and effectively implement artificial intelligence and Generative AI in our offerings and operations; and risks associated with operating businesses in the international market</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For a discussion of these and other important factors and other risks, please read the information set forth under the caption “Risk Factors” in our Annual Report on Form 20-F for fiscal year 2023, filed on December 13, 2023 with the U.S. Securities and Exchange Commission.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Business and Trend Information</w:t>
      </w:r>
    </w:p>
    <w:p>
      <w:pPr>
        <w:spacing w:after="0" w:line="20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Amdocs is a leading provider of software and services for approximately 400 communications, entertainment and media industry and other service providers in developed countries and emerging markets. Amdocs also holds relationships with hundreds of content owners and distributors around the globe. Our software and services, which we develop, implement and manage, are designed to meet the business imperatives of our customers, create value for society and make our increasingly connected world more empowering by unlocking our customers’ innovative potential and enabling them to transform their boldest ideas into reality and focus on providing amazing customer experiences. Our offerings enable service providers to efficiently and cost-effectively engage their customers, introduce new products and services, automate service and network operations, monetize connectivity and content, support new business models and generally enhance their understanding of their customers.</w:t>
      </w:r>
    </w:p>
    <w:p>
      <w:pPr>
        <w:spacing w:after="0" w:line="14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believe the demand for our solutions is driven by our customers’ continued migration to the cloud, deployment of 5G networks and transformation into digital service providers to provide connectivity services, content and applications (apps) on any device through digital and non-digital channels.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engagement and across all channels.</w:t>
      </w:r>
    </w:p>
    <w:p>
      <w:pPr>
        <w:spacing w:after="0" w:line="14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offerings, grouped by technology capabilities such as commerce and care, catalog management, monetization, subscription management and content management, IoT, AI and Generative AI (GenAI), service and network automation and network deployment and optimization, are designed to meet the challenges facing our customers as they roll out 5G networks, migrate to the cloud and transform into digital service providers within the framework of a hybrid IT environment, which requires them to rapidly introduce new cloud-native applications while still operating legacy systems. Our software is designed to enable modular expansion as a service provider evolves, and its microservices-based architecture enables the rapid deployment of complex applications as suites of independently deployable services that can be frequently upgraded via DevSecOps. Amdocs amAIz, our enterprise-grade GenAI framework, combines our carrier-grade architecture and telco-specific expertise and empowers service providers to deploy GenAI use cases. Our comprehensive line of services is designed to address every stage of a service provider’s lifecycle. They include consulting, delivery, quality engineering (testing), operations, systems integration, network services, experience-driven services, data, cloud and content services. Our managed services provide multi-year, flexible and tailored IT business processes and applications management services, including application development, modernization and maintenance, IT and infrastructure services, testing and professional services that are designed to assist customers in the selection, implementation, operation, management and maintenance of their IT systems.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spacing w:after="0" w:line="15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conduct our business globally, and as a result we are subject to the effects of global economic conditions and, in particular, market conditions in the communications and media industry. In the three months ended December 31, 2023, customers in North America accounted for 67.3% of our revenue, while customers in Europe and the rest of the world accounted for 14.6% and 18.1%, respectively. We maintain and support development facilities in Brazil, Canada, Cyprus, India, Ireland, Israel, Mexico, the Philippines, the UK and the United States.</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derive our revenue principally from:</w:t>
      </w:r>
    </w:p>
    <w:p>
      <w:pPr>
        <w:spacing w:after="0" w:line="63" w:lineRule="exact"/>
        <w:rPr>
          <w:sz w:val="20"/>
          <w:szCs w:val="20"/>
          <w:color w:val="auto"/>
        </w:rPr>
      </w:pPr>
    </w:p>
    <w:p>
      <w:pPr>
        <w:ind w:left="760" w:hanging="378"/>
        <w:spacing w:after="0" w:line="28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sales of licenses to use our products and related services, including modification, implementation, integration and customization services,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managed services in our domain expertise and other related services, and</w:t>
      </w:r>
    </w:p>
    <w:p>
      <w:pPr>
        <w:spacing w:after="0" w:line="6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 from ongoing support, maintenance and enhancements provided to our customers, and from incremental license fees resulting from increases in a customer’s business volume.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results of operations are affected by general economic conditions, including macro-economic conditions, and the level of economic activity in the industries and markets that we serve. In addition, the prevailing level of macro-economic, business, and operational uncertainty, as well as the current inflationary environment and foreign exchange rates fluctuation, may continue to present challenges in future periods and may affect the spending decisions of our customers. Although we try to mitigate the foreign currency exchange rates impact on our results through our hedging policy, we cannot assure that we will be able to effectively limit all of our exposure.</w:t>
      </w:r>
    </w:p>
    <w:p>
      <w:pPr>
        <w:spacing w:after="0" w:line="141"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we recognize revenue under the five-step methodology required under ASC 606, which requires us to identify the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4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a significant portion of our revenue is satisfied over time as work progresses, the annual and quarterly operating results may be affected by the size and timing of the initiation of customer projects as well as our progress in completing such projects.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For our primary revenue categories, related performance obligations, and associated recognition patterns please see Note 5 to our consolidated financial statements.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Revenue generated in connection with managed services arrangements is a significant part of our business, generating substantial, long-term recurring revenue streams and cash flow. Managed services arrangements include management of data center operations and IT infrastructure, application management and ongoing support, management of end-to-end business processes, and managed transformation that includes both a transformation project as well as taking over managed services responsibility. Revenue from managed services arrangements accounted for approximately $722.5 million and $699.8 million in the three months ended December 31, 2023 and 2022, respectively. Managed services engagements can be less profitable in their early stages; however, margins tend to improve over time, and this improvement is seen more rapidly in the initial period of an engagement, as we derive benefit from the operational efficiencies and from changes in the geographical mix of our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Please see Note 2 to our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three months ended December 31, 2023 and 2022. Certain items in our consolidated statements of income are reflected as a percentage of revenue (figures may not sum because of rounding):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362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162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5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charges</w:t>
            </w: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80" w:type="dxa"/>
            <w:vAlign w:val="bottom"/>
            <w:tcBorders>
              <w:top w:val="single" w:sz="8" w:color="CFF0FC"/>
            </w:tcBorders>
          </w:tcPr>
          <w:p>
            <w:pPr>
              <w:spacing w:after="0"/>
              <w:rPr>
                <w:sz w:val="20"/>
                <w:szCs w:val="20"/>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20" w:type="dxa"/>
            <w:vAlign w:val="bottom"/>
            <w:tcBorders>
              <w:top w:val="single" w:sz="8" w:color="CFF0FC"/>
            </w:tcBorders>
          </w:tcPr>
          <w:p>
            <w:pPr>
              <w:spacing w:after="0"/>
              <w:rPr>
                <w:sz w:val="20"/>
                <w:szCs w:val="20"/>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(0.8 )</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11.9 %</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0"/>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80" w:type="dxa"/>
            <w:vAlign w:val="bottom"/>
            <w:vMerge w:val="continue"/>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11.9 %</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-2399665</wp:posOffset>
            </wp:positionV>
            <wp:extent cx="713232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-1319530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-521970</wp:posOffset>
            </wp:positionV>
            <wp:extent cx="7132320"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December 31, 2023 and 2023</w:t>
      </w:r>
    </w:p>
    <w:p>
      <w:pPr>
        <w:spacing w:after="0" w:line="18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tabular presentation of our results of operations for the three months ended December 31, 2023 compared to the three months ended December 31, 2022. Following the table is a discussion and analysis of our business and results of operations for such periods.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5"/>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gridSpan w:val="5"/>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1,245,199</w:t>
            </w:r>
          </w:p>
        </w:tc>
        <w:tc>
          <w:tcPr>
            <w:tcW w:w="200" w:type="dxa"/>
            <w:vAlign w:val="bottom"/>
          </w:tcPr>
          <w:p>
            <w:pPr>
              <w:spacing w:after="0"/>
              <w:rPr>
                <w:sz w:val="19"/>
                <w:szCs w:val="19"/>
                <w:color w:val="auto"/>
              </w:rPr>
            </w:pPr>
          </w:p>
        </w:tc>
        <w:tc>
          <w:tcPr>
            <w:tcW w:w="3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1,185,720</w:t>
            </w:r>
          </w:p>
        </w:tc>
        <w:tc>
          <w:tcPr>
            <w:tcW w:w="260" w:type="dxa"/>
            <w:vAlign w:val="bottom"/>
          </w:tcPr>
          <w:p>
            <w:pPr>
              <w:spacing w:after="0"/>
              <w:rPr>
                <w:sz w:val="19"/>
                <w:szCs w:val="19"/>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59,479</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45"/>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shd w:val="clear" w:color="auto" w:fill="CFF0FC"/>
          </w:tcPr>
          <w:p>
            <w:pPr>
              <w:spacing w:after="0"/>
              <w:rPr>
                <w:sz w:val="21"/>
                <w:szCs w:val="21"/>
                <w:color w:val="auto"/>
              </w:rPr>
            </w:pP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812,744</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756,849</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55,895</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89,207</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95,726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(6,519 )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FF0FC"/>
          </w:tcPr>
          <w:p>
            <w:pPr>
              <w:spacing w:after="0"/>
              <w:rPr>
                <w:sz w:val="21"/>
                <w:szCs w:val="21"/>
                <w:color w:val="auto"/>
              </w:rPr>
            </w:pP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142,504</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143,222</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(718 )</w:t>
            </w: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26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16,410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Restructuring charges</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24,536</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(24,536 )</w:t>
            </w: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0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1,060,865</w:t>
            </w:r>
          </w:p>
        </w:tc>
        <w:tc>
          <w:tcPr>
            <w:tcW w:w="20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1,035,646</w:t>
            </w:r>
          </w:p>
        </w:tc>
        <w:tc>
          <w:tcPr>
            <w:tcW w:w="26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25,219</w:t>
            </w:r>
          </w:p>
        </w:tc>
        <w:tc>
          <w:tcPr>
            <w:tcW w:w="160" w:type="dxa"/>
            <w:vAlign w:val="bottom"/>
            <w:tcBorders>
              <w:top w:val="single" w:sz="8" w:color="CFF0FC"/>
            </w:tcBorders>
          </w:tcPr>
          <w:p>
            <w:pPr>
              <w:spacing w:after="0"/>
              <w:rPr>
                <w:sz w:val="20"/>
                <w:szCs w:val="20"/>
                <w:color w:val="auto"/>
              </w:rPr>
            </w:pPr>
          </w:p>
        </w:tc>
        <w:tc>
          <w:tcPr>
            <w:tcW w:w="6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184,334</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150,074</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34,260</w:t>
            </w: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w w:val="94"/>
              </w:rPr>
              <w:t>(9,778 )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(4,963 )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(4,815 )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(97.0 )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174,556</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145,111</w:t>
            </w:r>
          </w:p>
        </w:tc>
        <w:tc>
          <w:tcPr>
            <w:tcW w:w="26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29,445</w:t>
            </w: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25,834</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15,239</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10,595</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148,722</w:t>
            </w:r>
          </w:p>
        </w:tc>
        <w:tc>
          <w:tcPr>
            <w:tcW w:w="200" w:type="dxa"/>
            <w:vAlign w:val="bottom"/>
          </w:tcPr>
          <w:p>
            <w:pPr>
              <w:spacing w:after="0"/>
              <w:rPr>
                <w:sz w:val="20"/>
                <w:szCs w:val="20"/>
                <w:color w:val="auto"/>
              </w:rPr>
            </w:pPr>
          </w:p>
        </w:tc>
        <w:tc>
          <w:tcPr>
            <w:tcW w:w="3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129,872</w:t>
            </w:r>
          </w:p>
        </w:tc>
        <w:tc>
          <w:tcPr>
            <w:tcW w:w="260" w:type="dxa"/>
            <w:vAlign w:val="bottom"/>
          </w:tcPr>
          <w:p>
            <w:pPr>
              <w:spacing w:after="0"/>
              <w:rPr>
                <w:sz w:val="20"/>
                <w:szCs w:val="20"/>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18,850</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45"/>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0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147,965</w:t>
            </w:r>
          </w:p>
        </w:tc>
        <w:tc>
          <w:tcPr>
            <w:tcW w:w="200" w:type="dxa"/>
            <w:vAlign w:val="bottom"/>
          </w:tcPr>
          <w:p>
            <w:pPr>
              <w:spacing w:after="0"/>
              <w:rPr>
                <w:sz w:val="19"/>
                <w:szCs w:val="19"/>
                <w:color w:val="auto"/>
              </w:rPr>
            </w:pPr>
          </w:p>
        </w:tc>
        <w:tc>
          <w:tcPr>
            <w:tcW w:w="3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129,667</w:t>
            </w:r>
          </w:p>
        </w:tc>
        <w:tc>
          <w:tcPr>
            <w:tcW w:w="260" w:type="dxa"/>
            <w:vAlign w:val="bottom"/>
          </w:tcPr>
          <w:p>
            <w:pPr>
              <w:spacing w:after="0"/>
              <w:rPr>
                <w:sz w:val="19"/>
                <w:szCs w:val="19"/>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481"/>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 Geographic Information:</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60" w:type="dxa"/>
            <w:vAlign w:val="bottom"/>
            <w:gridSpan w:val="8"/>
          </w:tcPr>
          <w:p>
            <w:pPr>
              <w:jc w:val="right"/>
              <w:ind w:right="540"/>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80" w:type="dxa"/>
            <w:vAlign w:val="bottom"/>
            <w:gridSpan w:val="8"/>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7"/>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 (mainly United States)</w:t>
            </w:r>
          </w:p>
        </w:tc>
        <w:tc>
          <w:tcPr>
            <w:tcW w:w="2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838,135</w:t>
            </w:r>
          </w:p>
        </w:tc>
        <w:tc>
          <w:tcPr>
            <w:tcW w:w="2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812,690</w:t>
            </w:r>
          </w:p>
        </w:tc>
        <w:tc>
          <w:tcPr>
            <w:tcW w:w="24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25,445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45"/>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181,420</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168,666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12,754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225,644</w:t>
            </w:r>
          </w:p>
        </w:tc>
        <w:tc>
          <w:tcPr>
            <w:tcW w:w="2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204,364</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21,280</w:t>
            </w:r>
          </w:p>
        </w:tc>
        <w:tc>
          <w:tcPr>
            <w:tcW w:w="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1,245,199</w:t>
            </w:r>
          </w:p>
        </w:tc>
        <w:tc>
          <w:tcPr>
            <w:tcW w:w="2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1,185,720</w:t>
            </w:r>
          </w:p>
        </w:tc>
        <w:tc>
          <w:tcPr>
            <w:tcW w:w="240" w:type="dxa"/>
            <w:vAlign w:val="bottom"/>
          </w:tcPr>
          <w:p>
            <w:pPr>
              <w:spacing w:after="0"/>
              <w:rPr>
                <w:sz w:val="20"/>
                <w:szCs w:val="20"/>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59,479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-4337050</wp:posOffset>
            </wp:positionV>
            <wp:extent cx="713232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-2451100</wp:posOffset>
            </wp:positionV>
            <wp:extent cx="713232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-2116455</wp:posOffset>
            </wp:positionV>
            <wp:extent cx="713232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-3256915</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-3256915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-3256915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-736600</wp:posOffset>
            </wp:positionV>
            <wp:extent cx="768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-736600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-736600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300"/>
          </w:cols>
          <w:pgMar w:left="320" w:top="1440" w:right="279" w:bottom="258"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increased by $59.5 million, or 5.0%, to $1,245.2 million in the three months ended December 31, 2023, from $1,185.7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December 31, 2022. The increase in revenue for the three months ended December 31, 2023, was attributable to increased activity across all regions and included immaterial impact of foreign exchange fluctuations.</w:t>
      </w:r>
    </w:p>
    <w:p>
      <w:pPr>
        <w:spacing w:after="0" w:line="13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the three months ended December 31, 2023, revenue from customers in North America, Europe and the rest of the world accounted for 67.3%, 14.6% and 18.1%, respectively, of total revenue, compared to 68.6%, 14.2% and 17.2%, respectively, in the three months ended December 31, 2022.</w:t>
      </w:r>
    </w:p>
    <w:p>
      <w:pPr>
        <w:spacing w:after="0" w:line="13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Revenue from customers in North America increased during the three months ended December 31, 2023, to a new record level, while total revenue increased at a slightly higher rate, which resulted in a decrease of revenue from customers in North America as a percentage of total revenue. The increase in revenue from customers in North America in absolute amount was primarily attributable to higher revenue from key customers in North America.</w:t>
      </w:r>
    </w:p>
    <w:p>
      <w:pPr>
        <w:spacing w:after="0" w:line="13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Revenue from customers in Europe increased during the three months ended December 31, 2023, as a result of an increase in managed services arrangements, as we expand our presence in this region.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from customers in the rest of the world increased in the three months ended December 31, 2023, primarily in Asia-Pacific region.</w:t>
      </w:r>
    </w:p>
    <w:p>
      <w:pPr>
        <w:spacing w:after="0" w:line="18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Cost of Revenue</w:t>
      </w:r>
      <w:r>
        <w:rPr>
          <w:rFonts w:ascii="Times New Roman" w:cs="Times New Roman" w:eastAsia="Times New Roman" w:hAnsi="Times New Roman"/>
          <w:sz w:val="18"/>
          <w:szCs w:val="18"/>
          <w:color w:val="auto"/>
        </w:rPr>
        <w:t>. Cost of revenue consists primarily of costs associated with providing services to customers, including compensation expense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of third-party products, as well as fee and royalty payments to software suppliers. Cost of revenue increased by $55.9 million, or 7.4%, to $812.7 million in the three months ended December 31, 2023, from $756.8 million in the three months ended December 31, 2022. While the increase in cost of revenue in absolute amount was commensurate with revenue growth, the Cost of revenue as a percentage of revenue increased to 65.3% in the three months ended December 31, 2023, from 63.8% in the three months ended December 31, 2022. Our Cost of revenue was positively impacted by foreign exchange fluctuations.</w:t>
      </w:r>
    </w:p>
    <w:p>
      <w:pPr>
        <w:spacing w:after="0" w:line="155"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color w:val="auto"/>
        </w:rPr>
        <w:t>. Research and development expense is primarily comprised of compensation expense. Research and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decreased by $6.5 million, or 6.8%, to $89.2 million in the three months ended December 31, 2023, from $95.7 million in the three months ended December 31, 2022. Research and development expense decreased as a percentage of revenue from 8.1% in the three months ended December 31, 2022, to 7.2% in the three months ended December 31, 2023. The decrease is attributable to accelerated research and development investments in prior periods. We continue to invest in our cloud offerings, 5G and network related innovation, AI and GenAI capabilities and further developing our digital offerings. Our research and development efforts are a key element of our strategy and are essential to our success, and we intend to maintain our commitment to research and development. However, increase or decrease in our revenue would not necessarily result in a proportional increase or decrease in the levels of our research and development expenditures, which could affect our operating margin.</w:t>
      </w:r>
    </w:p>
    <w:p>
      <w:pPr>
        <w:spacing w:after="0" w:line="13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color w:val="auto"/>
        </w:rPr>
        <w:t>. Selling, general and administrative expense, which is primarily comprised of compensation expense, slightly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decreased in absolute amounts by $0.7 million, or 0.5%, to $142.5 million in the three months ended December 31, 2023, from $143.2 million in the three months ended December 31, 2022. Selling, general and administrative expense slightly decreased as a percentage of revenue from 12.1% in the three months ended December 31, 2022, to 11.4% in the three months ended December 31, 2023. The slight decrease in absolute amounts was primarily attributable to a decrease in the account receivable allowances, which were partially offset by selling, general and administrative expense attributable to recent completed acquisitions. Selling, general and administrative expense may fluctuate from time to time, depending upon such factors as changes in our workforce and sales efforts and the results of any operational efficiency programs that we may undertake.</w:t>
      </w:r>
    </w:p>
    <w:p>
      <w:pPr>
        <w:spacing w:after="0" w:line="14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 and Other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of purchased intangible assets and other in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 slightly increased by $1.1 million, or 7.2% to $16.4 million from $15.3 million in the three months ended December 31, 2022. The slight increase in amortization of purchased intangible assets and other was primarily attributable to an increase in amortization of intangible assets due to recent completed acquisitions and to an increase in acquisition-related costs, partially offset by a completion of amortization of previously purchased intangible assets.</w:t>
      </w:r>
    </w:p>
    <w:p>
      <w:pPr>
        <w:spacing w:after="0" w:line="36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Restructuring Charges. </w:t>
      </w:r>
      <w:r>
        <w:rPr>
          <w:rFonts w:ascii="Times New Roman" w:cs="Times New Roman" w:eastAsia="Times New Roman" w:hAnsi="Times New Roman"/>
          <w:sz w:val="18"/>
          <w:szCs w:val="18"/>
          <w:color w:val="auto"/>
        </w:rPr>
        <w:t>There were no restructuring charges in the three months ended December 31, 2023, while there were $24.5 million of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charges in the three months ended December 31, 2022. Please see Note 10 to our consolidated financial statements.</w:t>
      </w:r>
    </w:p>
    <w:p>
      <w:pPr>
        <w:spacing w:after="0" w:line="114"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Operating Income</w:t>
      </w:r>
      <w:r>
        <w:rPr>
          <w:rFonts w:ascii="Times New Roman" w:cs="Times New Roman" w:eastAsia="Times New Roman" w:hAnsi="Times New Roman"/>
          <w:sz w:val="18"/>
          <w:szCs w:val="18"/>
          <w:color w:val="auto"/>
        </w:rPr>
        <w:t>. Operating income increased by $34.3 million, or 22.8%, in the three months ended December 31, 2023, to $184.3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14.8% of revenue, from $150.1 million, or 12.7% of revenue, in the three months ended December 31, 2022. The increase in operating income was attributable primarily to restructuring charges recognized in the three months ended December 31, 2022, while such charges were not recognized in the current period. Our operating income was also positively affected by foreign exchange impacts.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spacing w:after="0" w:line="149"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and other expense, net, changed from a net expense of $5.0 million in the three months ended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2022 to a net expense of $9.8 million in the three months ended December 31, 2023. The increase in interest and other expense, net, was primarily attributable to an increase in foreign exchange fluctuation charges.</w:t>
      </w:r>
    </w:p>
    <w:p>
      <w:pPr>
        <w:spacing w:after="0" w:line="144"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 Income tax expense for the three months ended December 31, 2023 were $25.8 million on pre-tax income of $174.6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resulting in an effective tax rate of 14.8%, compared to effective tax rate of 10.5% in the three months ended December 31, 2022 and compared to effective tax rate of 14.7% in fiscal year 2023. Our effective tax rate may fluctuate between periods as a result of discrete items that may affect a particular period, please see Note 11 to our consolidated financial statements.</w:t>
      </w:r>
    </w:p>
    <w:p>
      <w:pPr>
        <w:spacing w:after="0" w:line="136"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income attributable to Amdocs Limited</w:t>
      </w:r>
      <w:r>
        <w:rPr>
          <w:rFonts w:ascii="Times New Roman" w:cs="Times New Roman" w:eastAsia="Times New Roman" w:hAnsi="Times New Roman"/>
          <w:sz w:val="18"/>
          <w:szCs w:val="18"/>
          <w:color w:val="auto"/>
        </w:rPr>
        <w:t>. Net income increased by $18.3 million, or 14.1%, to $148.0 million in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 from $129.7 million in the three months ended December 31, 2022. The increase in net income is primarily attributable to an increase in operating income, partially offset by an increase in income tax expense.</w:t>
      </w:r>
    </w:p>
    <w:p>
      <w:pPr>
        <w:spacing w:after="0" w:line="13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Diluted Earnings Per Share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Diluted earnings per share increased by $0.19, or 17.8%, to $1.26 in the three months ended December 31, 2023,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$1.07 in the three months ended December 31, 2022. The increase in diluted earnings per share was primarily attributable to an increase in net income in the three months ended December 31, 2023, and to a lesser extent a decrease in the diluted weighted average number of shares outstanding which resulted from share repurchases. Please see also Note 12 to our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Cash Equivalents and Short-Term Interest-Bearing Investments. </w:t>
      </w:r>
      <w:r>
        <w:rPr>
          <w:rFonts w:ascii="Times New Roman" w:cs="Times New Roman" w:eastAsia="Times New Roman" w:hAnsi="Times New Roman"/>
          <w:sz w:val="18"/>
          <w:szCs w:val="18"/>
          <w:color w:val="auto"/>
        </w:rPr>
        <w:t>Cash, cash equivalents and short-term interest-bearing investments, totaled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$600.9 million as of December 31, 2023, compared to $742.5 million as of September 30, 2023. The decrease was mainly attributable to $158.5 million repurchase of our ordinary shares pursuant to our repurchase program, $51.1 million of cash dividend payment, $43.7 million for capital expenditures, net and $77.3 million payments for business acquisitions, partially offset by $182.4 million positive cash flow from operating activities and $4.4 million of proceeds from stock option. Net cash provided by operating activities amounted to $182.4 million and $83.2 million in the three months ended December 31, 2023 and 2022, respectively. The operating activity amount in the three months ended December 31, 2022 was impacted by timing of quarter-end holidays, but payments were subsequently received during the second quarter of fiscal year 2023.</w:t>
      </w:r>
    </w:p>
    <w:p>
      <w:pPr>
        <w:spacing w:after="0" w:line="14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free cash flow for the three months ended December 31, 2023 was $138.7 million and is calculated as net cash provided by operating activities of $182.4 million for the period less $43.7 million for capital expenditures, net.</w:t>
      </w:r>
    </w:p>
    <w:p>
      <w:pPr>
        <w:spacing w:after="0" w:line="13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Free cash flow is a non-GAAP financial measure and is not prepared in accordance with, and is not an alternative for, generally accepted accounting principles and may be different from non-GAAP financial measures with similar names used by other companies. Non-GAAP measures such as free cash flow should only be reviewed in conjunction with the corresponding GAAP measures. We believe that free cash flow, when used in conjunction with the corresponding GAAP measure, provides useful information to investors and management relating to the amount of cash generated by the Company’s business operations.</w:t>
      </w:r>
    </w:p>
    <w:p>
      <w:pPr>
        <w:spacing w:after="0" w:line="14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current cash balances, cash generated from operations, our current lines of credit, loans, Senior Notes and our ability to access capital markets serve as sources of liquidity if needed and will provide sufficient resources to meet our operational needs, loan and debt repayment needs, fund share repurchases and the payment of cash dividends for at least the next twelve months.</w:t>
      </w:r>
    </w:p>
    <w:p>
      <w:pPr>
        <w:spacing w:after="0" w:line="13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short-term interest-bearing investments comprised of marketable securities and bank deposits. We classify all of our marketable securities as available-for-sale securities. Such marketable securities consist primarily of money market funds, corporate bonds, U.S. government treasuries and supranational and sovereign debt, which are stated at market value.</w:t>
      </w:r>
    </w:p>
    <w:p>
      <w:pPr>
        <w:spacing w:after="0" w:line="14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believe we have conservative investment policy guidelines. Our interest-bearing investments are stated at fair value with the unrealized gains or losses reported as a separate component of accumulated other comprehensive loss, net of tax, unless a security is impaired due to a credit loss,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the three months ended December 31, 2023 and 2022, we did not recognize any credit losses. Please see Notes 6 and 7 to the consolidated financial statements.</w:t>
      </w:r>
    </w:p>
    <w:p>
      <w:pPr>
        <w:spacing w:after="0" w:line="14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Revolving Credit Facility, Loans, Senior Notes, Letters of Credit, Guarantees and Contractual Obligations. </w:t>
      </w:r>
      <w:r>
        <w:rPr>
          <w:rFonts w:ascii="Times New Roman" w:cs="Times New Roman" w:eastAsia="Times New Roman" w:hAnsi="Times New Roman"/>
          <w:sz w:val="18"/>
          <w:szCs w:val="18"/>
          <w:color w:val="auto"/>
        </w:rPr>
        <w:t>In December 2011, we entered into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$500.0 million Revolving Credit Facility. In December 2014, December 2017 and March 2021, the Revolving Credit Facility was amended and restated to, among other things, extend the maturity date of the facility to December 2019, December 2022 and March 2026, respectively. As of December 31, 2023, we were in compliance with the financial covenants and had no outstanding borrowing under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5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June 2020, we issued an aggregate principal amount of $650.0 million in Senior Notes that will mature in June 2030 and bear interest at a fixed rate of 2.538 percent per annum (the “Senior Notes”). The interest is payable semi-annually in June and December of each year, commencing in December 2020. We incurred issuance costs of $6.1 million in relation to the Senior Notes, which are being amortized to interest expenses over the term of the Senior Notes using the effective interest rate. The Senior Notes are our senior unsecured obligations and rank equally in right of payment with all of our existing and future senior indebtedness, including any indebtedness we may incur from time to time under the Revolving Credit Facility. </w:t>
      </w:r>
      <w:r>
        <w:rPr>
          <w:rFonts w:ascii="Times New Roman" w:cs="Times New Roman" w:eastAsia="Times New Roman" w:hAnsi="Times New Roman"/>
          <w:sz w:val="18"/>
          <w:szCs w:val="18"/>
          <w:color w:val="231F20"/>
        </w:rPr>
        <w:t>As of December 31,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 noncurrent outstanding principal portion was $650.0 million. P</w:t>
      </w:r>
      <w:r>
        <w:rPr>
          <w:rFonts w:ascii="Times New Roman" w:cs="Times New Roman" w:eastAsia="Times New Roman" w:hAnsi="Times New Roman"/>
          <w:sz w:val="18"/>
          <w:szCs w:val="18"/>
          <w:color w:val="000000"/>
        </w:rPr>
        <w:t>lease see Note 14 to our consolidated financial statements.</w:t>
      </w:r>
    </w:p>
    <w:p>
      <w:pPr>
        <w:spacing w:after="0" w:line="16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we had additional uncommitted lines of credit available for general corporate and other specific purposes and had outstanding letters of credit and bank guarantees from various banks totaling $95.4 million. These were supported by a combination of the uncommitted lines of credit that we maintain with various banks.</w:t>
      </w:r>
    </w:p>
    <w:p>
      <w:pPr>
        <w:spacing w:after="0" w:line="13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contractual obligations for Long-term debt and accrued interests, our non-cancelable operating leases, purchase obligations, pension funding and unrecognized tax benefits, summarized in the disclosure of contractual obligations set forth in our Annual Report on Form 20-F for the fiscal year ended September 30, 2023, filed on December 13, 2023 with the SEC. Since September 30, 2023, there have been no material changes in our aggregate contractual obligations mentioned above.</w:t>
      </w:r>
    </w:p>
    <w:p>
      <w:pPr>
        <w:spacing w:after="0" w:line="137"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During the three months ended December 31, 2023, we completed the acquisition of Astadia, which specializes in mainframe-to-cloud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migration and modernization, for an aggregate net consideration of approximately $75.0 </w:t>
      </w:r>
      <w:r>
        <w:rPr>
          <w:rFonts w:ascii="Times New Roman" w:cs="Times New Roman" w:eastAsia="Times New Roman" w:hAnsi="Times New Roman"/>
          <w:sz w:val="18"/>
          <w:szCs w:val="18"/>
          <w:color w:val="231F20"/>
        </w:rPr>
        <w:t>million</w:t>
      </w:r>
      <w:r>
        <w:rPr>
          <w:rFonts w:ascii="Times New Roman" w:cs="Times New Roman" w:eastAsia="Times New Roman" w:hAnsi="Times New Roman"/>
          <w:sz w:val="18"/>
          <w:szCs w:val="18"/>
          <w:color w:val="auto"/>
        </w:rPr>
        <w:t xml:space="preserve"> in cash, and a potential for additional consideration which may be paid later based on achievement of certain performance metrics.</w:t>
      </w:r>
    </w:p>
    <w:p>
      <w:pPr>
        <w:spacing w:after="0" w:line="146"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Generally, the majority of our capital expenditures consist of purchases of computer equipment, and the remainder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mainly to building and leasehold improvements. Our capital expenditures were approximately $43.7 million in the three months ended December 31, 2023 and were mainly attributable to investments in our operating facilities and our development centers around the world.</w:t>
      </w:r>
    </w:p>
    <w:p>
      <w:pPr>
        <w:spacing w:after="0" w:line="13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Share Repurchases</w:t>
      </w:r>
      <w:r>
        <w:rPr>
          <w:rFonts w:ascii="Times New Roman" w:cs="Times New Roman" w:eastAsia="Times New Roman" w:hAnsi="Times New Roman"/>
          <w:sz w:val="18"/>
          <w:szCs w:val="18"/>
          <w:color w:val="auto"/>
        </w:rPr>
        <w:t>. From time to time, our Board of Directors can adopt share repurchase plans authorizing the repurchase of our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ordinary shares. On May 12, 2021, our Board of Directors adopted a share repurchase plan for the repurchase of up to a $1.0 billion of our outstanding ordinary shares with no expiration date. The May 2021 plan permits us to purchase our ordinary shares in the open market or through privately negotiated transactions at times and prices that we consider appropriate. On August 2, 2023, our Board of Directors adopted a share repurchase plan for the repurchase of up to an additional $1.1 billion of our outstanding ordinary shares with no expiration date. The August 2023 plan permits us to purchase our ordinary shares in the open market or through privately negotiated transactions at times and prices that we consider appropriate. In the three months ended December 31, 2023, we </w:t>
      </w:r>
      <w:r>
        <w:rPr>
          <w:rFonts w:ascii="Times New Roman" w:cs="Times New Roman" w:eastAsia="Times New Roman" w:hAnsi="Times New Roman"/>
          <w:sz w:val="18"/>
          <w:szCs w:val="18"/>
          <w:color w:val="231F20"/>
        </w:rPr>
        <w:t>completed the repurchase of the remaining authorized amount of ordinary shares under the May 2021 plan and initiated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repurchases of the our outstanding ordinary shares pursuant to the August 2023 plan. In the three months ended December 31, 2023 we </w:t>
      </w:r>
      <w:r>
        <w:rPr>
          <w:rFonts w:ascii="Times New Roman" w:cs="Times New Roman" w:eastAsia="Times New Roman" w:hAnsi="Times New Roman"/>
          <w:sz w:val="18"/>
          <w:szCs w:val="18"/>
          <w:color w:val="000000"/>
        </w:rPr>
        <w:t>repurchased 1.9</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million ordinary shares at an average price of $83.65 per share (excluding broker and transaction fees). As of December 31, 2023, the we had remaining authority to repurchase up to $942.2 of our outstanding ordinary shares under the August 2023 plan.</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Cash Dividends. </w:t>
      </w:r>
      <w:r>
        <w:rPr>
          <w:rFonts w:ascii="Times New Roman" w:cs="Times New Roman" w:eastAsia="Times New Roman" w:hAnsi="Times New Roman"/>
          <w:sz w:val="18"/>
          <w:szCs w:val="18"/>
          <w:color w:val="auto"/>
        </w:rPr>
        <w:t>Our Board of Directors declared the following dividends during the three months ended December 31, 2023 and 2022: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Dividends Per</w:t>
            </w:r>
          </w:p>
        </w:tc>
        <w:tc>
          <w:tcPr>
            <w:tcW w:w="260" w:type="dxa"/>
            <w:vAlign w:val="bottom"/>
          </w:tcPr>
          <w:p>
            <w:pPr>
              <w:spacing w:after="0"/>
              <w:rPr>
                <w:sz w:val="13"/>
                <w:szCs w:val="13"/>
                <w:color w:val="auto"/>
              </w:rPr>
            </w:pPr>
          </w:p>
        </w:tc>
        <w:tc>
          <w:tcPr>
            <w:tcW w:w="16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260" w:type="dxa"/>
            <w:vAlign w:val="bottom"/>
          </w:tcPr>
          <w:p>
            <w:pPr>
              <w:spacing w:after="0"/>
              <w:rPr>
                <w:sz w:val="13"/>
                <w:szCs w:val="13"/>
                <w:color w:val="auto"/>
              </w:rPr>
            </w:pPr>
          </w:p>
        </w:tc>
        <w:tc>
          <w:tcPr>
            <w:tcW w:w="16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87"/>
        </w:trPr>
        <w:tc>
          <w:tcPr>
            <w:tcW w:w="40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26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November 7, 2023</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0.435</w:t>
            </w:r>
          </w:p>
        </w:tc>
        <w:tc>
          <w:tcPr>
            <w:tcW w:w="260" w:type="dxa"/>
            <w:vAlign w:val="bottom"/>
            <w:shd w:val="clear" w:color="auto" w:fill="CFF0FC"/>
          </w:tcPr>
          <w:p>
            <w:pPr>
              <w:spacing w:after="0"/>
              <w:rPr>
                <w:sz w:val="20"/>
                <w:szCs w:val="20"/>
                <w:color w:val="auto"/>
              </w:rPr>
            </w:pPr>
          </w:p>
        </w:tc>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29, 2023</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6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26, 2024</w:t>
            </w:r>
          </w:p>
        </w:tc>
        <w:tc>
          <w:tcPr>
            <w:tcW w:w="0" w:type="dxa"/>
            <w:vAlign w:val="bottom"/>
          </w:tcPr>
          <w:p>
            <w:pPr>
              <w:spacing w:after="0"/>
              <w:rPr>
                <w:sz w:val="1"/>
                <w:szCs w:val="1"/>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8, 2022</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0.395</w:t>
            </w:r>
          </w:p>
        </w:tc>
        <w:tc>
          <w:tcPr>
            <w:tcW w:w="260" w:type="dxa"/>
            <w:vAlign w:val="bottom"/>
          </w:tcPr>
          <w:p>
            <w:pPr>
              <w:spacing w:after="0"/>
              <w:rPr>
                <w:sz w:val="20"/>
                <w:szCs w:val="20"/>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30, 2022</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January 27, 2023</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February 6, 2024 our Board of Directors approved the next quarterly dividend payment and set March 29, 2024 as the record date for determining the shareholders entitled to receive the dividend, which is payable on April 26, 2024. On February 2, 2024, at the annual general meeting of shareholders, our shareholders approved an increase of approximately 10% in the rate of the quarterly cash dividend from $0.435 per share to $0.479 per share. As a result, the April 26, 2024 cash dividend will be paid at the increased rate of $0.479 per share.</w:t>
      </w:r>
    </w:p>
    <w:p>
      <w:pPr>
        <w:spacing w:after="0" w:line="153" w:lineRule="exact"/>
        <w:rPr>
          <w:sz w:val="20"/>
          <w:szCs w:val="20"/>
          <w:color w:val="auto"/>
        </w:rPr>
      </w:pPr>
    </w:p>
    <w:p>
      <w:pPr>
        <w:jc w:val="both"/>
        <w:ind w:firstLine="509"/>
        <w:spacing w:after="0" w:line="277" w:lineRule="auto"/>
        <w:rPr>
          <w:sz w:val="20"/>
          <w:szCs w:val="20"/>
          <w:color w:val="auto"/>
        </w:rPr>
      </w:pPr>
      <w:r>
        <w:rPr>
          <w:rFonts w:ascii="Times New Roman" w:cs="Times New Roman" w:eastAsia="Times New Roman" w:hAnsi="Times New Roman"/>
          <w:sz w:val="17"/>
          <w:szCs w:val="17"/>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considers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Fluctuations</w:t>
      </w:r>
    </w:p>
    <w:p>
      <w:pPr>
        <w:spacing w:after="0" w:line="20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spacing w:after="0" w:line="13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three months ended December 31, 2023 and 2022,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Changes in Securities, Use of Proceeds and Issuer Purchases of Equity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Shares</w:t>
      </w:r>
    </w:p>
    <w:p>
      <w:pPr>
        <w:spacing w:after="0" w:line="22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purchases by us and our affiliated purchasers during the three months ended December 31, 2023 of equity securities that are registered by us pursuant to Section 12 of the Exchange Act: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(or Approximate</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Publicly</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8"/>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87"/>
        </w:trPr>
        <w:tc>
          <w:tcPr>
            <w:tcW w:w="38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Paid per Share(1)</w:t>
            </w:r>
          </w:p>
        </w:tc>
        <w:tc>
          <w:tcPr>
            <w:tcW w:w="22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or Programs(2)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10/01/23-10/31/23</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753,381</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753,381</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1,038,667,012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11/01/23-11/30/23</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395,302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395,302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1,006,667,921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12/01/23-12/31/23</w:t>
            </w:r>
          </w:p>
        </w:tc>
        <w:tc>
          <w:tcPr>
            <w:tcW w:w="12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746,106</w:t>
            </w:r>
          </w:p>
        </w:tc>
        <w:tc>
          <w:tcPr>
            <w:tcW w:w="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2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746,106</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942,169,030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1,894,789</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1,894,789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942,169,030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1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-325120</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-325120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-325120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broker and transaction fees.</w:t>
      </w:r>
    </w:p>
    <w:p>
      <w:pPr>
        <w:spacing w:after="0" w:line="27" w:lineRule="exact"/>
        <w:rPr>
          <w:rFonts w:ascii="Times New Roman" w:cs="Times New Roman" w:eastAsia="Times New Roman" w:hAnsi="Times New Roman"/>
          <w:sz w:val="18"/>
          <w:szCs w:val="18"/>
          <w:color w:val="auto"/>
        </w:rPr>
      </w:pPr>
    </w:p>
    <w:p>
      <w:pPr>
        <w:jc w:val="both"/>
        <w:ind w:left="380" w:hanging="372"/>
        <w:spacing w:after="0" w:line="251"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2021, our Board of Directors adopted a share repurchase plan for the repurchase of up to $1.0 billion of our outstanding ordinary shares with no expiration date. On August 2, 2023, our Board of Directors adopted a share repurchase plan for the repurchase of up to an additional $1.1 billion of our outstanding ordinary shares. The plans have no expiration date and permit us to purchase our ordinary shares in open market or privately negotiated transactions at times and prices we consider appropriate. In the three months ended December 31, 2023, we completed the repurchase of the remaining authorized amount of ordinary shares under the May 2021 plan and initiated repurchases of the our outstanding ordinary shares pursuant to the August 2023 plan. In the three months ended December 31, 2023 we repurchased 1.9 million ordinary shares at an average price of $83.65 per share (excluding broker and transaction fees). As of December 31, 2023, we had remaining authority to repurchase up to $942.2 of our outstanding ordinary shares under the August 2023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Reports on Form 6-K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furnished or filed the following reports on Form 6-K during the three months ended December 31, 2023:</w:t>
      </w:r>
    </w:p>
    <w:p>
      <w:pPr>
        <w:spacing w:after="0" w:line="198" w:lineRule="exact"/>
        <w:rPr>
          <w:sz w:val="20"/>
          <w:szCs w:val="20"/>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6-K dated October 12, 2023</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6-K dated November 8, 2023</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6-K dated December 14, 2023</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6-K dated December 21, 2023</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AMDOCS LIMITED</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35490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Matthew E. Smith</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Secretary and Authorized Signatory</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20, 2024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2"/>
    </w:lvl>
  </w:abstractNum>
  <w:abstractNum w:abstractNumId="5">
    <w:nsid w:val="519B500D"/>
    <w:multiLevelType w:val="hybridMultilevel"/>
    <w:lvl w:ilvl="0">
      <w:lvlJc w:val="left"/>
      <w:lvlText w:val="%1."/>
      <w:numFmt w:val="decimal"/>
      <w:start w:val="3"/>
    </w:lvl>
  </w:abstractNum>
  <w:abstractNum w:abstractNumId="6">
    <w:nsid w:val="431BD7B7"/>
    <w:multiLevelType w:val="hybridMultilevel"/>
    <w:lvl w:ilvl="0">
      <w:lvlJc w:val="left"/>
      <w:lvlText w:val="%1."/>
      <w:numFmt w:val="decimal"/>
      <w:start w:val="4"/>
    </w:lvl>
  </w:abstractNum>
  <w:abstractNum w:abstractNumId="7">
    <w:nsid w:val="3F2DBA31"/>
    <w:multiLevelType w:val="hybridMultilevel"/>
    <w:lvl w:ilvl="0">
      <w:lvlJc w:val="left"/>
      <w:lvlText w:val="%1."/>
      <w:numFmt w:val="decimal"/>
      <w:start w:val="5"/>
    </w:lvl>
  </w:abstractNum>
  <w:abstractNum w:abstractNumId="8">
    <w:nsid w:val="7C83E458"/>
    <w:multiLevelType w:val="hybridMultilevel"/>
    <w:lvl w:ilvl="0">
      <w:lvlJc w:val="left"/>
      <w:lvlText w:val="%1."/>
      <w:numFmt w:val="decimal"/>
      <w:start w:val="6"/>
    </w:lvl>
  </w:abstractNum>
  <w:abstractNum w:abstractNumId="9">
    <w:nsid w:val="257130A3"/>
    <w:multiLevelType w:val="hybridMultilevel"/>
    <w:lvl w:ilvl="0">
      <w:lvlJc w:val="left"/>
      <w:lvlText w:val="%1."/>
      <w:numFmt w:val="decimal"/>
      <w:start w:val="7"/>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8"/>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9"/>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0"/>
    </w:lvl>
  </w:abstractNum>
  <w:abstractNum w:abstractNumId="17">
    <w:nsid w:val="6763845E"/>
    <w:multiLevelType w:val="hybridMultilevel"/>
    <w:lvl w:ilvl="0">
      <w:lvlJc w:val="left"/>
      <w:lvlText w:val="%1."/>
      <w:numFmt w:val="decimal"/>
      <w:start w:val="1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2"/>
    </w:lvl>
  </w:abstractNum>
  <w:abstractNum w:abstractNumId="21">
    <w:nsid w:val="4353D0CD"/>
    <w:multiLevelType w:val="hybridMultilevel"/>
    <w:lvl w:ilvl="0">
      <w:lvlJc w:val="left"/>
      <w:lvlText w:val="%1."/>
      <w:numFmt w:val="decimal"/>
      <w:start w:val="13"/>
    </w:lvl>
  </w:abstractNum>
  <w:abstractNum w:abstractNumId="22">
    <w:nsid w:val="B03E0C6"/>
    <w:multiLevelType w:val="hybridMultilevel"/>
    <w:lvl w:ilvl="0">
      <w:lvlJc w:val="left"/>
      <w:lvlText w:val="%1."/>
      <w:numFmt w:val="decimal"/>
      <w:start w:val="14"/>
    </w:lvl>
  </w:abstractNum>
  <w:abstractNum w:abstractNumId="23">
    <w:nsid w:val="189A769B"/>
    <w:multiLevelType w:val="hybridMultilevel"/>
    <w:lvl w:ilvl="0">
      <w:lvlJc w:val="left"/>
      <w:lvlText w:val="%1."/>
      <w:numFmt w:val="decimal"/>
      <w:start w:val="15"/>
    </w:lvl>
  </w:abstractNum>
  <w:abstractNum w:abstractNumId="24">
    <w:nsid w:val="54E49EB4"/>
    <w:multiLevelType w:val="hybridMultilevel"/>
    <w:lvl w:ilvl="0">
      <w:lvlJc w:val="left"/>
      <w:lvlText w:val="%1."/>
      <w:numFmt w:val="decimal"/>
      <w:start w:val="16"/>
    </w:lvl>
  </w:abstractNum>
  <w:abstractNum w:abstractNumId="25">
    <w:nsid w:val="71F32454"/>
    <w:multiLevelType w:val="hybridMultilevel"/>
    <w:lvl w:ilvl="0">
      <w:lvlJc w:val="left"/>
      <w:lvlText w:val="%1."/>
      <w:numFmt w:val="decimal"/>
      <w:start w:val="17"/>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2024-02-20T15:17:21Z</dcterms:created>
  <dcterms:modified xsi:type="dcterms:W3CDTF">2024-02-20T15:17:21Z</dcterms:modified>
</cp:coreProperties>
</file>