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01"/>
        <w:spacing w:after="0"/>
        <w:rPr>
          <w:sz w:val="20"/>
          <w:szCs w:val="20"/>
          <w:color w:val="auto"/>
        </w:rPr>
      </w:pPr>
      <w:r>
        <w:rPr>
          <w:rFonts w:ascii="Courier New" w:cs="Courier New" w:eastAsia="Courier New" w:hAnsi="Courier New"/>
          <w:sz w:val="18"/>
          <w:szCs w:val="18"/>
          <w:color w:val="auto"/>
        </w:rPr>
        <w:t>Page 1 of 13 Pages</w:t>
      </w:r>
    </w:p>
    <w:p>
      <w:pPr>
        <w:spacing w:after="0" w:line="201" w:lineRule="exact"/>
        <w:rPr>
          <w:sz w:val="24"/>
          <w:szCs w:val="24"/>
          <w:color w:val="auto"/>
        </w:rPr>
      </w:pPr>
    </w:p>
    <w:p>
      <w:pPr>
        <w:ind w:left="3481"/>
        <w:spacing w:after="0"/>
        <w:rPr>
          <w:sz w:val="20"/>
          <w:szCs w:val="20"/>
          <w:color w:val="auto"/>
        </w:rPr>
      </w:pPr>
      <w:r>
        <w:rPr>
          <w:rFonts w:ascii="Courier New" w:cs="Courier New" w:eastAsia="Courier New" w:hAnsi="Courier New"/>
          <w:sz w:val="18"/>
          <w:szCs w:val="18"/>
          <w:color w:val="auto"/>
        </w:rPr>
        <w:t>UNITED STATES</w:t>
      </w:r>
    </w:p>
    <w:p>
      <w:pPr>
        <w:ind w:left="2221"/>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1"/>
        <w:spacing w:after="0"/>
        <w:tabs>
          <w:tab w:leader="none" w:pos="4621"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78"/>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1"/>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841"/>
        <w:spacing w:after="0"/>
        <w:rPr>
          <w:sz w:val="20"/>
          <w:szCs w:val="20"/>
          <w:color w:val="auto"/>
        </w:rPr>
      </w:pPr>
      <w:r>
        <w:rPr>
          <w:rFonts w:ascii="Courier New" w:cs="Courier New" w:eastAsia="Courier New" w:hAnsi="Courier New"/>
          <w:sz w:val="18"/>
          <w:szCs w:val="18"/>
          <w:color w:val="auto"/>
        </w:rPr>
        <w:t>(AMENDMENT NO.6)*</w:t>
      </w:r>
    </w:p>
    <w:p>
      <w:pPr>
        <w:spacing w:after="0" w:line="201" w:lineRule="exact"/>
        <w:rPr>
          <w:sz w:val="24"/>
          <w:szCs w:val="24"/>
          <w:color w:val="auto"/>
        </w:rPr>
      </w:pPr>
    </w:p>
    <w:p>
      <w:pPr>
        <w:ind w:left="3061"/>
        <w:spacing w:after="0"/>
        <w:rPr>
          <w:sz w:val="20"/>
          <w:szCs w:val="20"/>
          <w:color w:val="auto"/>
        </w:rPr>
      </w:pPr>
      <w:r>
        <w:rPr>
          <w:rFonts w:ascii="Courier New" w:cs="Courier New" w:eastAsia="Courier New" w:hAnsi="Courier New"/>
          <w:sz w:val="18"/>
          <w:szCs w:val="18"/>
          <w:color w:val="auto"/>
        </w:rPr>
        <w:t>AMDOCS LTD</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481"/>
        <w:spacing w:after="0"/>
        <w:rPr>
          <w:sz w:val="20"/>
          <w:szCs w:val="20"/>
          <w:color w:val="auto"/>
        </w:rPr>
      </w:pPr>
      <w:r>
        <w:rPr>
          <w:rFonts w:ascii="Courier New" w:cs="Courier New" w:eastAsia="Courier New" w:hAnsi="Courier New"/>
          <w:sz w:val="18"/>
          <w:szCs w:val="18"/>
          <w:color w:val="auto"/>
        </w:rPr>
        <w:t>ORD</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jc w:val="center"/>
        <w:ind w:right="2418"/>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261"/>
        <w:spacing w:after="0"/>
        <w:rPr>
          <w:sz w:val="20"/>
          <w:szCs w:val="20"/>
          <w:color w:val="auto"/>
        </w:rPr>
      </w:pPr>
      <w:r>
        <w:rPr>
          <w:rFonts w:ascii="Courier New" w:cs="Courier New" w:eastAsia="Courier New" w:hAnsi="Courier New"/>
          <w:sz w:val="18"/>
          <w:szCs w:val="18"/>
          <w:color w:val="auto"/>
        </w:rPr>
        <w:t>G02602103</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2641"/>
        <w:spacing w:after="0"/>
        <w:rPr>
          <w:sz w:val="20"/>
          <w:szCs w:val="20"/>
          <w:color w:val="auto"/>
        </w:rPr>
      </w:pPr>
      <w:r>
        <w:rPr>
          <w:rFonts w:ascii="Courier New" w:cs="Courier New" w:eastAsia="Courier New" w:hAnsi="Courier New"/>
          <w:sz w:val="18"/>
          <w:szCs w:val="18"/>
          <w:color w:val="auto"/>
        </w:rPr>
        <w:t>December 31, 2002</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1061"/>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left="201" w:right="1999"/>
        <w:spacing w:after="0" w:line="237" w:lineRule="auto"/>
        <w:rPr>
          <w:sz w:val="20"/>
          <w:szCs w:val="20"/>
          <w:color w:val="auto"/>
        </w:rPr>
      </w:pPr>
      <w:r>
        <w:rPr>
          <w:rFonts w:ascii="Courier New" w:cs="Courier New" w:eastAsia="Courier New" w:hAnsi="Courier New"/>
          <w:sz w:val="18"/>
          <w:szCs w:val="18"/>
          <w:color w:val="auto"/>
        </w:rPr>
        <w:t>NOTE: A MAJORITY OF THE SHARES REPORTED IN THIS SCHEDULE 13G ARE HELD BY UNAFFILIATED THIRD-PARTY CLIENT ACCOUNTS MANAGED BY ALLIANCE CAPITAL MANAGEMENT L.P., AS INVESTMENT ADVISER. (ALLIANCE CAPITAL MANAGEMENT L.P. IS A MAJORITY-OWNED SUBSIDIARY OF AXA FINANCIAL, INC.)</w:t>
      </w:r>
    </w:p>
    <w:p>
      <w:pPr>
        <w:spacing w:after="0" w:line="207" w:lineRule="exact"/>
        <w:rPr>
          <w:sz w:val="24"/>
          <w:szCs w:val="24"/>
          <w:color w:val="auto"/>
        </w:rPr>
      </w:pPr>
    </w:p>
    <w:p>
      <w:pPr>
        <w:ind w:left="201" w:right="29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741" w:right="7899" w:hanging="320"/>
        <w:spacing w:after="0" w:line="279" w:lineRule="auto"/>
        <w:tabs>
          <w:tab w:leader="none" w:pos="74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178" w:lineRule="exact"/>
        <w:rPr>
          <w:rFonts w:ascii="Courier New" w:cs="Courier New" w:eastAsia="Courier New" w:hAnsi="Courier New"/>
          <w:sz w:val="16"/>
          <w:szCs w:val="16"/>
          <w:color w:val="auto"/>
        </w:rPr>
      </w:pPr>
    </w:p>
    <w:p>
      <w:pPr>
        <w:jc w:val="both"/>
        <w:ind w:left="201" w:right="241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7" w:lineRule="exact"/>
        <w:rPr>
          <w:sz w:val="24"/>
          <w:szCs w:val="24"/>
          <w:color w:val="auto"/>
        </w:rPr>
      </w:pPr>
    </w:p>
    <w:p>
      <w:pPr>
        <w:ind w:left="201"/>
        <w:spacing w:after="0"/>
        <w:rPr>
          <w:sz w:val="20"/>
          <w:szCs w:val="20"/>
          <w:color w:val="auto"/>
        </w:rPr>
      </w:pPr>
      <w:r>
        <w:rPr>
          <w:rFonts w:ascii="Courier New" w:cs="Courier New" w:eastAsia="Courier New" w:hAnsi="Courier New"/>
          <w:sz w:val="18"/>
          <w:szCs w:val="18"/>
          <w:color w:val="auto"/>
        </w:rPr>
        <w:t>The information required in the remainder of this cover page shall not</w:t>
      </w:r>
    </w:p>
    <w:p>
      <w:pPr>
        <w:ind w:left="201"/>
        <w:spacing w:after="0" w:line="238" w:lineRule="auto"/>
        <w:rPr>
          <w:sz w:val="20"/>
          <w:szCs w:val="20"/>
          <w:color w:val="auto"/>
        </w:rPr>
      </w:pPr>
      <w:r>
        <w:rPr>
          <w:rFonts w:ascii="Courier New" w:cs="Courier New" w:eastAsia="Courier New" w:hAnsi="Courier New"/>
          <w:sz w:val="18"/>
          <w:szCs w:val="18"/>
          <w:color w:val="auto"/>
        </w:rPr>
        <w:t>be deemed to be 'filed' for the purpose of Section 18 of the Securities</w:t>
      </w:r>
    </w:p>
    <w:p>
      <w:pPr>
        <w:ind w:left="201"/>
        <w:spacing w:after="0"/>
        <w:rPr>
          <w:sz w:val="20"/>
          <w:szCs w:val="20"/>
          <w:color w:val="auto"/>
        </w:rPr>
      </w:pPr>
      <w:r>
        <w:rPr>
          <w:rFonts w:ascii="Courier New" w:cs="Courier New" w:eastAsia="Courier New" w:hAnsi="Courier New"/>
          <w:sz w:val="18"/>
          <w:szCs w:val="18"/>
          <w:color w:val="auto"/>
        </w:rPr>
        <w:t>Exchange Act of 1934 ('Act') or otherwise subject to the liabilities</w:t>
      </w:r>
    </w:p>
    <w:p>
      <w:pPr>
        <w:ind w:left="201"/>
        <w:spacing w:after="0" w:line="237" w:lineRule="auto"/>
        <w:rPr>
          <w:sz w:val="20"/>
          <w:szCs w:val="20"/>
          <w:color w:val="auto"/>
        </w:rPr>
      </w:pPr>
      <w:r>
        <w:rPr>
          <w:rFonts w:ascii="Courier New" w:cs="Courier New" w:eastAsia="Courier New" w:hAnsi="Courier New"/>
          <w:sz w:val="18"/>
          <w:szCs w:val="18"/>
          <w:color w:val="auto"/>
        </w:rPr>
        <w:t>of that section of the Act but shall be subject to all other provisions</w:t>
      </w:r>
    </w:p>
    <w:p>
      <w:pPr>
        <w:ind w:left="201"/>
        <w:spacing w:after="0" w:line="238" w:lineRule="auto"/>
        <w:rPr>
          <w:sz w:val="20"/>
          <w:szCs w:val="20"/>
          <w:color w:val="auto"/>
        </w:rPr>
      </w:pPr>
      <w:r>
        <w:rPr>
          <w:rFonts w:ascii="Courier New" w:cs="Courier New" w:eastAsia="Courier New" w:hAnsi="Courier New"/>
          <w:sz w:val="18"/>
          <w:szCs w:val="18"/>
          <w:color w:val="auto"/>
        </w:rPr>
        <w:t>of the Act (however, see the Notes).</w:t>
      </w:r>
    </w:p>
    <w:p>
      <w:pPr>
        <w:spacing w:after="0" w:line="202" w:lineRule="exact"/>
        <w:rPr>
          <w:sz w:val="24"/>
          <w:szCs w:val="24"/>
          <w:color w:val="auto"/>
        </w:rPr>
      </w:pPr>
    </w:p>
    <w:p>
      <w:pPr>
        <w:ind w:left="2421"/>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201"/>
        <w:spacing w:after="0"/>
        <w:tabs>
          <w:tab w:leader="none" w:pos="3341" w:val="left"/>
          <w:tab w:leader="none" w:pos="6201"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13 Pages</w:t>
      </w:r>
    </w:p>
    <w:p>
      <w:pPr>
        <w:spacing w:after="0" w:line="200" w:lineRule="exact"/>
        <w:rPr>
          <w:sz w:val="24"/>
          <w:szCs w:val="24"/>
          <w:color w:val="auto"/>
        </w:rPr>
      </w:pPr>
    </w:p>
    <w:p>
      <w:pPr>
        <w:spacing w:after="0" w:line="204" w:lineRule="exact"/>
        <w:rPr>
          <w:sz w:val="24"/>
          <w:szCs w:val="24"/>
          <w:color w:val="auto"/>
        </w:rPr>
      </w:pPr>
    </w:p>
    <w:p>
      <w:pPr>
        <w:ind w:left="321" w:hanging="321"/>
        <w:spacing w:after="0"/>
        <w:tabs>
          <w:tab w:leader="none" w:pos="3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1"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Assurances I.A.R.D. Mutuelle</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4"/>
          <w:szCs w:val="24"/>
          <w:color w:val="auto"/>
        </w:rPr>
      </w:pPr>
    </w:p>
    <w:tbl>
      <w:tblPr>
        <w:tblLayout w:type="fixed"/>
        <w:tblInd w:w="521" w:type="dxa"/>
        <w:tblCellMar>
          <w:top w:w="0" w:type="dxa"/>
          <w:left w:w="0" w:type="dxa"/>
          <w:bottom w:w="0" w:type="dxa"/>
          <w:right w:w="0" w:type="dxa"/>
        </w:tblCellMar>
      </w:tblP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France</w:t>
            </w:r>
          </w:p>
        </w:tc>
        <w:tc>
          <w:tcPr>
            <w:tcW w:w="5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159,093</w:t>
            </w:r>
          </w:p>
        </w:tc>
      </w:tr>
      <w:tr>
        <w:trPr>
          <w:trHeight w:val="203"/>
        </w:trPr>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OWNED AS OF</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518,300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31, 2002</w:t>
            </w:r>
          </w:p>
        </w:tc>
        <w:tc>
          <w:tcPr>
            <w:tcW w:w="5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60" w:type="dxa"/>
            <w:vAlign w:val="bottom"/>
          </w:tcPr>
          <w:p>
            <w:pPr>
              <w:spacing w:after="0"/>
              <w:rPr>
                <w:sz w:val="17"/>
                <w:szCs w:val="17"/>
                <w:color w:val="auto"/>
              </w:rPr>
            </w:pPr>
          </w:p>
        </w:tc>
      </w:tr>
    </w:tbl>
    <w:p>
      <w:pPr>
        <w:sectPr>
          <w:pgSz w:w="11900" w:h="16838" w:orient="portrait"/>
          <w:cols w:equalWidth="0" w:num="1">
            <w:col w:w="10000"/>
          </w:cols>
          <w:pgMar w:left="459" w:top="244" w:right="1440" w:bottom="0" w:gutter="0" w:footer="0" w:header="0"/>
        </w:sectPr>
      </w:pPr>
    </w:p>
    <w:bookmarkStart w:id="1" w:name="page2"/>
    <w:bookmarkEnd w:id="1"/>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EACH</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DISPOSITIVE POWER</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w w:val="95"/>
              </w:rPr>
              <w:t>882,150</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w w:val="95"/>
              </w:rPr>
              <w:t>882,150</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680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2"/>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rPr>
              <w:t>0.4%</w:t>
            </w:r>
          </w:p>
        </w:tc>
      </w:tr>
    </w:tbl>
    <w:p>
      <w:pPr>
        <w:spacing w:after="0" w:line="207" w:lineRule="exact"/>
        <w:rPr>
          <w:sz w:val="20"/>
          <w:szCs w:val="20"/>
          <w:color w:val="auto"/>
        </w:rPr>
      </w:pPr>
    </w:p>
    <w:p>
      <w:pPr>
        <w:ind w:left="627" w:right="6939" w:hanging="627"/>
        <w:spacing w:after="0" w:line="235" w:lineRule="auto"/>
        <w:tabs>
          <w:tab w:leader="none" w:pos="4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00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136" w:right="1440" w:bottom="1440" w:gutter="0" w:footer="0" w:header="0"/>
        </w:sectPr>
      </w:pPr>
    </w:p>
    <w:bookmarkStart w:id="2" w:name="page3"/>
    <w:bookmarkEnd w:id="2"/>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13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Assurances Vie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w w:val="95"/>
              </w:rPr>
              <w:t>159,093</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518,300</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2002</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882,150</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w w:val="95"/>
              </w:rPr>
              <w:t>882,150</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680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0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rPr>
              <w:t>0.4%</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3" w:name="page4"/>
    <w:bookmarkEnd w:id="3"/>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13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Conseil Vie Assurance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w w:val="95"/>
              </w:rPr>
              <w:t>159,093</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518,300</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2002</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882,150</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w w:val="95"/>
              </w:rPr>
              <w:t>882,150</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680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0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rPr>
              <w:t>0.4%</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4" w:name="page5"/>
    <w:bookmarkEnd w:id="4"/>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13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Courtage Assurance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w w:val="95"/>
              </w:rPr>
              <w:t>159,093</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518,300</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2002</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882,150</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w w:val="95"/>
              </w:rPr>
              <w:t>882,150</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680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0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rPr>
              <w:t>0.4%</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5" w:name="page6"/>
    <w:bookmarkEnd w:id="5"/>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13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w w:val="95"/>
              </w:rPr>
              <w:t>159,093</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518,300</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2002</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882,150</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w w:val="95"/>
              </w:rPr>
              <w:t>882,150</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680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0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rPr>
              <w:t>0.4%</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6" w:name="page7"/>
    <w:bookmarkEnd w:id="6"/>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13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tabs>
          <w:tab w:leader="none" w:pos="3460" w:val="left"/>
        </w:tabs>
        <w:rPr>
          <w:sz w:val="20"/>
          <w:szCs w:val="20"/>
          <w:color w:val="auto"/>
        </w:rPr>
      </w:pPr>
      <w:r>
        <w:rPr>
          <w:rFonts w:ascii="Courier New" w:cs="Courier New" w:eastAsia="Courier New" w:hAnsi="Courier New"/>
          <w:sz w:val="18"/>
          <w:szCs w:val="18"/>
          <w:color w:val="auto"/>
        </w:rPr>
        <w:t>AXA Financial, Inc.</w:t>
      </w:r>
      <w:r>
        <w:rPr>
          <w:sz w:val="20"/>
          <w:szCs w:val="20"/>
          <w:color w:val="auto"/>
        </w:rPr>
        <w:tab/>
      </w:r>
      <w:r>
        <w:rPr>
          <w:rFonts w:ascii="Courier New" w:cs="Courier New" w:eastAsia="Courier New" w:hAnsi="Courier New"/>
          <w:sz w:val="16"/>
          <w:szCs w:val="16"/>
          <w:color w:val="auto"/>
        </w:rPr>
        <w:t>13-3623351</w:t>
      </w:r>
    </w:p>
    <w:p>
      <w:pPr>
        <w:spacing w:after="0" w:line="201" w:lineRule="exact"/>
        <w:rPr>
          <w:sz w:val="20"/>
          <w:szCs w:val="20"/>
          <w:color w:val="auto"/>
        </w:rPr>
      </w:pPr>
    </w:p>
    <w:p>
      <w:pPr>
        <w:ind w:left="220"/>
        <w:spacing w:after="0"/>
        <w:tabs>
          <w:tab w:leader="none" w:pos="6720" w:val="left"/>
        </w:tabs>
        <w:rPr>
          <w:sz w:val="20"/>
          <w:szCs w:val="20"/>
          <w:color w:val="auto"/>
        </w:rPr>
      </w:pPr>
      <w:r>
        <w:rPr>
          <w:rFonts w:ascii="Courier New" w:cs="Courier New" w:eastAsia="Courier New" w:hAnsi="Courier New"/>
          <w:sz w:val="18"/>
          <w:szCs w:val="18"/>
          <w:color w:val="auto"/>
        </w:rPr>
        <w:t>2. CHECK THE APPROPRIATE BOX IF A MEMBER OF A GROUP *</w:t>
      </w:r>
      <w:r>
        <w:rPr>
          <w:sz w:val="20"/>
          <w:szCs w:val="20"/>
          <w:color w:val="auto"/>
        </w:rPr>
        <w:tab/>
      </w:r>
      <w:r>
        <w:rPr>
          <w:rFonts w:ascii="Courier New" w:cs="Courier New" w:eastAsia="Courier New" w:hAnsi="Courier New"/>
          <w:sz w:val="16"/>
          <w:szCs w:val="16"/>
          <w:color w:val="auto"/>
        </w:rPr>
        <w:t>(A) [ ]</w:t>
      </w:r>
    </w:p>
    <w:p>
      <w:pPr>
        <w:jc w:val="right"/>
        <w:ind w:right="2739"/>
        <w:spacing w:after="0" w:line="238" w:lineRule="auto"/>
        <w:rPr>
          <w:sz w:val="20"/>
          <w:szCs w:val="20"/>
          <w:color w:val="auto"/>
        </w:rPr>
      </w:pPr>
      <w:r>
        <w:rPr>
          <w:rFonts w:ascii="Courier New" w:cs="Courier New" w:eastAsia="Courier New" w:hAnsi="Courier New"/>
          <w:sz w:val="18"/>
          <w:szCs w:val="18"/>
          <w:color w:val="auto"/>
        </w:rPr>
        <w:t>(B) [ ]</w:t>
      </w:r>
    </w:p>
    <w:p>
      <w:pPr>
        <w:spacing w:after="0" w:line="202" w:lineRule="exact"/>
        <w:rPr>
          <w:sz w:val="20"/>
          <w:szCs w:val="20"/>
          <w:color w:val="auto"/>
        </w:rPr>
      </w:pPr>
    </w:p>
    <w:p>
      <w:pPr>
        <w:ind w:left="540" w:hanging="321"/>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5899" w:hanging="521"/>
        <w:spacing w:after="0" w:line="235" w:lineRule="auto"/>
        <w:tabs>
          <w:tab w:leader="none" w:pos="52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w w:val="95"/>
              </w:rPr>
              <w:t>159,093</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518,300</w:t>
            </w:r>
          </w:p>
        </w:tc>
      </w:tr>
      <w:tr>
        <w:trPr>
          <w:trHeight w:val="203"/>
        </w:trPr>
        <w:tc>
          <w:tcPr>
            <w:tcW w:w="360" w:type="dxa"/>
            <w:vAlign w:val="bottom"/>
          </w:tcPr>
          <w:p>
            <w:pPr>
              <w:spacing w:after="0"/>
              <w:rPr>
                <w:sz w:val="17"/>
                <w:szCs w:val="17"/>
                <w:color w:val="auto"/>
              </w:rPr>
            </w:pPr>
          </w:p>
        </w:tc>
        <w:tc>
          <w:tcPr>
            <w:tcW w:w="2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December 31, 2002</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5"/>
              </w:rPr>
              <w:t>BY 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882,150</w:t>
            </w: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AGGREGATE 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w w:val="95"/>
              </w:rPr>
              <w:t>882,150</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REPORTING 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680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CHECK BOX IF THE</w:t>
            </w:r>
          </w:p>
        </w:tc>
        <w:tc>
          <w:tcPr>
            <w:tcW w:w="50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000" w:type="dxa"/>
            <w:vAlign w:val="bottom"/>
          </w:tcPr>
          <w:p>
            <w:pPr>
              <w:ind w:left="260"/>
              <w:spacing w:after="0"/>
              <w:rPr>
                <w:sz w:val="20"/>
                <w:szCs w:val="20"/>
                <w:color w:val="auto"/>
              </w:rPr>
            </w:pPr>
            <w:r>
              <w:rPr>
                <w:rFonts w:ascii="Courier New" w:cs="Courier New" w:eastAsia="Courier New" w:hAnsi="Courier New"/>
                <w:sz w:val="18"/>
                <w:szCs w:val="18"/>
                <w:color w:val="auto"/>
              </w:rPr>
              <w:t>0.4%</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HC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7" w:name="page8"/>
    <w:bookmarkEnd w:id="7"/>
    <w:p>
      <w:pPr>
        <w:ind w:left="3700"/>
        <w:spacing w:after="0"/>
        <w:tabs>
          <w:tab w:leader="none" w:pos="6200" w:val="left"/>
        </w:tabs>
        <w:rPr>
          <w:sz w:val="20"/>
          <w:szCs w:val="20"/>
          <w:color w:val="auto"/>
        </w:rPr>
      </w:pP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8 of 13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1060"/>
        <w:spacing w:after="0" w:line="238" w:lineRule="auto"/>
        <w:rPr>
          <w:sz w:val="20"/>
          <w:szCs w:val="20"/>
          <w:color w:val="auto"/>
        </w:rPr>
      </w:pPr>
      <w:r>
        <w:rPr>
          <w:rFonts w:ascii="Courier New" w:cs="Courier New" w:eastAsia="Courier New" w:hAnsi="Courier New"/>
          <w:sz w:val="18"/>
          <w:szCs w:val="18"/>
          <w:color w:val="auto"/>
        </w:rPr>
        <w:t>AMDOCS LTD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Tower Hill House Le Bordage</w:t>
      </w:r>
    </w:p>
    <w:p>
      <w:pPr>
        <w:ind w:left="1060"/>
        <w:spacing w:after="0"/>
        <w:rPr>
          <w:sz w:val="20"/>
          <w:szCs w:val="20"/>
          <w:color w:val="auto"/>
        </w:rPr>
      </w:pPr>
      <w:r>
        <w:rPr>
          <w:rFonts w:ascii="Courier New" w:cs="Courier New" w:eastAsia="Courier New" w:hAnsi="Courier New"/>
          <w:sz w:val="18"/>
          <w:szCs w:val="18"/>
          <w:color w:val="auto"/>
        </w:rPr>
        <w:t>Guernsey, Ste Peter Port</w:t>
      </w:r>
    </w:p>
    <w:p>
      <w:pPr>
        <w:ind w:left="1060"/>
        <w:spacing w:after="0"/>
        <w:tabs>
          <w:tab w:leader="none" w:pos="2840" w:val="left"/>
        </w:tabs>
        <w:rPr>
          <w:sz w:val="20"/>
          <w:szCs w:val="20"/>
          <w:color w:val="auto"/>
        </w:rPr>
      </w:pPr>
      <w:r>
        <w:rPr>
          <w:rFonts w:ascii="Courier New" w:cs="Courier New" w:eastAsia="Courier New" w:hAnsi="Courier New"/>
          <w:sz w:val="18"/>
          <w:szCs w:val="18"/>
          <w:color w:val="auto"/>
        </w:rPr>
        <w:t>CHANNEL ISLANDS</w:t>
      </w:r>
      <w:r>
        <w:rPr>
          <w:sz w:val="20"/>
          <w:szCs w:val="20"/>
          <w:color w:val="auto"/>
        </w:rPr>
        <w:tab/>
      </w:r>
      <w:r>
        <w:rPr>
          <w:rFonts w:ascii="Courier New" w:cs="Courier New" w:eastAsia="Courier New" w:hAnsi="Courier New"/>
          <w:sz w:val="16"/>
          <w:szCs w:val="16"/>
          <w:color w:val="auto"/>
        </w:rPr>
        <w:t>GY1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and (b)</w:t>
      </w:r>
    </w:p>
    <w:p>
      <w:pPr>
        <w:ind w:left="1060"/>
        <w:spacing w:after="0" w:line="238" w:lineRule="auto"/>
        <w:rPr>
          <w:sz w:val="20"/>
          <w:szCs w:val="20"/>
          <w:color w:val="auto"/>
        </w:rPr>
      </w:pPr>
      <w:r>
        <w:rPr>
          <w:rFonts w:ascii="Courier New" w:cs="Courier New" w:eastAsia="Courier New" w:hAnsi="Courier New"/>
          <w:sz w:val="18"/>
          <w:szCs w:val="18"/>
          <w:color w:val="auto"/>
        </w:rPr>
        <w:t>Name of Person Filing and Address of Principal Business Office: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Conseil Vie Assurance Mutuelle,</w:t>
      </w:r>
    </w:p>
    <w:p>
      <w:pPr>
        <w:ind w:left="1060"/>
        <w:spacing w:after="0" w:line="238" w:lineRule="auto"/>
        <w:rPr>
          <w:sz w:val="20"/>
          <w:szCs w:val="20"/>
          <w:color w:val="auto"/>
        </w:rPr>
      </w:pPr>
      <w:r>
        <w:rPr>
          <w:rFonts w:ascii="Courier New" w:cs="Courier New" w:eastAsia="Courier New" w:hAnsi="Courier New"/>
          <w:sz w:val="18"/>
          <w:szCs w:val="18"/>
          <w:color w:val="auto"/>
        </w:rPr>
        <w:t>AXA Assurances I.A.R.D Mutuelle, and</w:t>
      </w:r>
    </w:p>
    <w:p>
      <w:pPr>
        <w:ind w:left="1060"/>
        <w:spacing w:after="0"/>
        <w:rPr>
          <w:sz w:val="20"/>
          <w:szCs w:val="20"/>
          <w:color w:val="auto"/>
        </w:rPr>
      </w:pPr>
      <w:r>
        <w:rPr>
          <w:rFonts w:ascii="Courier New" w:cs="Courier New" w:eastAsia="Courier New" w:hAnsi="Courier New"/>
          <w:sz w:val="18"/>
          <w:szCs w:val="18"/>
          <w:color w:val="auto"/>
        </w:rPr>
        <w:t>AXA Assurances Vie Mutuelle,</w:t>
      </w:r>
    </w:p>
    <w:p>
      <w:pPr>
        <w:ind w:left="1060"/>
        <w:spacing w:after="0" w:line="237" w:lineRule="auto"/>
        <w:rPr>
          <w:sz w:val="20"/>
          <w:szCs w:val="20"/>
          <w:color w:val="auto"/>
        </w:rPr>
      </w:pPr>
      <w:r>
        <w:rPr>
          <w:rFonts w:ascii="Courier New" w:cs="Courier New" w:eastAsia="Courier New" w:hAnsi="Courier New"/>
          <w:sz w:val="18"/>
          <w:szCs w:val="18"/>
          <w:color w:val="auto"/>
        </w:rPr>
        <w:t>370, rue Saint Honore</w:t>
      </w:r>
    </w:p>
    <w:p>
      <w:pPr>
        <w:ind w:left="1060"/>
        <w:spacing w:after="0" w:line="238" w:lineRule="auto"/>
        <w:rPr>
          <w:sz w:val="20"/>
          <w:szCs w:val="20"/>
          <w:color w:val="auto"/>
        </w:rPr>
      </w:pPr>
      <w:r>
        <w:rPr>
          <w:rFonts w:ascii="Courier New" w:cs="Courier New" w:eastAsia="Courier New" w:hAnsi="Courier New"/>
          <w:sz w:val="18"/>
          <w:szCs w:val="18"/>
          <w:color w:val="auto"/>
        </w:rPr>
        <w:t>75001 Paris, France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Courtage Assurance Mutuelle</w:t>
      </w:r>
    </w:p>
    <w:p>
      <w:pPr>
        <w:ind w:left="1060"/>
        <w:spacing w:after="0" w:line="238" w:lineRule="auto"/>
        <w:rPr>
          <w:sz w:val="20"/>
          <w:szCs w:val="20"/>
          <w:color w:val="auto"/>
        </w:rPr>
      </w:pPr>
      <w:r>
        <w:rPr>
          <w:rFonts w:ascii="Courier New" w:cs="Courier New" w:eastAsia="Courier New" w:hAnsi="Courier New"/>
          <w:sz w:val="18"/>
          <w:szCs w:val="18"/>
          <w:color w:val="auto"/>
        </w:rPr>
        <w:t>26, rue Louis le Grand</w:t>
      </w:r>
    </w:p>
    <w:p>
      <w:pPr>
        <w:ind w:left="1060"/>
        <w:spacing w:after="0"/>
        <w:rPr>
          <w:sz w:val="20"/>
          <w:szCs w:val="20"/>
          <w:color w:val="auto"/>
        </w:rPr>
      </w:pPr>
      <w:r>
        <w:rPr>
          <w:rFonts w:ascii="Courier New" w:cs="Courier New" w:eastAsia="Courier New" w:hAnsi="Courier New"/>
          <w:sz w:val="18"/>
          <w:szCs w:val="18"/>
          <w:color w:val="auto"/>
        </w:rPr>
        <w:t>75002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as a group (collectively, the 'Mutuelles AXA').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w:t>
      </w:r>
    </w:p>
    <w:p>
      <w:pPr>
        <w:ind w:left="1060"/>
        <w:spacing w:after="0" w:line="238" w:lineRule="auto"/>
        <w:rPr>
          <w:sz w:val="20"/>
          <w:szCs w:val="20"/>
          <w:color w:val="auto"/>
        </w:rPr>
      </w:pPr>
      <w:r>
        <w:rPr>
          <w:rFonts w:ascii="Courier New" w:cs="Courier New" w:eastAsia="Courier New" w:hAnsi="Courier New"/>
          <w:sz w:val="18"/>
          <w:szCs w:val="18"/>
          <w:color w:val="auto"/>
        </w:rPr>
        <w:t>25, avenue Matignon</w:t>
      </w:r>
    </w:p>
    <w:p>
      <w:pPr>
        <w:ind w:left="1060"/>
        <w:spacing w:after="0"/>
        <w:rPr>
          <w:sz w:val="20"/>
          <w:szCs w:val="20"/>
          <w:color w:val="auto"/>
        </w:rPr>
      </w:pPr>
      <w:r>
        <w:rPr>
          <w:rFonts w:ascii="Courier New" w:cs="Courier New" w:eastAsia="Courier New" w:hAnsi="Courier New"/>
          <w:sz w:val="18"/>
          <w:szCs w:val="18"/>
          <w:color w:val="auto"/>
        </w:rPr>
        <w:t>75008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Financial, Inc.</w:t>
      </w:r>
    </w:p>
    <w:p>
      <w:pPr>
        <w:ind w:left="1060"/>
        <w:spacing w:after="0" w:line="238" w:lineRule="auto"/>
        <w:rPr>
          <w:sz w:val="20"/>
          <w:szCs w:val="20"/>
          <w:color w:val="auto"/>
        </w:rPr>
      </w:pPr>
      <w:r>
        <w:rPr>
          <w:rFonts w:ascii="Courier New" w:cs="Courier New" w:eastAsia="Courier New" w:hAnsi="Courier New"/>
          <w:sz w:val="18"/>
          <w:szCs w:val="18"/>
          <w:color w:val="auto"/>
        </w:rPr>
        <w:t>1290 Avenue of the Americas</w:t>
      </w:r>
    </w:p>
    <w:p>
      <w:pPr>
        <w:ind w:left="1060"/>
        <w:spacing w:after="0"/>
        <w:rPr>
          <w:sz w:val="20"/>
          <w:szCs w:val="20"/>
          <w:color w:val="auto"/>
        </w:rPr>
      </w:pPr>
      <w:r>
        <w:rPr>
          <w:rFonts w:ascii="Courier New" w:cs="Courier New" w:eastAsia="Courier New" w:hAnsi="Courier New"/>
          <w:sz w:val="18"/>
          <w:szCs w:val="18"/>
          <w:color w:val="auto"/>
        </w:rPr>
        <w:t>New York, New York 10104</w:t>
      </w:r>
    </w:p>
    <w:p>
      <w:pPr>
        <w:spacing w:after="0" w:line="200"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(Please contact Patrick Meehan at (212) 314-5644 with any questions.)</w:t>
      </w:r>
    </w:p>
    <w:p>
      <w:pPr>
        <w:sectPr>
          <w:pgSz w:w="11900" w:h="16838" w:orient="portrait"/>
          <w:cols w:equalWidth="0" w:num="1">
            <w:col w:w="10219"/>
          </w:cols>
          <w:pgMar w:left="240" w:top="717" w:right="1440" w:bottom="1440" w:gutter="0" w:footer="0" w:header="0"/>
        </w:sectPr>
      </w:pPr>
    </w:p>
    <w:bookmarkStart w:id="8" w:name="page9"/>
    <w:bookmarkEnd w:id="8"/>
    <w:p>
      <w:pPr>
        <w:ind w:left="370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jc w:val="center"/>
        <w:ind w:right="2099"/>
        <w:spacing w:after="0"/>
        <w:rPr>
          <w:sz w:val="20"/>
          <w:szCs w:val="20"/>
          <w:color w:val="auto"/>
        </w:rPr>
      </w:pPr>
      <w:r>
        <w:rPr>
          <w:rFonts w:ascii="Courier New" w:cs="Courier New" w:eastAsia="Courier New" w:hAnsi="Courier New"/>
          <w:sz w:val="16"/>
          <w:szCs w:val="16"/>
          <w:color w:val="auto"/>
        </w:rPr>
        <w:t>Page 9 of 13 Pages</w:t>
      </w:r>
    </w:p>
    <w:p>
      <w:pPr>
        <w:spacing w:after="0" w:line="16" w:lineRule="exact"/>
        <w:rPr>
          <w:sz w:val="20"/>
          <w:szCs w:val="20"/>
          <w:color w:val="auto"/>
        </w:rPr>
      </w:pPr>
    </w:p>
    <w:p>
      <w:pPr>
        <w:sectPr>
          <w:pgSz w:w="11900" w:h="16838" w:orient="portrait"/>
          <w:cols w:equalWidth="0" w:num="2">
            <w:col w:w="5500" w:space="720"/>
            <w:col w:w="3999"/>
          </w:cols>
          <w:pgMar w:left="240" w:top="723" w:right="1440" w:bottom="1440" w:gutter="0" w:footer="0" w:header="0"/>
        </w:sect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Mutuelles AXA and AXA - France</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AXA Financial, Inc. - Delaware</w:t>
      </w:r>
    </w:p>
    <w:p>
      <w:pPr>
        <w:sectPr>
          <w:pgSz w:w="11900" w:h="16838" w:orient="portrait"/>
          <w:cols w:equalWidth="0" w:num="1">
            <w:col w:w="10219"/>
          </w:cols>
          <w:pgMar w:left="240" w:top="723"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jc w:val="center"/>
        <w:ind w:right="7779"/>
        <w:spacing w:after="0"/>
        <w:rPr>
          <w:sz w:val="20"/>
          <w:szCs w:val="20"/>
          <w:color w:val="auto"/>
        </w:rPr>
      </w:pPr>
      <w:r>
        <w:rPr>
          <w:rFonts w:ascii="Courier New" w:cs="Courier New" w:eastAsia="Courier New" w:hAnsi="Courier New"/>
          <w:sz w:val="18"/>
          <w:szCs w:val="18"/>
          <w:color w:val="auto"/>
        </w:rPr>
        <w:t>ORD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ind w:left="1060"/>
        <w:spacing w:after="0" w:line="238" w:lineRule="auto"/>
        <w:rPr>
          <w:sz w:val="20"/>
          <w:szCs w:val="20"/>
          <w:color w:val="auto"/>
        </w:rPr>
      </w:pPr>
      <w:r>
        <w:rPr>
          <w:rFonts w:ascii="Courier New" w:cs="Courier New" w:eastAsia="Courier New" w:hAnsi="Courier New"/>
          <w:sz w:val="18"/>
          <w:szCs w:val="18"/>
          <w:color w:val="auto"/>
        </w:rPr>
        <w:t>G02602103</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Reporting Person:</w:t>
      </w:r>
    </w:p>
    <w:p>
      <w:pPr>
        <w:ind w:left="1060"/>
        <w:spacing w:after="0" w:line="238" w:lineRule="auto"/>
        <w:rPr>
          <w:sz w:val="20"/>
          <w:szCs w:val="20"/>
          <w:color w:val="auto"/>
        </w:rPr>
      </w:pPr>
      <w:r>
        <w:rPr>
          <w:rFonts w:ascii="Courier New" w:cs="Courier New" w:eastAsia="Courier New" w:hAnsi="Courier New"/>
          <w:sz w:val="18"/>
          <w:szCs w:val="18"/>
          <w:color w:val="auto"/>
        </w:rPr>
        <w:t>AXA Financial, Inc. as a parent holding company,</w:t>
      </w:r>
    </w:p>
    <w:p>
      <w:pPr>
        <w:ind w:left="1380"/>
        <w:spacing w:after="0"/>
        <w:rPr>
          <w:sz w:val="20"/>
          <w:szCs w:val="20"/>
          <w:color w:val="auto"/>
        </w:rPr>
      </w:pPr>
      <w:r>
        <w:rPr>
          <w:rFonts w:ascii="Courier New" w:cs="Courier New" w:eastAsia="Courier New" w:hAnsi="Courier New"/>
          <w:sz w:val="18"/>
          <w:szCs w:val="18"/>
          <w:color w:val="auto"/>
        </w:rPr>
        <w:t>in accordance with 240.13d-1(b)(ii)(G).</w:t>
      </w:r>
    </w:p>
    <w:p>
      <w:pPr>
        <w:spacing w:after="0" w:line="20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The Mutuelles AXA, as a group, acting as a parent holding company.</w:t>
      </w: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 a parent holding company.</w:t>
      </w:r>
    </w:p>
    <w:p>
      <w:pPr>
        <w:sectPr>
          <w:pgSz w:w="11900" w:h="16838" w:orient="portrait"/>
          <w:cols w:equalWidth="0" w:num="1">
            <w:col w:w="10219"/>
          </w:cols>
          <w:pgMar w:left="240" w:top="723" w:right="1440" w:bottom="1440" w:gutter="0" w:footer="0" w:header="0"/>
          <w:type w:val="continuous"/>
        </w:sectPr>
      </w:pPr>
    </w:p>
    <w:bookmarkStart w:id="9" w:name="page10"/>
    <w:bookmarkEnd w:id="9"/>
    <w:p>
      <w:pPr>
        <w:ind w:left="370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jc w:val="center"/>
        <w:ind w:right="1999"/>
        <w:spacing w:after="0"/>
        <w:rPr>
          <w:sz w:val="20"/>
          <w:szCs w:val="20"/>
          <w:color w:val="auto"/>
        </w:rPr>
      </w:pPr>
      <w:r>
        <w:rPr>
          <w:rFonts w:ascii="Courier New" w:cs="Courier New" w:eastAsia="Courier New" w:hAnsi="Courier New"/>
          <w:sz w:val="16"/>
          <w:szCs w:val="16"/>
          <w:color w:val="auto"/>
        </w:rPr>
        <w:t>Page 10 of 13 Pages</w:t>
      </w:r>
    </w:p>
    <w:p>
      <w:pPr>
        <w:spacing w:after="0" w:line="200" w:lineRule="exact"/>
        <w:rPr>
          <w:sz w:val="20"/>
          <w:szCs w:val="20"/>
          <w:color w:val="auto"/>
        </w:rPr>
      </w:pPr>
    </w:p>
    <w:p>
      <w:pPr>
        <w:sectPr>
          <w:pgSz w:w="11900" w:h="16838" w:orient="portrait"/>
          <w:cols w:equalWidth="0" w:num="2">
            <w:col w:w="5500" w:space="720"/>
            <w:col w:w="3999"/>
          </w:cols>
          <w:pgMar w:left="240" w:top="520" w:right="1440" w:bottom="1440" w:gutter="0" w:footer="0" w:header="0"/>
        </w:sectPr>
      </w:pPr>
    </w:p>
    <w:p>
      <w:pPr>
        <w:spacing w:after="0" w:line="221"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Item 4. Ownership as of</w:t>
      </w:r>
      <w:r>
        <w:rPr>
          <w:sz w:val="20"/>
          <w:szCs w:val="20"/>
          <w:color w:val="auto"/>
        </w:rPr>
        <w:tab/>
      </w:r>
      <w:r>
        <w:rPr>
          <w:rFonts w:ascii="Courier New" w:cs="Courier New" w:eastAsia="Courier New" w:hAnsi="Courier New"/>
          <w:sz w:val="16"/>
          <w:szCs w:val="16"/>
          <w:color w:val="auto"/>
        </w:rPr>
        <w:t>December 31, 2002</w:t>
      </w:r>
    </w:p>
    <w:p>
      <w:pPr>
        <w:sectPr>
          <w:pgSz w:w="11900" w:h="16838" w:orient="portrait"/>
          <w:cols w:equalWidth="0" w:num="1">
            <w:col w:w="10219"/>
          </w:cols>
          <w:pgMar w:left="240" w:top="520" w:right="1440" w:bottom="1440" w:gutter="0" w:footer="0" w:header="0"/>
          <w:type w:val="continuous"/>
        </w:sectPr>
      </w:pPr>
    </w:p>
    <w:p>
      <w:pPr>
        <w:ind w:left="860"/>
        <w:spacing w:after="0" w:line="238" w:lineRule="auto"/>
        <w:rPr>
          <w:sz w:val="20"/>
          <w:szCs w:val="20"/>
          <w:color w:val="auto"/>
        </w:rPr>
      </w:pPr>
      <w:r>
        <w:rPr>
          <w:rFonts w:ascii="Courier New" w:cs="Courier New" w:eastAsia="Courier New" w:hAnsi="Courier New"/>
          <w:sz w:val="18"/>
          <w:szCs w:val="18"/>
          <w:color w:val="auto"/>
        </w:rPr>
        <w:t>(a) Amount Beneficially Owned:</w:t>
      </w:r>
    </w:p>
    <w:p>
      <w:pPr>
        <w:spacing w:after="0"/>
        <w:tabs>
          <w:tab w:leader="none" w:pos="1040" w:val="left"/>
        </w:tabs>
        <w:rPr>
          <w:sz w:val="20"/>
          <w:szCs w:val="20"/>
          <w:color w:val="auto"/>
        </w:rPr>
      </w:pPr>
      <w:r>
        <w:rPr>
          <w:rFonts w:ascii="Courier New" w:cs="Courier New" w:eastAsia="Courier New" w:hAnsi="Courier New"/>
          <w:sz w:val="18"/>
          <w:szCs w:val="18"/>
          <w:color w:val="auto"/>
        </w:rPr>
        <w:t>882,150</w:t>
      </w:r>
      <w:r>
        <w:rPr>
          <w:sz w:val="20"/>
          <w:szCs w:val="20"/>
          <w:color w:val="auto"/>
        </w:rPr>
        <w:tab/>
      </w:r>
      <w:r>
        <w:rPr>
          <w:rFonts w:ascii="Courier New" w:cs="Courier New" w:eastAsia="Courier New" w:hAnsi="Courier New"/>
          <w:sz w:val="18"/>
          <w:szCs w:val="18"/>
          <w:color w:val="auto"/>
        </w:rPr>
        <w:t>shares of common stock beneficially owned including:</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17"/>
                <w:szCs w:val="17"/>
                <w:color w:val="auto"/>
              </w:rPr>
            </w:pPr>
          </w:p>
        </w:tc>
        <w:tc>
          <w:tcPr>
            <w:tcW w:w="2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No. of Shares</w:t>
            </w:r>
          </w:p>
        </w:tc>
      </w:tr>
      <w:tr>
        <w:trPr>
          <w:trHeight w:val="203"/>
        </w:trPr>
        <w:tc>
          <w:tcPr>
            <w:tcW w:w="4960" w:type="dxa"/>
            <w:vAlign w:val="bottom"/>
          </w:tcPr>
          <w:p>
            <w:pPr>
              <w:spacing w:after="0"/>
              <w:rPr>
                <w:sz w:val="17"/>
                <w:szCs w:val="17"/>
                <w:color w:val="auto"/>
              </w:rPr>
            </w:pP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The Mutuelles AXA, as a group</w:t>
            </w:r>
          </w:p>
        </w:tc>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AXA</w:t>
            </w:r>
          </w:p>
        </w:tc>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AXA Entity or Entities</w:t>
            </w:r>
          </w:p>
        </w:tc>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AXA Financial, Inc.</w:t>
            </w:r>
          </w:p>
        </w:tc>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2740" w:type="dxa"/>
            <w:vAlign w:val="bottom"/>
          </w:tcPr>
          <w:p>
            <w:pPr>
              <w:spacing w:after="0"/>
              <w:rPr>
                <w:sz w:val="24"/>
                <w:szCs w:val="24"/>
                <w:color w:val="auto"/>
              </w:rPr>
            </w:pP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Alliance Capital Management L.P.</w:t>
            </w:r>
          </w:p>
        </w:tc>
        <w:tc>
          <w:tcPr>
            <w:tcW w:w="2740" w:type="dxa"/>
            <w:vAlign w:val="bottom"/>
          </w:tcPr>
          <w:p>
            <w:pPr>
              <w:spacing w:after="0"/>
              <w:rPr>
                <w:sz w:val="24"/>
                <w:szCs w:val="24"/>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 on</w:t>
            </w:r>
          </w:p>
        </w:tc>
        <w:tc>
          <w:tcPr>
            <w:tcW w:w="2740" w:type="dxa"/>
            <w:vAlign w:val="bottom"/>
          </w:tcPr>
          <w:p>
            <w:pPr>
              <w:spacing w:after="0"/>
              <w:rPr>
                <w:sz w:val="17"/>
                <w:szCs w:val="17"/>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behalf of client discretionary investment</w:t>
            </w:r>
          </w:p>
        </w:tc>
        <w:tc>
          <w:tcPr>
            <w:tcW w:w="2740" w:type="dxa"/>
            <w:vAlign w:val="bottom"/>
          </w:tcPr>
          <w:p>
            <w:pPr>
              <w:spacing w:after="0"/>
              <w:rPr>
                <w:sz w:val="17"/>
                <w:szCs w:val="17"/>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advisory accounts:</w:t>
            </w:r>
          </w:p>
        </w:tc>
        <w:tc>
          <w:tcPr>
            <w:tcW w:w="274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882,150</w:t>
            </w:r>
          </w:p>
        </w:tc>
      </w:tr>
      <w:tr>
        <w:trPr>
          <w:trHeight w:val="203"/>
        </w:trPr>
        <w:tc>
          <w:tcPr>
            <w:tcW w:w="4960" w:type="dxa"/>
            <w:vAlign w:val="bottom"/>
          </w:tcPr>
          <w:p>
            <w:pPr>
              <w:spacing w:after="0"/>
              <w:rPr>
                <w:sz w:val="17"/>
                <w:szCs w:val="17"/>
                <w:color w:val="auto"/>
              </w:rPr>
            </w:pP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882,150</w:t>
            </w:r>
          </w:p>
        </w:tc>
      </w:tr>
      <w:tr>
        <w:trPr>
          <w:trHeight w:val="203"/>
        </w:trPr>
        <w:tc>
          <w:tcPr>
            <w:tcW w:w="4960" w:type="dxa"/>
            <w:vAlign w:val="bottom"/>
          </w:tcPr>
          <w:p>
            <w:pPr>
              <w:spacing w:after="0"/>
              <w:rPr>
                <w:sz w:val="17"/>
                <w:szCs w:val="17"/>
                <w:color w:val="auto"/>
              </w:rPr>
            </w:pP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Each of the Mutuelles AXA, as a group, and AXA expressly declares that the filing of this Schedule 13G shall not be construed as an admission that it is, for purposes of Section 13(d) of the Exchange Act, the beneficial owner of any securities covered by this Schedule 13G.</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Each of the above subsidiaries of AXA Financial, Inc. operates under independent management and makes independent decisions.</w:t>
      </w:r>
    </w:p>
    <w:p>
      <w:pPr>
        <w:sectPr>
          <w:pgSz w:w="11900" w:h="16838" w:orient="portrait"/>
          <w:cols w:equalWidth="0" w:num="1">
            <w:col w:w="10219"/>
          </w:cols>
          <w:pgMar w:left="240" w:top="520" w:right="1440" w:bottom="1440" w:gutter="0" w:footer="0" w:header="0"/>
          <w:type w:val="continuous"/>
        </w:sectPr>
      </w:pPr>
    </w:p>
    <w:p>
      <w:pPr>
        <w:spacing w:after="0" w:line="208"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 Percent of Class: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5600" w:space="720"/>
            <w:col w:w="3899"/>
          </w:cols>
          <w:pgMar w:left="240" w:top="520" w:right="1440"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4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Page 11 of 13 Pages</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ITEM 4. Ownership as of</w:t>
            </w:r>
          </w:p>
        </w:tc>
        <w:tc>
          <w:tcPr>
            <w:tcW w:w="2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December 31, 2002</w:t>
            </w:r>
          </w:p>
        </w:tc>
        <w:tc>
          <w:tcPr>
            <w:tcW w:w="1960" w:type="dxa"/>
            <w:vAlign w:val="bottom"/>
            <w:gridSpan w:val="2"/>
          </w:tcPr>
          <w:p>
            <w:pPr>
              <w:jc w:val="right"/>
              <w:ind w:right="1132"/>
              <w:spacing w:after="0"/>
              <w:rPr>
                <w:sz w:val="20"/>
                <w:szCs w:val="20"/>
                <w:color w:val="auto"/>
              </w:rPr>
            </w:pPr>
            <w:r>
              <w:rPr>
                <w:rFonts w:ascii="Courier New" w:cs="Courier New" w:eastAsia="Courier New" w:hAnsi="Courier New"/>
                <w:sz w:val="18"/>
                <w:szCs w:val="18"/>
                <w:color w:val="auto"/>
                <w:w w:val="95"/>
              </w:rPr>
              <w:t>(CONT.)</w:t>
            </w:r>
          </w:p>
        </w:tc>
        <w:tc>
          <w:tcPr>
            <w:tcW w:w="1420" w:type="dxa"/>
            <w:vAlign w:val="bottom"/>
          </w:tcPr>
          <w:p>
            <w:pPr>
              <w:spacing w:after="0"/>
              <w:rPr>
                <w:sz w:val="24"/>
                <w:szCs w:val="24"/>
                <w:color w:val="auto"/>
              </w:rPr>
            </w:pPr>
          </w:p>
        </w:tc>
      </w:tr>
      <w:tr>
        <w:trPr>
          <w:trHeight w:val="405"/>
        </w:trPr>
        <w:tc>
          <w:tcPr>
            <w:tcW w:w="6700" w:type="dxa"/>
            <w:vAlign w:val="bottom"/>
            <w:gridSpan w:val="5"/>
          </w:tcPr>
          <w:p>
            <w:pPr>
              <w:ind w:left="740"/>
              <w:spacing w:after="0"/>
              <w:rPr>
                <w:sz w:val="20"/>
                <w:szCs w:val="20"/>
                <w:color w:val="auto"/>
              </w:rPr>
            </w:pPr>
            <w:r>
              <w:rPr>
                <w:rFonts w:ascii="Courier New" w:cs="Courier New" w:eastAsia="Courier New" w:hAnsi="Courier New"/>
                <w:sz w:val="18"/>
                <w:szCs w:val="18"/>
                <w:color w:val="auto"/>
              </w:rPr>
              <w:t>(c) Deemed Voting Power and Disposition Power:</w:t>
            </w:r>
          </w:p>
        </w:tc>
        <w:tc>
          <w:tcPr>
            <w:tcW w:w="14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1320" w:type="dxa"/>
            <w:vAlign w:val="bottom"/>
          </w:tcPr>
          <w:p>
            <w:pPr>
              <w:ind w:left="160"/>
              <w:spacing w:after="0"/>
              <w:rPr>
                <w:sz w:val="20"/>
                <w:szCs w:val="20"/>
                <w:color w:val="auto"/>
              </w:rPr>
            </w:pPr>
            <w:r>
              <w:rPr>
                <w:rFonts w:ascii="Courier New" w:cs="Courier New" w:eastAsia="Courier New" w:hAnsi="Courier New"/>
                <w:sz w:val="18"/>
                <w:szCs w:val="18"/>
                <w:color w:val="auto"/>
              </w:rPr>
              <w:t>(i)</w:t>
            </w:r>
          </w:p>
        </w:tc>
        <w:tc>
          <w:tcPr>
            <w:tcW w:w="940" w:type="dxa"/>
            <w:vAlign w:val="bottom"/>
          </w:tcPr>
          <w:p>
            <w:pPr>
              <w:ind w:left="100"/>
              <w:spacing w:after="0"/>
              <w:rPr>
                <w:sz w:val="20"/>
                <w:szCs w:val="20"/>
                <w:color w:val="auto"/>
              </w:rPr>
            </w:pPr>
            <w:r>
              <w:rPr>
                <w:rFonts w:ascii="Courier New" w:cs="Courier New" w:eastAsia="Courier New" w:hAnsi="Courier New"/>
                <w:sz w:val="18"/>
                <w:szCs w:val="18"/>
                <w:color w:val="auto"/>
              </w:rPr>
              <w:t>(ii)</w:t>
            </w:r>
          </w:p>
        </w:tc>
        <w:tc>
          <w:tcPr>
            <w:tcW w:w="540" w:type="dxa"/>
            <w:vAlign w:val="bottom"/>
          </w:tcPr>
          <w:p>
            <w:pPr>
              <w:spacing w:after="0"/>
              <w:rPr>
                <w:sz w:val="24"/>
                <w:szCs w:val="24"/>
                <w:color w:val="auto"/>
              </w:rPr>
            </w:pPr>
          </w:p>
        </w:tc>
        <w:tc>
          <w:tcPr>
            <w:tcW w:w="14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(iii)</w:t>
            </w:r>
          </w:p>
        </w:tc>
        <w:tc>
          <w:tcPr>
            <w:tcW w:w="142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(iv)</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Deemed</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Deemed</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Deemed</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Deemed</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have</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to have</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have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have</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Power</w:t>
            </w: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Shared Power</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Sole Power</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Shared Power</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Vote</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2"/>
              </w:rPr>
              <w:t>to Vote</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Dispose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Dispose</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to</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or to</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or to</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or to</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w:t>
            </w:r>
          </w:p>
        </w:tc>
        <w:tc>
          <w:tcPr>
            <w:tcW w:w="9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w:t>
            </w:r>
          </w:p>
        </w:tc>
        <w:tc>
          <w:tcPr>
            <w:tcW w:w="540" w:type="dxa"/>
            <w:vAlign w:val="bottom"/>
          </w:tcPr>
          <w:p>
            <w:pPr>
              <w:spacing w:after="0"/>
              <w:rPr>
                <w:sz w:val="17"/>
                <w:szCs w:val="17"/>
                <w:color w:val="auto"/>
              </w:rPr>
            </w:pP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Direct the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 the</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Vote</w:t>
            </w: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the Vote</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Disposition</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Disposition</w:t>
            </w: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c>
          <w:tcPr>
            <w:tcW w:w="2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The Mutuelles AXA,</w:t>
            </w: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 a group</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AXA</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17"/>
                <w:szCs w:val="17"/>
                <w:color w:val="auto"/>
              </w:rPr>
            </w:pP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AXA Entity or Entities:</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24"/>
                <w:szCs w:val="24"/>
                <w:color w:val="auto"/>
              </w:rPr>
            </w:pP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AXA Financial, Inc.</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940" w:type="dxa"/>
            <w:vAlign w:val="bottom"/>
          </w:tcPr>
          <w:p>
            <w:pPr>
              <w:spacing w:after="0"/>
              <w:rPr>
                <w:sz w:val="24"/>
                <w:szCs w:val="24"/>
                <w:color w:val="auto"/>
              </w:rPr>
            </w:pP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Alliance Capital</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159,093</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518,300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882,150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Management L.P.</w:t>
            </w: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159,093</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518,300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882,150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jc w:val="both"/>
        <w:ind w:right="2099"/>
        <w:spacing w:after="0" w:line="290" w:lineRule="auto"/>
        <w:rPr>
          <w:sz w:val="20"/>
          <w:szCs w:val="20"/>
          <w:color w:val="auto"/>
        </w:rPr>
      </w:pPr>
      <w:r>
        <w:rPr>
          <w:rFonts w:ascii="Courier New" w:cs="Courier New" w:eastAsia="Courier New" w:hAnsi="Courier New"/>
          <w:sz w:val="16"/>
          <w:szCs w:val="16"/>
          <w:color w:val="auto"/>
        </w:rPr>
        <w:t>Each of the above subsidiaries of AXA Financial, Inc. operates under independent management and makes independent voting and investment decisions.</w:t>
      </w:r>
    </w:p>
    <w:p>
      <w:pPr>
        <w:sectPr>
          <w:pgSz w:w="11900" w:h="16838" w:orient="portrait"/>
          <w:cols w:equalWidth="0" w:num="1">
            <w:col w:w="10219"/>
          </w:cols>
          <w:pgMar w:left="240" w:top="312" w:right="1440" w:bottom="1440" w:gutter="0" w:footer="0" w:header="0"/>
        </w:sectPr>
      </w:pPr>
    </w:p>
    <w:bookmarkStart w:id="11" w:name="page12"/>
    <w:bookmarkEnd w:id="11"/>
    <w:p>
      <w:pPr>
        <w:ind w:left="6220"/>
        <w:spacing w:after="0"/>
        <w:rPr>
          <w:sz w:val="20"/>
          <w:szCs w:val="20"/>
          <w:color w:val="auto"/>
        </w:rPr>
      </w:pPr>
      <w:r>
        <w:rPr>
          <w:rFonts w:ascii="Courier New" w:cs="Courier New" w:eastAsia="Courier New" w:hAnsi="Courier New"/>
          <w:sz w:val="18"/>
          <w:szCs w:val="18"/>
          <w:color w:val="auto"/>
        </w:rPr>
        <w:t>Page 12 of 13 Pages</w:t>
      </w:r>
    </w:p>
    <w:p>
      <w:pPr>
        <w:spacing w:after="0" w:line="238"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left="860" w:right="1879"/>
        <w:spacing w:after="0" w:line="268"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w:t>
      </w:r>
    </w:p>
    <w:p>
      <w:pPr>
        <w:ind w:left="6220"/>
        <w:spacing w:after="0" w:line="233" w:lineRule="auto"/>
        <w:rPr>
          <w:sz w:val="20"/>
          <w:szCs w:val="20"/>
          <w:color w:val="auto"/>
        </w:rPr>
      </w:pPr>
      <w:r>
        <w:rPr>
          <w:rFonts w:ascii="Courier New" w:cs="Courier New" w:eastAsia="Courier New" w:hAnsi="Courier New"/>
          <w:sz w:val="18"/>
          <w:szCs w:val="18"/>
          <w:color w:val="auto"/>
        </w:rPr>
        <w:t>(X)</w:t>
      </w:r>
    </w:p>
    <w:p>
      <w:pPr>
        <w:spacing w:after="0" w:line="202"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Item 6. Ownership of More than Five Percent on behalf of Another Person.</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Reporting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Schedule 13G is being filed by AXA Financial, Inc.; AXA,</w:t>
      </w:r>
    </w:p>
    <w:p>
      <w:pPr>
        <w:spacing w:after="0" w:line="4" w:lineRule="exact"/>
        <w:rPr>
          <w:sz w:val="20"/>
          <w:szCs w:val="20"/>
          <w:color w:val="auto"/>
        </w:rPr>
      </w:pPr>
    </w:p>
    <w:p>
      <w:pPr>
        <w:ind w:left="860" w:right="1879"/>
        <w:spacing w:after="0" w:line="235" w:lineRule="auto"/>
        <w:rPr>
          <w:sz w:val="20"/>
          <w:szCs w:val="20"/>
          <w:color w:val="auto"/>
        </w:rPr>
      </w:pPr>
      <w:r>
        <w:rPr>
          <w:rFonts w:ascii="Courier New" w:cs="Courier New" w:eastAsia="Courier New" w:hAnsi="Courier New"/>
          <w:sz w:val="18"/>
          <w:szCs w:val="18"/>
          <w:color w:val="auto"/>
        </w:rPr>
        <w:t>which owns AXA Financial, Inc.; and the Mutuelles AXA, which as a group control AXA:</w:t>
      </w:r>
    </w:p>
    <w:p>
      <w:pPr>
        <w:spacing w:after="0" w:line="208" w:lineRule="exact"/>
        <w:rPr>
          <w:sz w:val="20"/>
          <w:szCs w:val="20"/>
          <w:color w:val="auto"/>
        </w:rPr>
      </w:pPr>
    </w:p>
    <w:p>
      <w:pPr>
        <w:ind w:left="860" w:right="2739" w:hanging="536"/>
        <w:spacing w:after="0" w:line="236" w:lineRule="auto"/>
        <w:tabs>
          <w:tab w:leader="none" w:pos="544"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 the Mutuelles AXAs' capacity, as a group, acting as a parent holding company with respect to the holdings of the following AXA entity or entities:</w:t>
      </w:r>
    </w:p>
    <w:p>
      <w:pPr>
        <w:spacing w:after="0" w:line="209" w:lineRule="exact"/>
        <w:rPr>
          <w:sz w:val="20"/>
          <w:szCs w:val="20"/>
          <w:color w:val="auto"/>
        </w:rPr>
      </w:pPr>
    </w:p>
    <w:p>
      <w:pPr>
        <w:ind w:left="860" w:right="3259" w:hanging="536"/>
        <w:spacing w:after="0" w:line="290" w:lineRule="auto"/>
        <w:tabs>
          <w:tab w:leader="none" w:pos="54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 AXA's capacity as a parent holding company with respect to the holdings of the following AXA entity or entities:</w:t>
      </w:r>
    </w:p>
    <w:p>
      <w:pPr>
        <w:spacing w:after="0" w:line="170" w:lineRule="exact"/>
        <w:rPr>
          <w:sz w:val="20"/>
          <w:szCs w:val="20"/>
          <w:color w:val="auto"/>
        </w:rPr>
      </w:pPr>
    </w:p>
    <w:p>
      <w:pPr>
        <w:ind w:left="860" w:right="2939" w:hanging="536"/>
        <w:spacing w:after="0" w:line="290" w:lineRule="auto"/>
        <w:tabs>
          <w:tab w:leader="none" w:pos="8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 Financial, Inc.'s capacity as a parent holding company with respect to the holdings of the following subsidiaries:</w:t>
      </w:r>
    </w:p>
    <w:p>
      <w:pPr>
        <w:spacing w:after="0" w:line="164" w:lineRule="exact"/>
        <w:rPr>
          <w:sz w:val="20"/>
          <w:szCs w:val="20"/>
          <w:color w:val="auto"/>
        </w:rPr>
      </w:pPr>
    </w:p>
    <w:p>
      <w:pPr>
        <w:ind w:left="860" w:hanging="536"/>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 Capital Management L.P.</w:t>
      </w:r>
    </w:p>
    <w:p>
      <w:pPr>
        <w:spacing w:after="0" w:line="4" w:lineRule="exact"/>
        <w:rPr>
          <w:rFonts w:ascii="Courier New" w:cs="Courier New" w:eastAsia="Courier New" w:hAnsi="Courier New"/>
          <w:sz w:val="18"/>
          <w:szCs w:val="18"/>
          <w:color w:val="auto"/>
        </w:rPr>
      </w:pPr>
    </w:p>
    <w:p>
      <w:pPr>
        <w:ind w:left="86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(13-3434400), an investment adviser registered under Section 203 of the Investment Advisers Act of 1940.</w:t>
      </w:r>
    </w:p>
    <w:p>
      <w:pPr>
        <w:sectPr>
          <w:pgSz w:w="11900" w:h="16838" w:orient="portrait"/>
          <w:cols w:equalWidth="0" w:num="1">
            <w:col w:w="10219"/>
          </w:cols>
          <w:pgMar w:left="240" w:top="717"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20" w:type="dxa"/>
            <w:vAlign w:val="bottom"/>
            <w:gridSpan w:val="2"/>
          </w:tcPr>
          <w:p>
            <w:pPr>
              <w:ind w:left="5220"/>
              <w:spacing w:after="0"/>
              <w:rPr>
                <w:sz w:val="20"/>
                <w:szCs w:val="20"/>
                <w:color w:val="auto"/>
              </w:rPr>
            </w:pPr>
            <w:r>
              <w:rPr>
                <w:rFonts w:ascii="Courier New" w:cs="Courier New" w:eastAsia="Courier New" w:hAnsi="Courier New"/>
                <w:sz w:val="18"/>
                <w:szCs w:val="18"/>
                <w:color w:val="auto"/>
                <w:w w:val="96"/>
              </w:rPr>
              <w:t>Page 13 of 13 Pages</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Notice of Dissolution of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2419" w:firstLine="527"/>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38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420" w:right="283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0"/>
        <w:spacing w:after="0"/>
        <w:tabs>
          <w:tab w:leader="none" w:pos="1260" w:val="left"/>
          <w:tab w:leader="none" w:pos="45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12, 2003</w:t>
      </w:r>
      <w:r>
        <w:rPr>
          <w:sz w:val="20"/>
          <w:szCs w:val="20"/>
          <w:color w:val="auto"/>
        </w:rPr>
        <w:tab/>
      </w:r>
      <w:r>
        <w:rPr>
          <w:rFonts w:ascii="Courier New" w:cs="Courier New" w:eastAsia="Courier New" w:hAnsi="Courier New"/>
          <w:sz w:val="16"/>
          <w:szCs w:val="16"/>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Alvin H. Fenichel</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Alvin H. Fenichel</w:t>
      </w:r>
    </w:p>
    <w:p>
      <w:pPr>
        <w:ind w:left="464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4960"/>
        <w:spacing w:after="0"/>
        <w:rPr>
          <w:sz w:val="20"/>
          <w:szCs w:val="20"/>
          <w:color w:val="auto"/>
        </w:rPr>
      </w:pPr>
      <w:r>
        <w:rPr>
          <w:rFonts w:ascii="Courier New" w:cs="Courier New" w:eastAsia="Courier New" w:hAnsi="Courier New"/>
          <w:sz w:val="18"/>
          <w:szCs w:val="18"/>
          <w:color w:val="auto"/>
        </w:rPr>
        <w:t>and Controller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0" w:right="2199" w:hanging="104"/>
        <w:spacing w:after="0" w:line="237" w:lineRule="auto"/>
        <w:rPr>
          <w:sz w:val="20"/>
          <w:szCs w:val="20"/>
          <w:color w:val="auto"/>
        </w:rPr>
      </w:pPr>
      <w:r>
        <w:rPr>
          <w:rFonts w:ascii="Courier New" w:cs="Courier New" w:eastAsia="Courier New" w:hAnsi="Courier New"/>
          <w:sz w:val="18"/>
          <w:szCs w:val="18"/>
          <w:color w:val="auto"/>
        </w:rPr>
        <w:t>*Pursuant to the Joint Filing Agreement with respect to Schedule 13G attached hereto as Exhibit I, among AXA Financial, Inc., AXA Conseil Vie Assurance Mutuelle, AXA Assurances I.A.R.D Mutuelle, AXA Assurances Vie Mutuelle, AXA Courtage Assurance Mutuelle, and AXA, this statement Schedule 13G is filed on behalf of each of them.</w:t>
      </w:r>
    </w:p>
    <w:p>
      <w:pPr>
        <w:sectPr>
          <w:pgSz w:w="11900" w:h="16838" w:orient="portrait"/>
          <w:cols w:equalWidth="0" w:num="1">
            <w:col w:w="10219"/>
          </w:cols>
          <w:pgMar w:left="240" w:top="717" w:right="1440" w:bottom="1440" w:gutter="0" w:footer="0" w:header="0"/>
        </w:sectPr>
      </w:pPr>
    </w:p>
    <w:bookmarkStart w:id="13" w:name="page14"/>
    <w:bookmarkEnd w:id="13"/>
    <w:p>
      <w:pPr>
        <w:ind w:left="6440"/>
        <w:spacing w:after="0"/>
        <w:rPr>
          <w:sz w:val="20"/>
          <w:szCs w:val="20"/>
          <w:color w:val="auto"/>
        </w:rPr>
      </w:pPr>
      <w:r>
        <w:rPr>
          <w:rFonts w:ascii="Courier New" w:cs="Courier New" w:eastAsia="Courier New" w:hAnsi="Courier New"/>
          <w:sz w:val="18"/>
          <w:szCs w:val="18"/>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JOINT FILING AGREEMENT</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Each of the undersigned hereby agrees that the Schedule 13G filed herewith is filed jointly, pursuant to Rule 13d-1(f)(1) of the Securities Exchange Act of 1934, as amended on behalf of each of them.</w:t>
      </w: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February 12, 2003</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 /s/ Alvin H. Fenichel</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Alvin H. Fenichel</w:t>
      </w:r>
    </w:p>
    <w:p>
      <w:pPr>
        <w:ind w:left="860"/>
        <w:spacing w:after="0" w:line="237" w:lineRule="auto"/>
        <w:rPr>
          <w:sz w:val="20"/>
          <w:szCs w:val="20"/>
          <w:color w:val="auto"/>
        </w:rPr>
      </w:pPr>
      <w:r>
        <w:rPr>
          <w:rFonts w:ascii="Courier New" w:cs="Courier New" w:eastAsia="Courier New" w:hAnsi="Courier New"/>
          <w:sz w:val="18"/>
          <w:szCs w:val="18"/>
          <w:color w:val="auto"/>
        </w:rPr>
        <w:t>Senior 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AXA Assurances I.A.R.D. Mutuelle; AXA Assurances Vie Mutuelle; AXA Conseil Vie Assurance Mutuelle; AXA Courtage Assurance Mutuelle, as a group, and AXA</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Signed on behalf of each of the above entities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 /s/ Alvin H. Fenichel</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Alvin H. Fenichel</w:t>
      </w:r>
    </w:p>
    <w:p>
      <w:pPr>
        <w:ind w:left="860"/>
        <w:spacing w:after="0" w:line="237" w:lineRule="auto"/>
        <w:rPr>
          <w:sz w:val="20"/>
          <w:szCs w:val="20"/>
          <w:color w:val="auto"/>
        </w:rPr>
      </w:pPr>
      <w:r>
        <w:rPr>
          <w:rFonts w:ascii="Courier New" w:cs="Courier New" w:eastAsia="Courier New" w:hAnsi="Courier New"/>
          <w:sz w:val="18"/>
          <w:szCs w:val="18"/>
          <w:color w:val="auto"/>
        </w:rPr>
        <w:t>Attorney-in-Fact</w:t>
      </w:r>
    </w:p>
    <w:p>
      <w:pPr>
        <w:ind w:left="860"/>
        <w:spacing w:after="0" w:line="238" w:lineRule="auto"/>
        <w:rPr>
          <w:sz w:val="20"/>
          <w:szCs w:val="20"/>
          <w:color w:val="auto"/>
        </w:rPr>
      </w:pPr>
      <w:r>
        <w:rPr>
          <w:rFonts w:ascii="Courier New" w:cs="Courier New" w:eastAsia="Courier New" w:hAnsi="Courier New"/>
          <w:sz w:val="18"/>
          <w:szCs w:val="18"/>
          <w:color w:val="auto"/>
        </w:rPr>
        <w:t>(Executed pursuant to Powers of Attorney)</w:t>
      </w:r>
    </w:p>
    <w:sectPr>
      <w:pgSz w:w="11900" w:h="16838" w:orient="portrait"/>
      <w:cols w:equalWidth="0" w:num="1">
        <w:col w:w="9799"/>
      </w:cols>
      <w:pgMar w:left="6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lvl w:ilvl="1">
      <w:lvlJc w:val="left"/>
      <w:lvlText w:val="X"/>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12"/>
    </w:lvl>
    <w:lvl w:ilvl="1">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2"/>
    </w:lvl>
    <w:lvl w:ilvl="1">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2"/>
    </w:lvl>
    <w:lvl w:ilvl="1">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2"/>
    </w:lvl>
    <w:lvl w:ilvl="1">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2"/>
    </w:lvl>
    <w:lvl w:ilvl="1">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3"/>
    </w:lvl>
  </w:abstractNum>
  <w:abstractNum w:abstractNumId="13">
    <w:nsid w:val="6B68079A"/>
    <w:multiLevelType w:val="hybridMultilevel"/>
    <w:lvl w:ilvl="0">
      <w:lvlJc w:val="left"/>
      <w:lvlText w:val="%1."/>
      <w:numFmt w:val="decimal"/>
      <w:start w:val="12"/>
    </w:lvl>
    <w:lvl w:ilvl="1">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upperLetter"/>
      <w:start w:val="24"/>
    </w:lvl>
  </w:abstractNum>
  <w:abstractNum w:abstractNumId="17">
    <w:nsid w:val="431BD7B7"/>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2019-12-14T20:10:23Z</dcterms:created>
  <dcterms:modified xsi:type="dcterms:W3CDTF">2019-12-14T20:10:23Z</dcterms:modified>
</cp:coreProperties>
</file>