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TYPE: 6-K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SEQUENCE: 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DESCRIPTION: AMDOCS LIMITED</w:t>
      </w:r>
    </w:p>
    <w:p>
      <w:pPr>
        <w:spacing w:after="0" w:line="200" w:lineRule="exact"/>
        <w:rPr>
          <w:sz w:val="24"/>
          <w:szCs w:val="24"/>
          <w:color w:val="auto"/>
        </w:rPr>
      </w:pPr>
    </w:p>
    <w:p>
      <w:pPr>
        <w:spacing w:after="0" w:line="392"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6-K</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PURSUANT TO RULE 13A-16 OR 15D-16 OF</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Quarter Ended December 31, 2000</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Suite 5, Tower Hill House Le Bordage</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Inc.</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1" w:lineRule="exact"/>
        <w:rPr>
          <w:sz w:val="24"/>
          <w:szCs w:val="24"/>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ectPr>
          <w:pgSz w:w="11900" w:h="16838" w:orient="portrait"/>
          <w:cols w:equalWidth="0" w:num="1">
            <w:col w:w="10219"/>
          </w:cols>
          <w:pgMar w:left="240" w:top="245" w:right="1440" w:bottom="1440" w:gutter="0" w:footer="0" w:header="0"/>
        </w:sectPr>
      </w:pPr>
    </w:p>
    <w:p>
      <w:pPr>
        <w:spacing w:after="0" w:line="394"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Form 20 F</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FORM 40 F</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______</w:t>
      </w:r>
    </w:p>
    <w:p>
      <w:pPr>
        <w:spacing w:after="0" w:line="5" w:lineRule="exact"/>
        <w:rPr>
          <w:sz w:val="24"/>
          <w:szCs w:val="24"/>
          <w:color w:val="auto"/>
        </w:rPr>
      </w:pPr>
    </w:p>
    <w:p>
      <w:pPr>
        <w:sectPr>
          <w:pgSz w:w="11900" w:h="16838" w:orient="portrait"/>
          <w:cols w:equalWidth="0" w:num="4">
            <w:col w:w="3160" w:space="220"/>
            <w:col w:w="500" w:space="720"/>
            <w:col w:w="920" w:space="400"/>
            <w:col w:w="4299"/>
          </w:cols>
          <w:pgMar w:left="240" w:top="245"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5"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45" w:right="1440" w:bottom="1440" w:gutter="0" w:footer="0" w:header="0"/>
          <w:type w:val="continuous"/>
        </w:sectPr>
      </w:pPr>
    </w:p>
    <w:p>
      <w:pPr>
        <w:spacing w:after="0" w:line="197"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right"/>
        <w:ind w:right="5019"/>
        <w:spacing w:after="0"/>
        <w:rPr>
          <w:sz w:val="20"/>
          <w:szCs w:val="20"/>
          <w:color w:val="auto"/>
        </w:rPr>
      </w:pPr>
      <w:r>
        <w:rPr>
          <w:rFonts w:ascii="Courier New" w:cs="Courier New" w:eastAsia="Courier New" w:hAnsi="Courier New"/>
          <w:sz w:val="17"/>
          <w:szCs w:val="17"/>
          <w:color w:val="auto"/>
        </w:rPr>
        <w:t>X</w:t>
      </w:r>
    </w:p>
    <w:p>
      <w:pPr>
        <w:spacing w:after="0" w:line="5" w:lineRule="exact"/>
        <w:rPr>
          <w:sz w:val="24"/>
          <w:szCs w:val="24"/>
          <w:color w:val="auto"/>
        </w:rPr>
      </w:pPr>
    </w:p>
    <w:p>
      <w:pPr>
        <w:jc w:val="right"/>
        <w:ind w:right="50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560" w:space="200"/>
            <w:col w:w="1120" w:space="720"/>
            <w:col w:w="200" w:space="200"/>
            <w:col w:w="5219"/>
          </w:cols>
          <w:pgMar w:left="240" w:top="245"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396"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6-K</w:t>
      </w:r>
    </w:p>
    <w:p>
      <w:pPr>
        <w:spacing w:after="0" w:line="200"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REPORT OF FOREIGN PRIVATE ISSUER</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QUARTER ENDED DECEMBER 31, 2000</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Item 1. Financial Statements</w:t>
      </w:r>
    </w:p>
    <w:p>
      <w:pPr>
        <w:spacing w:after="0" w:line="200"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Unaudited Consolidated Financial Statements</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Consolidated Statement of Changes in Shareholders'</w:t>
      </w:r>
    </w:p>
    <w:p>
      <w:pPr>
        <w:spacing w:after="0" w:line="1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Equity</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Notes to Unaudited Consolidated Financial</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Item 2. Operating and Financial Review and Prospects</w:t>
      </w:r>
    </w:p>
    <w:p>
      <w:pPr>
        <w:spacing w:after="0" w:line="39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Item 6. Exhibits and Reports on Form 6-K</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31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396"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AMDOCS LIMITED</w:t>
      </w:r>
    </w:p>
    <w:p>
      <w:pPr>
        <w:spacing w:after="0" w:line="396"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(IN U.S. DOLLARS, UNLESS OTHERWISE STATED)</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AS OF</w:t>
            </w:r>
          </w:p>
        </w:tc>
        <w:tc>
          <w:tcPr>
            <w:tcW w:w="1420" w:type="dxa"/>
            <w:vAlign w:val="bottom"/>
          </w:tcPr>
          <w:p>
            <w:pPr>
              <w:spacing w:after="0"/>
              <w:rPr>
                <w:sz w:val="16"/>
                <w:szCs w:val="16"/>
                <w:color w:val="auto"/>
              </w:rPr>
            </w:pPr>
          </w:p>
        </w:tc>
      </w:tr>
      <w:tr>
        <w:trPr>
          <w:trHeight w:val="196"/>
        </w:trPr>
        <w:tc>
          <w:tcPr>
            <w:tcW w:w="6280" w:type="dxa"/>
            <w:vAlign w:val="bottom"/>
          </w:tcPr>
          <w:p>
            <w:pPr>
              <w:spacing w:after="0"/>
              <w:rPr>
                <w:sz w:val="17"/>
                <w:szCs w:val="17"/>
                <w:color w:val="auto"/>
              </w:rPr>
            </w:pPr>
          </w:p>
        </w:tc>
        <w:tc>
          <w:tcPr>
            <w:tcW w:w="3620" w:type="dxa"/>
            <w:vAlign w:val="bottom"/>
            <w:gridSpan w:val="2"/>
          </w:tcPr>
          <w:p>
            <w:pPr>
              <w:ind w:left="56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6280" w:type="dxa"/>
            <w:vAlign w:val="bottom"/>
          </w:tcPr>
          <w:p>
            <w:pPr>
              <w:spacing w:after="0"/>
              <w:rPr>
                <w:sz w:val="17"/>
                <w:szCs w:val="17"/>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7"/>
                <w:szCs w:val="17"/>
                <w:color w:val="auto"/>
              </w:rPr>
              <w:t>DECEMBER 31,</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6280" w:type="dxa"/>
            <w:vAlign w:val="bottom"/>
          </w:tcPr>
          <w:p>
            <w:pPr>
              <w:spacing w:after="0"/>
              <w:rPr>
                <w:sz w:val="17"/>
                <w:szCs w:val="17"/>
                <w:color w:val="auto"/>
              </w:rPr>
            </w:pPr>
          </w:p>
        </w:tc>
        <w:tc>
          <w:tcPr>
            <w:tcW w:w="220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2000</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2000</w:t>
            </w:r>
          </w:p>
        </w:tc>
      </w:tr>
      <w:tr>
        <w:trPr>
          <w:trHeight w:val="196"/>
        </w:trPr>
        <w:tc>
          <w:tcPr>
            <w:tcW w:w="6280" w:type="dxa"/>
            <w:vAlign w:val="bottom"/>
          </w:tcPr>
          <w:p>
            <w:pPr>
              <w:spacing w:after="0"/>
              <w:rPr>
                <w:sz w:val="17"/>
                <w:szCs w:val="17"/>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6280" w:type="dxa"/>
            <w:vAlign w:val="bottom"/>
          </w:tcPr>
          <w:p>
            <w:pPr>
              <w:spacing w:after="0"/>
              <w:rPr>
                <w:sz w:val="17"/>
                <w:szCs w:val="17"/>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7"/>
                <w:szCs w:val="17"/>
                <w:color w:val="auto"/>
              </w:rPr>
              <w:t>(UNAUDITED)</w:t>
            </w:r>
          </w:p>
        </w:tc>
        <w:tc>
          <w:tcPr>
            <w:tcW w:w="1420" w:type="dxa"/>
            <w:vAlign w:val="bottom"/>
          </w:tcPr>
          <w:p>
            <w:pPr>
              <w:spacing w:after="0"/>
              <w:rPr>
                <w:sz w:val="17"/>
                <w:szCs w:val="17"/>
                <w:color w:val="auto"/>
              </w:rPr>
            </w:pPr>
          </w:p>
        </w:tc>
      </w:tr>
      <w:tr>
        <w:trPr>
          <w:trHeight w:val="196"/>
        </w:trPr>
        <w:tc>
          <w:tcPr>
            <w:tcW w:w="6280" w:type="dxa"/>
            <w:vAlign w:val="bottom"/>
          </w:tcPr>
          <w:p>
            <w:pPr>
              <w:ind w:left="2860"/>
              <w:spacing w:after="0"/>
              <w:rPr>
                <w:sz w:val="20"/>
                <w:szCs w:val="20"/>
                <w:color w:val="auto"/>
              </w:rPr>
            </w:pPr>
            <w:r>
              <w:rPr>
                <w:rFonts w:ascii="Courier New" w:cs="Courier New" w:eastAsia="Courier New" w:hAnsi="Courier New"/>
                <w:sz w:val="17"/>
                <w:szCs w:val="17"/>
                <w:color w:val="auto"/>
              </w:rPr>
              <w:t>ASSETS</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92"/>
        </w:trPr>
        <w:tc>
          <w:tcPr>
            <w:tcW w:w="62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628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  355,527</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402,300</w:t>
            </w:r>
          </w:p>
        </w:tc>
      </w:tr>
      <w:tr>
        <w:trPr>
          <w:trHeight w:val="196"/>
        </w:trPr>
        <w:tc>
          <w:tcPr>
            <w:tcW w:w="6280" w:type="dxa"/>
            <w:vAlign w:val="bottom"/>
          </w:tcPr>
          <w:p>
            <w:pPr>
              <w:ind w:left="200"/>
              <w:spacing w:after="0"/>
              <w:rPr>
                <w:sz w:val="20"/>
                <w:szCs w:val="20"/>
                <w:color w:val="auto"/>
              </w:rPr>
            </w:pPr>
            <w:r>
              <w:rPr>
                <w:rFonts w:ascii="Courier New" w:cs="Courier New" w:eastAsia="Courier New" w:hAnsi="Courier New"/>
                <w:sz w:val="17"/>
                <w:szCs w:val="17"/>
                <w:color w:val="auto"/>
              </w:rPr>
              <w:t>Short-term interest-bearing investments</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73,836</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r>
      <w:tr>
        <w:trPr>
          <w:trHeight w:val="196"/>
        </w:trPr>
        <w:tc>
          <w:tcPr>
            <w:tcW w:w="628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including unbilled of $10,154 and</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$4,203, less allowances of $3,651 and $6,868,</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respectively (*)</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297,225</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263,100</w:t>
            </w:r>
          </w:p>
        </w:tc>
      </w:tr>
      <w:tr>
        <w:trPr>
          <w:trHeight w:val="196"/>
        </w:trPr>
        <w:tc>
          <w:tcPr>
            <w:tcW w:w="628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41,987</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35,179</w:t>
            </w:r>
          </w:p>
        </w:tc>
      </w:tr>
      <w:tr>
        <w:trPr>
          <w:trHeight w:val="196"/>
        </w:trPr>
        <w:tc>
          <w:tcPr>
            <w:tcW w:w="628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38,217</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34,327</w:t>
            </w:r>
          </w:p>
        </w:tc>
      </w:tr>
      <w:tr>
        <w:trPr>
          <w:trHeight w:val="196"/>
        </w:trPr>
        <w:tc>
          <w:tcPr>
            <w:tcW w:w="6280" w:type="dxa"/>
            <w:vAlign w:val="bottom"/>
          </w:tcPr>
          <w:p>
            <w:pPr>
              <w:spacing w:after="0"/>
              <w:rPr>
                <w:sz w:val="17"/>
                <w:szCs w:val="17"/>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spacing w:after="0"/>
              <w:rPr>
                <w:sz w:val="20"/>
                <w:szCs w:val="20"/>
                <w:color w:val="auto"/>
              </w:rPr>
            </w:pPr>
            <w:r>
              <w:rPr>
                <w:rFonts w:ascii="Courier New" w:cs="Courier New" w:eastAsia="Courier New" w:hAnsi="Courier New"/>
                <w:sz w:val="17"/>
                <w:szCs w:val="17"/>
                <w:color w:val="auto"/>
              </w:rPr>
              <w:t>------------</w:t>
            </w:r>
          </w:p>
        </w:tc>
      </w:tr>
      <w:tr>
        <w:trPr>
          <w:trHeight w:val="196"/>
        </w:trPr>
        <w:tc>
          <w:tcPr>
            <w:tcW w:w="6280" w:type="dxa"/>
            <w:vAlign w:val="bottom"/>
          </w:tcPr>
          <w:p>
            <w:pPr>
              <w:ind w:left="820"/>
              <w:spacing w:after="0"/>
              <w:rPr>
                <w:sz w:val="20"/>
                <w:szCs w:val="20"/>
                <w:color w:val="auto"/>
              </w:rPr>
            </w:pPr>
            <w:r>
              <w:rPr>
                <w:rFonts w:ascii="Courier New" w:cs="Courier New" w:eastAsia="Courier New" w:hAnsi="Courier New"/>
                <w:sz w:val="17"/>
                <w:szCs w:val="17"/>
                <w:color w:val="auto"/>
              </w:rPr>
              <w:t>Total current assets</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806,792</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734,906</w:t>
            </w:r>
          </w:p>
        </w:tc>
      </w:tr>
      <w:tr>
        <w:trPr>
          <w:trHeight w:val="392"/>
        </w:trPr>
        <w:tc>
          <w:tcPr>
            <w:tcW w:w="628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133,889</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128,081</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15,338</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13,900</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955,658</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1,011,053</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48,132</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47,145</w:t>
            </w:r>
          </w:p>
        </w:tc>
      </w:tr>
      <w:tr>
        <w:trPr>
          <w:trHeight w:val="196"/>
        </w:trPr>
        <w:tc>
          <w:tcPr>
            <w:tcW w:w="6280" w:type="dxa"/>
            <w:vAlign w:val="bottom"/>
          </w:tcPr>
          <w:p>
            <w:pPr>
              <w:spacing w:after="0"/>
              <w:rPr>
                <w:sz w:val="17"/>
                <w:szCs w:val="17"/>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spacing w:after="0"/>
              <w:rPr>
                <w:sz w:val="20"/>
                <w:szCs w:val="20"/>
                <w:color w:val="auto"/>
              </w:rPr>
            </w:pPr>
            <w:r>
              <w:rPr>
                <w:rFonts w:ascii="Courier New" w:cs="Courier New" w:eastAsia="Courier New" w:hAnsi="Courier New"/>
                <w:sz w:val="17"/>
                <w:szCs w:val="17"/>
                <w:color w:val="auto"/>
              </w:rPr>
              <w:t>------------</w:t>
            </w:r>
          </w:p>
        </w:tc>
      </w:tr>
      <w:tr>
        <w:trPr>
          <w:trHeight w:val="196"/>
        </w:trPr>
        <w:tc>
          <w:tcPr>
            <w:tcW w:w="6280" w:type="dxa"/>
            <w:vAlign w:val="bottom"/>
          </w:tcPr>
          <w:p>
            <w:pPr>
              <w:ind w:left="820"/>
              <w:spacing w:after="0"/>
              <w:rPr>
                <w:sz w:val="20"/>
                <w:szCs w:val="20"/>
                <w:color w:val="auto"/>
              </w:rPr>
            </w:pPr>
            <w:r>
              <w:rPr>
                <w:rFonts w:ascii="Courier New" w:cs="Courier New" w:eastAsia="Courier New" w:hAnsi="Courier New"/>
                <w:sz w:val="17"/>
                <w:szCs w:val="17"/>
                <w:color w:val="auto"/>
              </w:rPr>
              <w:t>Total assets</w:t>
            </w:r>
          </w:p>
        </w:tc>
        <w:tc>
          <w:tcPr>
            <w:tcW w:w="22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$1,959,809</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$1,935,085</w:t>
            </w:r>
          </w:p>
        </w:tc>
      </w:tr>
      <w:tr>
        <w:trPr>
          <w:trHeight w:val="196"/>
        </w:trPr>
        <w:tc>
          <w:tcPr>
            <w:tcW w:w="6280" w:type="dxa"/>
            <w:vAlign w:val="bottom"/>
          </w:tcPr>
          <w:p>
            <w:pPr>
              <w:spacing w:after="0"/>
              <w:rPr>
                <w:sz w:val="17"/>
                <w:szCs w:val="17"/>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40" w:type="dxa"/>
            <w:vAlign w:val="bottom"/>
          </w:tcPr>
          <w:p>
            <w:pPr>
              <w:ind w:left="2240"/>
              <w:spacing w:after="0"/>
              <w:rPr>
                <w:sz w:val="20"/>
                <w:szCs w:val="20"/>
                <w:color w:val="auto"/>
              </w:rPr>
            </w:pPr>
            <w:r>
              <w:rPr>
                <w:rFonts w:ascii="Courier New" w:cs="Courier New" w:eastAsia="Courier New" w:hAnsi="Courier New"/>
                <w:sz w:val="17"/>
                <w:szCs w:val="17"/>
                <w:color w:val="auto"/>
              </w:rPr>
              <w:t>LIABILITIES AND SHAREHOLDERS' EQUITY</w:t>
            </w: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589"/>
        </w:trPr>
        <w:tc>
          <w:tcPr>
            <w:tcW w:w="65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 and accrued expenses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$ 119,845</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128,249</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Accrued personnel costs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79,118</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70,196</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Short-term financing arrangements</w:t>
            </w:r>
          </w:p>
        </w:tc>
        <w:tc>
          <w:tcPr>
            <w:tcW w:w="17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20,000</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Deferred revenue</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141,519</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133,546</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Short-term portion of capital lease obligations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9,355</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8,713</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 and taxes payable</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71,413</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55,197</w:t>
            </w:r>
          </w:p>
        </w:tc>
      </w:tr>
      <w:tr>
        <w:trPr>
          <w:trHeight w:val="196"/>
        </w:trPr>
        <w:tc>
          <w:tcPr>
            <w:tcW w:w="6540" w:type="dxa"/>
            <w:vAlign w:val="bottom"/>
          </w:tcPr>
          <w:p>
            <w:pPr>
              <w:spacing w:after="0"/>
              <w:rPr>
                <w:sz w:val="17"/>
                <w:szCs w:val="17"/>
                <w:color w:val="auto"/>
              </w:rPr>
            </w:pPr>
          </w:p>
        </w:tc>
        <w:tc>
          <w:tcPr>
            <w:tcW w:w="1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tcPr>
          <w:p>
            <w:pPr>
              <w:ind w:left="820"/>
              <w:spacing w:after="0"/>
              <w:rPr>
                <w:sz w:val="20"/>
                <w:szCs w:val="20"/>
                <w:color w:val="auto"/>
              </w:rPr>
            </w:pPr>
            <w:r>
              <w:rPr>
                <w:rFonts w:ascii="Courier New" w:cs="Courier New" w:eastAsia="Courier New" w:hAnsi="Courier New"/>
                <w:sz w:val="17"/>
                <w:szCs w:val="17"/>
                <w:color w:val="auto"/>
              </w:rPr>
              <w:t>Total current liabilities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421,250</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415,901</w:t>
            </w:r>
          </w:p>
        </w:tc>
      </w:tr>
      <w:tr>
        <w:trPr>
          <w:trHeight w:val="392"/>
        </w:trPr>
        <w:tc>
          <w:tcPr>
            <w:tcW w:w="6540" w:type="dxa"/>
            <w:vAlign w:val="bottom"/>
          </w:tcPr>
          <w:p>
            <w:pPr>
              <w:spacing w:after="0"/>
              <w:rPr>
                <w:sz w:val="20"/>
                <w:szCs w:val="20"/>
                <w:color w:val="auto"/>
              </w:rPr>
            </w:pPr>
            <w:r>
              <w:rPr>
                <w:rFonts w:ascii="Courier New" w:cs="Courier New" w:eastAsia="Courier New" w:hAnsi="Courier New"/>
                <w:sz w:val="17"/>
                <w:szCs w:val="17"/>
                <w:color w:val="auto"/>
              </w:rPr>
              <w:t>Long-term portion of capital lease obligations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25,941</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23,417</w:t>
            </w:r>
          </w:p>
        </w:tc>
      </w:tr>
      <w:tr>
        <w:trPr>
          <w:trHeight w:val="1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10,176</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11,191</w:t>
            </w:r>
          </w:p>
        </w:tc>
      </w:tr>
      <w:tr>
        <w:trPr>
          <w:trHeight w:val="1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Other noncurrent liabilities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56,790</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53,804</w:t>
            </w:r>
          </w:p>
        </w:tc>
      </w:tr>
      <w:tr>
        <w:trPr>
          <w:trHeight w:val="196"/>
        </w:trPr>
        <w:tc>
          <w:tcPr>
            <w:tcW w:w="6540" w:type="dxa"/>
            <w:vAlign w:val="bottom"/>
          </w:tcPr>
          <w:p>
            <w:pPr>
              <w:spacing w:after="0"/>
              <w:rPr>
                <w:sz w:val="17"/>
                <w:szCs w:val="17"/>
                <w:color w:val="auto"/>
              </w:rPr>
            </w:pPr>
          </w:p>
        </w:tc>
        <w:tc>
          <w:tcPr>
            <w:tcW w:w="1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tcPr>
          <w:p>
            <w:pPr>
              <w:ind w:left="820"/>
              <w:spacing w:after="0"/>
              <w:rPr>
                <w:sz w:val="20"/>
                <w:szCs w:val="20"/>
                <w:color w:val="auto"/>
              </w:rPr>
            </w:pPr>
            <w:r>
              <w:rPr>
                <w:rFonts w:ascii="Courier New" w:cs="Courier New" w:eastAsia="Courier New" w:hAnsi="Courier New"/>
                <w:sz w:val="17"/>
                <w:szCs w:val="17"/>
                <w:color w:val="auto"/>
              </w:rPr>
              <w:t>Total liabilities</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514,157</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504,313</w:t>
            </w:r>
          </w:p>
        </w:tc>
      </w:tr>
      <w:tr>
        <w:trPr>
          <w:trHeight w:val="196"/>
        </w:trPr>
        <w:tc>
          <w:tcPr>
            <w:tcW w:w="6540" w:type="dxa"/>
            <w:vAlign w:val="bottom"/>
          </w:tcPr>
          <w:p>
            <w:pPr>
              <w:spacing w:after="0"/>
              <w:rPr>
                <w:sz w:val="17"/>
                <w:szCs w:val="17"/>
                <w:color w:val="auto"/>
              </w:rPr>
            </w:pPr>
          </w:p>
        </w:tc>
        <w:tc>
          <w:tcPr>
            <w:tcW w:w="1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Preferred Shares - Authorized 25,000 shares; Pound</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6540" w:type="dxa"/>
            <w:vAlign w:val="bottom"/>
          </w:tcPr>
          <w:p>
            <w:pPr>
              <w:ind w:left="420"/>
              <w:spacing w:after="0"/>
              <w:rPr>
                <w:sz w:val="20"/>
                <w:szCs w:val="20"/>
                <w:color w:val="auto"/>
              </w:rPr>
            </w:pPr>
            <w:r>
              <w:rPr>
                <w:rFonts w:ascii="Courier New" w:cs="Courier New" w:eastAsia="Courier New" w:hAnsi="Courier New"/>
                <w:sz w:val="17"/>
                <w:szCs w:val="17"/>
                <w:color w:val="auto"/>
              </w:rPr>
              <w:t>Sterling 0.01 par value; 0 shares issued and outstanding</w:t>
            </w:r>
          </w:p>
        </w:tc>
        <w:tc>
          <w:tcPr>
            <w:tcW w:w="17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Ordinary Shares - Authorized 550,000 shares; Pound Sterling</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6540" w:type="dxa"/>
            <w:vAlign w:val="bottom"/>
          </w:tcPr>
          <w:p>
            <w:pPr>
              <w:ind w:left="420"/>
              <w:spacing w:after="0"/>
              <w:rPr>
                <w:sz w:val="20"/>
                <w:szCs w:val="20"/>
                <w:color w:val="auto"/>
              </w:rPr>
            </w:pPr>
            <w:r>
              <w:rPr>
                <w:rFonts w:ascii="Courier New" w:cs="Courier New" w:eastAsia="Courier New" w:hAnsi="Courier New"/>
                <w:sz w:val="17"/>
                <w:szCs w:val="17"/>
                <w:color w:val="auto"/>
              </w:rPr>
              <w:t>0.01 par value; 221,318 and 221,165 outstanding,</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6540" w:type="dxa"/>
            <w:vAlign w:val="bottom"/>
          </w:tcPr>
          <w:p>
            <w:pPr>
              <w:ind w:left="420"/>
              <w:spacing w:after="0"/>
              <w:rPr>
                <w:sz w:val="20"/>
                <w:szCs w:val="20"/>
                <w:color w:val="auto"/>
              </w:rPr>
            </w:pPr>
            <w:r>
              <w:rPr>
                <w:rFonts w:ascii="Courier New" w:cs="Courier New" w:eastAsia="Courier New" w:hAnsi="Courier New"/>
                <w:sz w:val="17"/>
                <w:szCs w:val="17"/>
                <w:color w:val="auto"/>
              </w:rPr>
              <w:t>respectively</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3,542</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3,539</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Additional paid-in capital</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1,786,492</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1,784,816</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Accumulated other comprehensive income</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1,360</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1,159</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Unearned compensation</w:t>
            </w:r>
          </w:p>
        </w:tc>
        <w:tc>
          <w:tcPr>
            <w:tcW w:w="1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(740)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(1,164)</w:t>
            </w:r>
          </w:p>
        </w:tc>
      </w:tr>
      <w:tr>
        <w:trPr>
          <w:trHeight w:val="196"/>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Accumulated deficit</w:t>
            </w:r>
          </w:p>
        </w:tc>
        <w:tc>
          <w:tcPr>
            <w:tcW w:w="1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(345,002)</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(357,578)</w:t>
            </w:r>
          </w:p>
        </w:tc>
      </w:tr>
      <w:tr>
        <w:trPr>
          <w:trHeight w:val="196"/>
        </w:trPr>
        <w:tc>
          <w:tcPr>
            <w:tcW w:w="6540" w:type="dxa"/>
            <w:vAlign w:val="bottom"/>
          </w:tcPr>
          <w:p>
            <w:pPr>
              <w:spacing w:after="0"/>
              <w:rPr>
                <w:sz w:val="17"/>
                <w:szCs w:val="17"/>
                <w:color w:val="auto"/>
              </w:rPr>
            </w:pPr>
          </w:p>
        </w:tc>
        <w:tc>
          <w:tcPr>
            <w:tcW w:w="1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tcPr>
          <w:p>
            <w:pPr>
              <w:ind w:left="820"/>
              <w:spacing w:after="0"/>
              <w:rPr>
                <w:sz w:val="20"/>
                <w:szCs w:val="20"/>
                <w:color w:val="auto"/>
              </w:rPr>
            </w:pPr>
            <w:r>
              <w:rPr>
                <w:rFonts w:ascii="Courier New" w:cs="Courier New" w:eastAsia="Courier New" w:hAnsi="Courier New"/>
                <w:sz w:val="17"/>
                <w:szCs w:val="17"/>
                <w:color w:val="auto"/>
              </w:rPr>
              <w:t>Total shareholders' equity</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1,445,652</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1,430,772</w:t>
            </w:r>
          </w:p>
        </w:tc>
      </w:tr>
      <w:tr>
        <w:trPr>
          <w:trHeight w:val="196"/>
        </w:trPr>
        <w:tc>
          <w:tcPr>
            <w:tcW w:w="6540" w:type="dxa"/>
            <w:vAlign w:val="bottom"/>
          </w:tcPr>
          <w:p>
            <w:pPr>
              <w:spacing w:after="0"/>
              <w:rPr>
                <w:sz w:val="17"/>
                <w:szCs w:val="17"/>
                <w:color w:val="auto"/>
              </w:rPr>
            </w:pPr>
          </w:p>
        </w:tc>
        <w:tc>
          <w:tcPr>
            <w:tcW w:w="1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tcPr>
          <w:p>
            <w:pPr>
              <w:ind w:left="820"/>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$1,959,809</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$1,935,085</w:t>
            </w:r>
          </w:p>
        </w:tc>
      </w:tr>
    </w:tbl>
    <w:p>
      <w:pPr>
        <w:sectPr>
          <w:pgSz w:w="11900" w:h="16838" w:orient="portrait"/>
          <w:cols w:equalWidth="0" w:num="1">
            <w:col w:w="10219"/>
          </w:cols>
          <w:pgMar w:left="240" w:top="311" w:right="1440" w:bottom="0" w:gutter="0" w:footer="0" w:header="0"/>
        </w:sectPr>
      </w:pPr>
    </w:p>
    <w:bookmarkStart w:id="3" w:name="page4"/>
    <w:bookmarkEnd w:id="3"/>
    <w:p>
      <w:pPr>
        <w:jc w:val="both"/>
        <w:ind w:left="6840"/>
        <w:spacing w:after="0"/>
        <w:tabs>
          <w:tab w:leader="none" w:pos="8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See Note 2.</w:t>
      </w:r>
    </w:p>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14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4</w:t>
      </w:r>
    </w:p>
    <w:p>
      <w:pPr>
        <w:spacing w:after="0" w:line="3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CONSOLIDATED STATEMENTS OF INCOME (UNAUDITED)</w:t>
      </w:r>
    </w:p>
    <w:p>
      <w:pPr>
        <w:spacing w:after="0" w:line="200"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60" w:type="dxa"/>
            <w:vAlign w:val="bottom"/>
            <w:gridSpan w:val="3"/>
          </w:tcPr>
          <w:p>
            <w:pPr>
              <w:jc w:val="center"/>
              <w:ind w:right="215"/>
              <w:spacing w:after="0"/>
              <w:rPr>
                <w:sz w:val="20"/>
                <w:szCs w:val="20"/>
                <w:color w:val="auto"/>
              </w:rPr>
            </w:pPr>
            <w:r>
              <w:rPr>
                <w:rFonts w:ascii="Courier New" w:cs="Courier New" w:eastAsia="Courier New" w:hAnsi="Courier New"/>
                <w:sz w:val="17"/>
                <w:szCs w:val="17"/>
                <w:color w:val="auto"/>
                <w:w w:val="99"/>
              </w:rPr>
              <w:t>THREE MONTHS ENDED</w:t>
            </w:r>
          </w:p>
        </w:tc>
      </w:tr>
      <w:tr>
        <w:trPr>
          <w:trHeight w:val="196"/>
        </w:trPr>
        <w:tc>
          <w:tcPr>
            <w:tcW w:w="3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2"/>
          </w:tcPr>
          <w:p>
            <w:pPr>
              <w:jc w:val="center"/>
              <w:ind w:left="535"/>
              <w:spacing w:after="0"/>
              <w:rPr>
                <w:sz w:val="20"/>
                <w:szCs w:val="20"/>
                <w:color w:val="auto"/>
              </w:rPr>
            </w:pPr>
            <w:r>
              <w:rPr>
                <w:rFonts w:ascii="Courier New" w:cs="Courier New" w:eastAsia="Courier New" w:hAnsi="Courier New"/>
                <w:sz w:val="17"/>
                <w:szCs w:val="17"/>
                <w:color w:val="auto"/>
                <w:w w:val="99"/>
              </w:rPr>
              <w:t>DECEMBER 31,</w:t>
            </w:r>
          </w:p>
        </w:tc>
        <w:tc>
          <w:tcPr>
            <w:tcW w:w="920" w:type="dxa"/>
            <w:vAlign w:val="bottom"/>
          </w:tcPr>
          <w:p>
            <w:pPr>
              <w:spacing w:after="0"/>
              <w:rPr>
                <w:sz w:val="17"/>
                <w:szCs w:val="17"/>
                <w:color w:val="auto"/>
              </w:rPr>
            </w:pPr>
          </w:p>
        </w:tc>
      </w:tr>
      <w:tr>
        <w:trPr>
          <w:trHeight w:val="196"/>
        </w:trPr>
        <w:tc>
          <w:tcPr>
            <w:tcW w:w="3620" w:type="dxa"/>
            <w:vAlign w:val="bottom"/>
          </w:tcPr>
          <w:p>
            <w:pPr>
              <w:spacing w:after="0"/>
              <w:rPr>
                <w:sz w:val="17"/>
                <w:szCs w:val="17"/>
                <w:color w:val="auto"/>
              </w:rPr>
            </w:pPr>
          </w:p>
        </w:tc>
        <w:tc>
          <w:tcPr>
            <w:tcW w:w="3220" w:type="dxa"/>
            <w:vAlign w:val="bottom"/>
            <w:gridSpan w:val="4"/>
          </w:tcPr>
          <w:p>
            <w:pPr>
              <w:ind w:left="26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3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2000</w:t>
            </w:r>
          </w:p>
        </w:tc>
        <w:tc>
          <w:tcPr>
            <w:tcW w:w="50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1999</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License (*)</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38,076</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26,502</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Service (*)</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304,091</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209,004</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3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342,167</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235,506</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Cost of license</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1,658</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1,173</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Cost of service (*)</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191,788</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138,467</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Research and development</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23,579</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14,970</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Selling, general and</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20" w:type="dxa"/>
            <w:vAlign w:val="bottom"/>
          </w:tcPr>
          <w:p>
            <w:pPr>
              <w:ind w:left="420"/>
              <w:spacing w:after="0"/>
              <w:rPr>
                <w:sz w:val="20"/>
                <w:szCs w:val="20"/>
                <w:color w:val="auto"/>
              </w:rPr>
            </w:pPr>
            <w:r>
              <w:rPr>
                <w:rFonts w:ascii="Courier New" w:cs="Courier New" w:eastAsia="Courier New" w:hAnsi="Courier New"/>
                <w:sz w:val="17"/>
                <w:szCs w:val="17"/>
                <w:color w:val="auto"/>
              </w:rPr>
              <w:t>administrative (*)</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43,450</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27,460</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goodwill and</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20" w:type="dxa"/>
            <w:vAlign w:val="bottom"/>
          </w:tcPr>
          <w:p>
            <w:pPr>
              <w:ind w:left="420"/>
              <w:spacing w:after="0"/>
              <w:rPr>
                <w:sz w:val="20"/>
                <w:szCs w:val="20"/>
                <w:color w:val="auto"/>
              </w:rPr>
            </w:pPr>
            <w:r>
              <w:rPr>
                <w:rFonts w:ascii="Courier New" w:cs="Courier New" w:eastAsia="Courier New" w:hAnsi="Courier New"/>
                <w:sz w:val="17"/>
                <w:szCs w:val="17"/>
                <w:color w:val="auto"/>
              </w:rPr>
              <w:t>purchased intangible assets</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54,160</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700</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In-process research and</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20" w:type="dxa"/>
            <w:vAlign w:val="bottom"/>
          </w:tcPr>
          <w:p>
            <w:pPr>
              <w:ind w:left="420"/>
              <w:spacing w:after="0"/>
              <w:rPr>
                <w:sz w:val="20"/>
                <w:szCs w:val="20"/>
                <w:color w:val="auto"/>
              </w:rPr>
            </w:pPr>
            <w:r>
              <w:rPr>
                <w:rFonts w:ascii="Courier New" w:cs="Courier New" w:eastAsia="Courier New" w:hAnsi="Courier New"/>
                <w:sz w:val="17"/>
                <w:szCs w:val="17"/>
                <w:color w:val="auto"/>
              </w:rPr>
              <w:t>development expenses and</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20" w:type="dxa"/>
            <w:vAlign w:val="bottom"/>
          </w:tcPr>
          <w:p>
            <w:pPr>
              <w:ind w:left="420"/>
              <w:spacing w:after="0"/>
              <w:rPr>
                <w:sz w:val="20"/>
                <w:szCs w:val="20"/>
                <w:color w:val="auto"/>
              </w:rPr>
            </w:pPr>
            <w:r>
              <w:rPr>
                <w:rFonts w:ascii="Courier New" w:cs="Courier New" w:eastAsia="Courier New" w:hAnsi="Courier New"/>
                <w:sz w:val="17"/>
                <w:szCs w:val="17"/>
                <w:color w:val="auto"/>
              </w:rPr>
              <w:t>other indirect acquisition</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20" w:type="dxa"/>
            <w:vAlign w:val="bottom"/>
          </w:tcPr>
          <w:p>
            <w:pPr>
              <w:ind w:left="420"/>
              <w:spacing w:after="0"/>
              <w:rPr>
                <w:sz w:val="20"/>
                <w:szCs w:val="20"/>
                <w:color w:val="auto"/>
              </w:rPr>
            </w:pPr>
            <w:r>
              <w:rPr>
                <w:rFonts w:ascii="Courier New" w:cs="Courier New" w:eastAsia="Courier New" w:hAnsi="Courier New"/>
                <w:sz w:val="17"/>
                <w:szCs w:val="17"/>
                <w:color w:val="auto"/>
              </w:rPr>
              <w:t>related costs</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19,876</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3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314,635</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202,646</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60" w:type="dxa"/>
            <w:vAlign w:val="bottom"/>
          </w:tcPr>
          <w:p>
            <w:pPr>
              <w:spacing w:after="0"/>
              <w:rPr>
                <w:sz w:val="24"/>
                <w:szCs w:val="24"/>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27,532</w:t>
            </w:r>
          </w:p>
        </w:tc>
        <w:tc>
          <w:tcPr>
            <w:tcW w:w="50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32,860</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460" w:type="dxa"/>
            <w:vAlign w:val="bottom"/>
          </w:tcPr>
          <w:p>
            <w:pPr>
              <w:spacing w:after="0"/>
              <w:rPr>
                <w:sz w:val="24"/>
                <w:szCs w:val="24"/>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5,562</w:t>
            </w:r>
          </w:p>
        </w:tc>
        <w:tc>
          <w:tcPr>
            <w:tcW w:w="50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345</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33,094</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33,205</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20,518</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15,924</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12,576</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17,281</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0.06</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0.09</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0.06</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0.08</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Basic weighted average number</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3620" w:type="dxa"/>
            <w:vAlign w:val="bottom"/>
          </w:tcPr>
          <w:p>
            <w:pPr>
              <w:ind w:left="420"/>
              <w:spacing w:after="0"/>
              <w:rPr>
                <w:sz w:val="20"/>
                <w:szCs w:val="20"/>
                <w:color w:val="auto"/>
              </w:rPr>
            </w:pPr>
            <w:r>
              <w:rPr>
                <w:rFonts w:ascii="Courier New" w:cs="Courier New" w:eastAsia="Courier New" w:hAnsi="Courier New"/>
                <w:sz w:val="17"/>
                <w:szCs w:val="17"/>
                <w:color w:val="auto"/>
              </w:rPr>
              <w:t>of shares outstanding</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221,217</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201,020</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Diluted weighted average number</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3620" w:type="dxa"/>
            <w:vAlign w:val="bottom"/>
          </w:tcPr>
          <w:p>
            <w:pPr>
              <w:ind w:left="420"/>
              <w:spacing w:after="0"/>
              <w:rPr>
                <w:sz w:val="20"/>
                <w:szCs w:val="20"/>
                <w:color w:val="auto"/>
              </w:rPr>
            </w:pPr>
            <w:r>
              <w:rPr>
                <w:rFonts w:ascii="Courier New" w:cs="Courier New" w:eastAsia="Courier New" w:hAnsi="Courier New"/>
                <w:sz w:val="17"/>
                <w:szCs w:val="17"/>
                <w:color w:val="auto"/>
              </w:rPr>
              <w:t>of shares outstanding</w:t>
            </w:r>
          </w:p>
        </w:tc>
        <w:tc>
          <w:tcPr>
            <w:tcW w:w="46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226,361</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204,867</w:t>
            </w:r>
          </w:p>
        </w:tc>
      </w:tr>
      <w:tr>
        <w:trPr>
          <w:trHeight w:val="196"/>
        </w:trPr>
        <w:tc>
          <w:tcPr>
            <w:tcW w:w="362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w:t>
            </w:r>
          </w:p>
        </w:tc>
      </w:tr>
    </w:tbl>
    <w:p>
      <w:pPr>
        <w:spacing w:after="0" w:line="39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 See Note 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See accompanying notes</w:t>
      </w:r>
    </w:p>
    <w:p>
      <w:pPr>
        <w:spacing w:after="0" w:line="396"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899"/>
          </w:cols>
          <w:pgMar w:left="560" w:top="311"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5</w:t>
      </w:r>
    </w:p>
    <w:p>
      <w:pPr>
        <w:spacing w:after="0" w:line="396"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CONSOLIDATED STATEMENT OF CHANGES IN SHAREHOLDERS' EQUITY (UNAUDITED)</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Accumulated</w:t>
            </w: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2140" w:type="dxa"/>
            <w:vAlign w:val="bottom"/>
          </w:tcPr>
          <w:p>
            <w:pPr>
              <w:spacing w:after="0"/>
              <w:rPr>
                <w:sz w:val="17"/>
                <w:szCs w:val="17"/>
                <w:color w:val="auto"/>
              </w:rPr>
            </w:pPr>
          </w:p>
        </w:tc>
        <w:tc>
          <w:tcPr>
            <w:tcW w:w="220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Ordinary Shares</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Additional</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Other</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Total</w:t>
            </w:r>
          </w:p>
        </w:tc>
      </w:tr>
      <w:tr>
        <w:trPr>
          <w:trHeight w:val="196"/>
        </w:trPr>
        <w:tc>
          <w:tcPr>
            <w:tcW w:w="2140" w:type="dxa"/>
            <w:vAlign w:val="bottom"/>
          </w:tcPr>
          <w:p>
            <w:pPr>
              <w:spacing w:after="0"/>
              <w:rPr>
                <w:sz w:val="17"/>
                <w:szCs w:val="17"/>
                <w:color w:val="auto"/>
              </w:rPr>
            </w:pPr>
          </w:p>
        </w:tc>
        <w:tc>
          <w:tcPr>
            <w:tcW w:w="220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Paid-in</w:t>
            </w: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Comprehensive</w:t>
            </w:r>
          </w:p>
        </w:tc>
        <w:tc>
          <w:tcPr>
            <w:tcW w:w="15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Unearned</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Accumulated</w:t>
            </w:r>
          </w:p>
        </w:tc>
        <w:tc>
          <w:tcPr>
            <w:tcW w:w="1420" w:type="dxa"/>
            <w:vAlign w:val="bottom"/>
          </w:tcPr>
          <w:p>
            <w:pPr>
              <w:ind w:left="100"/>
              <w:spacing w:after="0"/>
              <w:rPr>
                <w:sz w:val="20"/>
                <w:szCs w:val="20"/>
                <w:color w:val="auto"/>
              </w:rPr>
            </w:pPr>
            <w:r>
              <w:rPr>
                <w:rFonts w:ascii="Courier New" w:cs="Courier New" w:eastAsia="Courier New" w:hAnsi="Courier New"/>
                <w:sz w:val="17"/>
                <w:szCs w:val="17"/>
                <w:color w:val="auto"/>
                <w:w w:val="98"/>
              </w:rPr>
              <w:t>Shareholders'</w:t>
            </w:r>
          </w:p>
        </w:tc>
      </w:tr>
      <w:tr>
        <w:trPr>
          <w:trHeight w:val="196"/>
        </w:trPr>
        <w:tc>
          <w:tcPr>
            <w:tcW w:w="214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Shares</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Amount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Capital</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Income</w:t>
            </w:r>
          </w:p>
        </w:tc>
        <w:tc>
          <w:tcPr>
            <w:tcW w:w="1540" w:type="dxa"/>
            <w:vAlign w:val="bottom"/>
          </w:tcPr>
          <w:p>
            <w:pPr>
              <w:ind w:left="120"/>
              <w:spacing w:after="0"/>
              <w:rPr>
                <w:sz w:val="20"/>
                <w:szCs w:val="20"/>
                <w:color w:val="auto"/>
              </w:rPr>
            </w:pPr>
            <w:r>
              <w:rPr>
                <w:rFonts w:ascii="Courier New" w:cs="Courier New" w:eastAsia="Courier New" w:hAnsi="Courier New"/>
                <w:sz w:val="17"/>
                <w:szCs w:val="17"/>
                <w:color w:val="auto"/>
              </w:rPr>
              <w:t>Compensation</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Deficit</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Equity</w:t>
            </w:r>
          </w:p>
        </w:tc>
      </w:tr>
      <w:tr>
        <w:trPr>
          <w:trHeight w:val="196"/>
        </w:trPr>
        <w:tc>
          <w:tcPr>
            <w:tcW w:w="21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r>
      <w:tr>
        <w:trPr>
          <w:trHeight w:val="392"/>
        </w:trPr>
        <w:tc>
          <w:tcPr>
            <w:tcW w:w="2140" w:type="dxa"/>
            <w:vAlign w:val="bottom"/>
          </w:tcPr>
          <w:p>
            <w:pPr>
              <w:spacing w:after="0"/>
              <w:rPr>
                <w:sz w:val="20"/>
                <w:szCs w:val="20"/>
                <w:color w:val="auto"/>
              </w:rPr>
            </w:pPr>
            <w:r>
              <w:rPr>
                <w:rFonts w:ascii="Courier New" w:cs="Courier New" w:eastAsia="Courier New" w:hAnsi="Courier New"/>
                <w:sz w:val="17"/>
                <w:szCs w:val="17"/>
                <w:color w:val="auto"/>
              </w:rPr>
              <w:t>Balance as of</w:t>
            </w: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September 30, 2000</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221,165</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$3,539</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$1,784,816</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$1,159</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$(1,164)</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$(357,578)</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$1,430,772</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12,576</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12,576</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Employee stock</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options exercised</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153</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811</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814</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Tax benefit of</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stock options</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exercised</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810</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810</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Unrealized other</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comprehensive</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income, net of</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$86 tax</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201</w:t>
            </w: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201</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Stock options</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granted</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55</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Amortization of</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unearned</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compensation</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424</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424</w:t>
            </w:r>
          </w:p>
        </w:tc>
      </w:tr>
      <w:tr>
        <w:trPr>
          <w:trHeight w:val="196"/>
        </w:trPr>
        <w:tc>
          <w:tcPr>
            <w:tcW w:w="21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Balance as of</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December 31, 2000</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221,318</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$3,542</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$1,786,492</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$1,360</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$(740)</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$(345,002)</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$1,445,652</w:t>
            </w:r>
          </w:p>
        </w:tc>
      </w:tr>
      <w:tr>
        <w:trPr>
          <w:trHeight w:val="196"/>
        </w:trPr>
        <w:tc>
          <w:tcPr>
            <w:tcW w:w="21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See accompanying notes</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311" w:right="13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3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80" w:type="dxa"/>
            <w:vAlign w:val="bottom"/>
            <w:gridSpan w:val="3"/>
          </w:tcPr>
          <w:p>
            <w:pPr>
              <w:jc w:val="right"/>
              <w:ind w:right="215"/>
              <w:spacing w:after="0"/>
              <w:rPr>
                <w:sz w:val="20"/>
                <w:szCs w:val="20"/>
                <w:color w:val="auto"/>
              </w:rPr>
            </w:pPr>
            <w:r>
              <w:rPr>
                <w:rFonts w:ascii="Courier New" w:cs="Courier New" w:eastAsia="Courier New" w:hAnsi="Courier New"/>
                <w:sz w:val="17"/>
                <w:szCs w:val="17"/>
                <w:color w:val="auto"/>
                <w:w w:val="99"/>
              </w:rPr>
              <w:t>THREE MONTHS ENDED DECEMBER 31,</w:t>
            </w:r>
          </w:p>
        </w:tc>
      </w:tr>
      <w:tr>
        <w:trPr>
          <w:trHeight w:val="196"/>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2000</w:t>
            </w:r>
          </w:p>
        </w:tc>
        <w:tc>
          <w:tcPr>
            <w:tcW w:w="520" w:type="dxa"/>
            <w:vAlign w:val="bottom"/>
          </w:tcPr>
          <w:p>
            <w:pPr>
              <w:spacing w:after="0"/>
              <w:rPr>
                <w:sz w:val="17"/>
                <w:szCs w:val="17"/>
                <w:color w:val="auto"/>
              </w:rPr>
            </w:pPr>
          </w:p>
        </w:tc>
        <w:tc>
          <w:tcPr>
            <w:tcW w:w="12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1999</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FLOW FROM OPERATING ACTIVITIES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12,576</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17,281</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Reconciliation of net income to net cash</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provided by operating activities:</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68,979</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10,162</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In-process research and development expenses</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19,876</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Loss (income) on sale of equipment</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(16)</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(7,012)</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(2,714)</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Tax benefit of stock options exercised</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810</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Unrealized income on other comprehensive</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income</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287</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8,230</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changes in operating assets and</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liabilities:</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(34,125)</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16,397</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(3,890)</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(18,469)</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Other noncurrent assets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(43)</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(1,805)</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 and accrued expenses</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1,046</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9,986</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Deferred revenue</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7,973</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Income taxes payable</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13,884</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7,343</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Other noncurrent liabilities</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2,986</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7,939</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63,455</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74,230</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FLOW FROM INVESTING ACTIVITIES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Proceeds from sale of equipment, vehicles and</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leasehold improvements</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475</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446</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Payments for purchase of equipment, vehicles,</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leasehold improvements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(14,028)</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(13,408)</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Purchase of short-term interest-bearing</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investments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(73,836)</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(20,384)</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Investment in noncurrent assets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(1,000)</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cash acquired in acquisition</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31,900</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(88,389)</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(1,446)</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FLOW FROM FINANCING ACTIVITIES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Proceeds from employee stock options exercised</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814</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Payments under short-term finance arrangements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(20,000)</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(83,282)</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Borrowings under short-term finance</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arrangements</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92,597</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Principal payments on capital lease obligations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(2,653)</w:t>
            </w:r>
          </w:p>
        </w:tc>
        <w:tc>
          <w:tcPr>
            <w:tcW w:w="5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(1,469)</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financing</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activities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(21,839)</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7,861</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equivalents</w:t>
            </w:r>
          </w:p>
        </w:tc>
        <w:tc>
          <w:tcPr>
            <w:tcW w:w="300" w:type="dxa"/>
            <w:vAlign w:val="bottom"/>
          </w:tcPr>
          <w:p>
            <w:pPr>
              <w:spacing w:after="0"/>
              <w:rPr>
                <w:sz w:val="17"/>
                <w:szCs w:val="17"/>
                <w:color w:val="auto"/>
              </w:rPr>
            </w:pP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(46,773)</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80,645</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period</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402,300</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85,174</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355,527</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165,819</w:t>
            </w:r>
          </w:p>
        </w:tc>
      </w:tr>
      <w:tr>
        <w:trPr>
          <w:trHeight w:val="196"/>
        </w:trPr>
        <w:tc>
          <w:tcPr>
            <w:tcW w:w="5000" w:type="dxa"/>
            <w:vAlign w:val="bottom"/>
          </w:tcPr>
          <w:p>
            <w:pPr>
              <w:spacing w:after="0"/>
              <w:rPr>
                <w:sz w:val="17"/>
                <w:szCs w:val="17"/>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SUPPLEMENTARY CASH FLOW INFORMATION</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paid for:</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Income taxes, net of refunds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10,878</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8,498</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30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813</w:t>
            </w:r>
          </w:p>
        </w:tc>
        <w:tc>
          <w:tcPr>
            <w:tcW w:w="5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 CASH INVESTING AND FINANCING ACTIVITIES</w:t>
      </w:r>
    </w:p>
    <w:p>
      <w:pPr>
        <w:spacing w:after="0" w:line="5"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Capital lease obligations of $5,819 and $1,317 were incurred during the three months ended December 31, 2000 and 1999, respectively, when the Company (as</w:t>
      </w:r>
    </w:p>
    <w:p>
      <w:pPr>
        <w:sectPr>
          <w:pgSz w:w="11900" w:h="16838" w:orient="portrait"/>
          <w:cols w:equalWidth="0" w:num="1">
            <w:col w:w="10219"/>
          </w:cols>
          <w:pgMar w:left="240" w:top="311" w:right="1440" w:bottom="0" w:gutter="0" w:footer="0" w:header="0"/>
        </w:sectPr>
      </w:pPr>
    </w:p>
    <w:bookmarkStart w:id="7" w:name="page8"/>
    <w:bookmarkEnd w:id="7"/>
    <w:p>
      <w:pPr>
        <w:ind w:right="2459"/>
        <w:spacing w:after="0" w:line="243" w:lineRule="auto"/>
        <w:rPr>
          <w:sz w:val="20"/>
          <w:szCs w:val="20"/>
          <w:color w:val="auto"/>
        </w:rPr>
      </w:pPr>
      <w:r>
        <w:rPr>
          <w:rFonts w:ascii="Courier New" w:cs="Courier New" w:eastAsia="Courier New" w:hAnsi="Courier New"/>
          <w:sz w:val="17"/>
          <w:szCs w:val="17"/>
          <w:color w:val="auto"/>
        </w:rPr>
        <w:t>hereinafter defined) entered into lease agreements for the purchase of fixed assets.</w:t>
      </w:r>
    </w:p>
    <w:p>
      <w:pPr>
        <w:spacing w:after="0" w:line="200" w:lineRule="exact"/>
        <w:rPr>
          <w:sz w:val="20"/>
          <w:szCs w:val="20"/>
          <w:color w:val="auto"/>
        </w:rPr>
      </w:pPr>
    </w:p>
    <w:p>
      <w:pPr>
        <w:spacing w:after="0" w:line="39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See accompanying notes</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42" w:right="1440" w:bottom="1440" w:gutter="0" w:footer="0" w:header="0"/>
        </w:sectPr>
      </w:pPr>
    </w:p>
    <w:bookmarkStart w:id="8" w:name="page9"/>
    <w:bookmarkEnd w:id="8"/>
    <w:p>
      <w:pPr>
        <w:ind w:left="315"/>
        <w:spacing w:after="0"/>
        <w:rPr>
          <w:sz w:val="20"/>
          <w:szCs w:val="20"/>
          <w:color w:val="auto"/>
        </w:rPr>
      </w:pPr>
      <w:r>
        <w:rPr>
          <w:rFonts w:ascii="Courier New" w:cs="Courier New" w:eastAsia="Courier New" w:hAnsi="Courier New"/>
          <w:sz w:val="17"/>
          <w:szCs w:val="17"/>
          <w:color w:val="auto"/>
        </w:rPr>
        <w:t>7</w:t>
      </w:r>
    </w:p>
    <w:p>
      <w:pPr>
        <w:spacing w:after="0" w:line="396" w:lineRule="exact"/>
        <w:rPr>
          <w:sz w:val="20"/>
          <w:szCs w:val="20"/>
          <w:color w:val="auto"/>
        </w:rPr>
      </w:pPr>
    </w:p>
    <w:p>
      <w:pPr>
        <w:ind w:left="3255"/>
        <w:spacing w:after="0"/>
        <w:rPr>
          <w:sz w:val="20"/>
          <w:szCs w:val="20"/>
          <w:color w:val="auto"/>
        </w:rPr>
      </w:pPr>
      <w:r>
        <w:rPr>
          <w:rFonts w:ascii="Courier New" w:cs="Courier New" w:eastAsia="Courier New" w:hAnsi="Courier New"/>
          <w:sz w:val="17"/>
          <w:szCs w:val="17"/>
          <w:color w:val="auto"/>
        </w:rPr>
        <w:t>AMDOCS LIMITED</w:t>
      </w:r>
    </w:p>
    <w:p>
      <w:pPr>
        <w:spacing w:after="0" w:line="201" w:lineRule="exact"/>
        <w:rPr>
          <w:sz w:val="20"/>
          <w:szCs w:val="20"/>
          <w:color w:val="auto"/>
        </w:rPr>
      </w:pPr>
    </w:p>
    <w:p>
      <w:pPr>
        <w:ind w:left="1835" w:right="3479" w:hanging="407"/>
        <w:spacing w:after="0" w:line="243" w:lineRule="auto"/>
        <w:rPr>
          <w:sz w:val="20"/>
          <w:szCs w:val="20"/>
          <w:color w:val="auto"/>
        </w:rPr>
      </w:pPr>
      <w:r>
        <w:rPr>
          <w:rFonts w:ascii="Courier New" w:cs="Courier New" w:eastAsia="Courier New" w:hAnsi="Courier New"/>
          <w:sz w:val="17"/>
          <w:szCs w:val="17"/>
          <w:color w:val="auto"/>
        </w:rPr>
        <w:t>NOTES TO UNAUDITED CONSOLIDATED FINANCIAL STATEMENTS (IN U.S. DOLLARS, UNLESS OTHERWISE STATED)</w:t>
      </w:r>
    </w:p>
    <w:p>
      <w:pPr>
        <w:spacing w:after="0" w:line="1" w:lineRule="exact"/>
        <w:rPr>
          <w:sz w:val="20"/>
          <w:szCs w:val="20"/>
          <w:color w:val="auto"/>
        </w:rPr>
      </w:pPr>
    </w:p>
    <w:p>
      <w:pPr>
        <w:ind w:left="2035"/>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ind w:left="415" w:hanging="415"/>
        <w:spacing w:after="0"/>
        <w:tabs>
          <w:tab w:leader="none" w:pos="415"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00" w:lineRule="exact"/>
        <w:rPr>
          <w:rFonts w:ascii="Courier New" w:cs="Courier New" w:eastAsia="Courier New" w:hAnsi="Courier New"/>
          <w:sz w:val="17"/>
          <w:szCs w:val="17"/>
          <w:color w:val="auto"/>
        </w:rPr>
      </w:pPr>
    </w:p>
    <w:p>
      <w:pPr>
        <w:ind w:left="4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Amdocs Limited (the "Company") is a leading provider of software products and services to the communications industry. The Company and its subsidiaries operate in one business segment, providing business support systems and related services for the communications industry. The Company designs, develops, markets, supports and operates information system solutions to major wireless, wireline and Internet Protocol ("IP") companies throughout the world.</w:t>
      </w:r>
    </w:p>
    <w:p>
      <w:pPr>
        <w:spacing w:after="0" w:line="199" w:lineRule="exact"/>
        <w:rPr>
          <w:rFonts w:ascii="Courier New" w:cs="Courier New" w:eastAsia="Courier New" w:hAnsi="Courier New"/>
          <w:sz w:val="17"/>
          <w:szCs w:val="17"/>
          <w:color w:val="auto"/>
        </w:rPr>
      </w:pPr>
    </w:p>
    <w:p>
      <w:pPr>
        <w:ind w:left="4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herein and are of a normal recurring nature.</w:t>
      </w:r>
    </w:p>
    <w:p>
      <w:pPr>
        <w:spacing w:after="0" w:line="198" w:lineRule="exact"/>
        <w:rPr>
          <w:rFonts w:ascii="Courier New" w:cs="Courier New" w:eastAsia="Courier New" w:hAnsi="Courier New"/>
          <w:sz w:val="17"/>
          <w:szCs w:val="17"/>
          <w:color w:val="auto"/>
        </w:rPr>
      </w:pPr>
    </w:p>
    <w:p>
      <w:pPr>
        <w:ind w:left="4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98" w:lineRule="exact"/>
        <w:rPr>
          <w:rFonts w:ascii="Courier New" w:cs="Courier New" w:eastAsia="Courier New" w:hAnsi="Courier New"/>
          <w:sz w:val="17"/>
          <w:szCs w:val="17"/>
          <w:color w:val="auto"/>
        </w:rPr>
      </w:pPr>
    </w:p>
    <w:p>
      <w:pPr>
        <w:ind w:left="4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operations for the interim periods presented herein are not necessarily indicative of the results to be expected for the full year. These statements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2000 set forth in the Company's Annual Report on Form 20-F filed with the Securities and Exchange Commission.</w:t>
      </w:r>
    </w:p>
    <w:p>
      <w:pPr>
        <w:spacing w:after="0" w:line="199" w:lineRule="exact"/>
        <w:rPr>
          <w:rFonts w:ascii="Courier New" w:cs="Courier New" w:eastAsia="Courier New" w:hAnsi="Courier New"/>
          <w:sz w:val="17"/>
          <w:szCs w:val="17"/>
          <w:color w:val="auto"/>
        </w:rPr>
      </w:pPr>
    </w:p>
    <w:p>
      <w:pPr>
        <w:ind w:left="415" w:right="3279"/>
        <w:spacing w:after="0" w:line="27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Certain amounts in prior periods' financial statements have been reclassified to conform to the current period's presentation.</w:t>
      </w:r>
    </w:p>
    <w:p>
      <w:pPr>
        <w:spacing w:after="0" w:line="175" w:lineRule="exact"/>
        <w:rPr>
          <w:rFonts w:ascii="Courier New" w:cs="Courier New" w:eastAsia="Courier New" w:hAnsi="Courier New"/>
          <w:sz w:val="17"/>
          <w:szCs w:val="17"/>
          <w:color w:val="auto"/>
        </w:rPr>
      </w:pPr>
    </w:p>
    <w:p>
      <w:pPr>
        <w:ind w:left="415" w:hanging="415"/>
        <w:spacing w:after="0"/>
        <w:tabs>
          <w:tab w:leader="none" w:pos="415"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RELATED-PARTY TRANSACTIONS</w:t>
      </w:r>
    </w:p>
    <w:p>
      <w:pPr>
        <w:spacing w:after="0" w:line="199" w:lineRule="exact"/>
        <w:rPr>
          <w:rFonts w:ascii="Courier New" w:cs="Courier New" w:eastAsia="Courier New" w:hAnsi="Courier New"/>
          <w:sz w:val="17"/>
          <w:szCs w:val="17"/>
          <w:color w:val="auto"/>
        </w:rPr>
      </w:pPr>
    </w:p>
    <w:p>
      <w:pPr>
        <w:ind w:left="4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related party balances are included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735"/>
        <w:spacing w:after="0"/>
        <w:rPr>
          <w:sz w:val="20"/>
          <w:szCs w:val="20"/>
          <w:color w:val="auto"/>
        </w:rPr>
      </w:pPr>
      <w:r>
        <w:rPr>
          <w:rFonts w:ascii="Courier New" w:cs="Courier New" w:eastAsia="Courier New" w:hAnsi="Courier New"/>
          <w:sz w:val="17"/>
          <w:szCs w:val="17"/>
          <w:color w:val="auto"/>
        </w:rPr>
        <w:t>AS OF</w:t>
      </w:r>
    </w:p>
    <w:p>
      <w:pPr>
        <w:spacing w:after="0" w:line="4" w:lineRule="exact"/>
        <w:rPr>
          <w:sz w:val="20"/>
          <w:szCs w:val="20"/>
          <w:color w:val="auto"/>
        </w:rPr>
      </w:pPr>
    </w:p>
    <w:p>
      <w:pPr>
        <w:ind w:left="5095"/>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95"/>
        <w:spacing w:after="0"/>
        <w:tabs>
          <w:tab w:leader="none" w:pos="7115" w:val="left"/>
        </w:tabs>
        <w:rPr>
          <w:sz w:val="20"/>
          <w:szCs w:val="20"/>
          <w:color w:val="auto"/>
        </w:rPr>
      </w:pPr>
      <w:r>
        <w:rPr>
          <w:rFonts w:ascii="Courier New" w:cs="Courier New" w:eastAsia="Courier New" w:hAnsi="Courier New"/>
          <w:sz w:val="17"/>
          <w:szCs w:val="17"/>
          <w:color w:val="auto"/>
        </w:rPr>
        <w:t>DECEMBER 31,</w:t>
      </w:r>
      <w:r>
        <w:rPr>
          <w:sz w:val="20"/>
          <w:szCs w:val="20"/>
          <w:color w:val="auto"/>
        </w:rPr>
        <w:tab/>
      </w:r>
      <w:r>
        <w:rPr>
          <w:rFonts w:ascii="Courier New" w:cs="Courier New" w:eastAsia="Courier New" w:hAnsi="Courier New"/>
          <w:sz w:val="17"/>
          <w:szCs w:val="17"/>
          <w:color w:val="auto"/>
        </w:rPr>
        <w:t>SEPTEMBER 30,</w:t>
      </w:r>
    </w:p>
    <w:p>
      <w:pPr>
        <w:spacing w:after="0" w:line="4" w:lineRule="exact"/>
        <w:rPr>
          <w:sz w:val="20"/>
          <w:szCs w:val="20"/>
          <w:color w:val="auto"/>
        </w:rPr>
      </w:pPr>
    </w:p>
    <w:p>
      <w:pPr>
        <w:ind w:left="5815"/>
        <w:spacing w:after="0"/>
        <w:tabs>
          <w:tab w:leader="none" w:pos="7635" w:val="left"/>
        </w:tabs>
        <w:rPr>
          <w:sz w:val="20"/>
          <w:szCs w:val="20"/>
          <w:color w:val="auto"/>
        </w:rPr>
      </w:pP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2000</w:t>
      </w:r>
    </w:p>
    <w:p>
      <w:pPr>
        <w:spacing w:after="0" w:line="4" w:lineRule="exact"/>
        <w:rPr>
          <w:sz w:val="20"/>
          <w:szCs w:val="20"/>
          <w:color w:val="auto"/>
        </w:rPr>
      </w:pPr>
    </w:p>
    <w:p>
      <w:pPr>
        <w:ind w:left="5095"/>
        <w:spacing w:after="0"/>
        <w:tabs>
          <w:tab w:leader="none" w:pos="7115"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38" w:orient="portrait"/>
          <w:cols w:equalWidth="0" w:num="1">
            <w:col w:w="10215"/>
          </w:cols>
          <w:pgMar w:left="245" w:top="311" w:right="1440" w:bottom="0" w:gutter="0" w:footer="0" w:header="0"/>
        </w:sectPr>
      </w:pPr>
    </w:p>
    <w:p>
      <w:pPr>
        <w:spacing w:after="0" w:line="396" w:lineRule="exact"/>
        <w:rPr>
          <w:sz w:val="20"/>
          <w:szCs w:val="20"/>
          <w:color w:val="auto"/>
        </w:rPr>
      </w:pPr>
    </w:p>
    <w:p>
      <w:pPr>
        <w:ind w:left="415"/>
        <w:spacing w:after="0"/>
        <w:rPr>
          <w:sz w:val="20"/>
          <w:szCs w:val="20"/>
          <w:color w:val="auto"/>
        </w:rPr>
      </w:pPr>
      <w:r>
        <w:rPr>
          <w:rFonts w:ascii="Courier New" w:cs="Courier New" w:eastAsia="Courier New" w:hAnsi="Courier New"/>
          <w:sz w:val="17"/>
          <w:szCs w:val="17"/>
          <w:color w:val="auto"/>
        </w:rPr>
        <w:t>Accounts receivable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23,332</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27,116</w:t>
      </w:r>
    </w:p>
    <w:p>
      <w:pPr>
        <w:spacing w:after="0" w:line="200" w:lineRule="exact"/>
        <w:rPr>
          <w:sz w:val="20"/>
          <w:szCs w:val="20"/>
          <w:color w:val="auto"/>
        </w:rPr>
      </w:pPr>
    </w:p>
    <w:p>
      <w:pPr>
        <w:sectPr>
          <w:pgSz w:w="11900" w:h="16838" w:orient="portrait"/>
          <w:cols w:equalWidth="0" w:num="5">
            <w:col w:w="4375" w:space="720"/>
            <w:col w:w="100" w:space="620"/>
            <w:col w:w="620" w:space="700"/>
            <w:col w:w="100" w:space="620"/>
            <w:col w:w="2359"/>
          </w:cols>
          <w:pgMar w:left="245" w:top="311" w:right="1440" w:bottom="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415" w:right="2359"/>
        <w:spacing w:after="0" w:line="243" w:lineRule="auto"/>
        <w:rPr>
          <w:sz w:val="20"/>
          <w:szCs w:val="20"/>
          <w:color w:val="auto"/>
        </w:rPr>
      </w:pPr>
      <w:r>
        <w:rPr>
          <w:rFonts w:ascii="Courier New" w:cs="Courier New" w:eastAsia="Courier New" w:hAnsi="Courier New"/>
          <w:sz w:val="17"/>
          <w:szCs w:val="17"/>
          <w:color w:val="auto"/>
        </w:rPr>
        <w:t>The following related party transactions are included in the statement of operations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226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jc w:val="center"/>
        <w:ind w:left="2260"/>
        <w:spacing w:after="0"/>
        <w:rPr>
          <w:sz w:val="20"/>
          <w:szCs w:val="20"/>
          <w:color w:val="auto"/>
        </w:rPr>
      </w:pPr>
      <w:r>
        <w:rPr>
          <w:rFonts w:ascii="Courier New" w:cs="Courier New" w:eastAsia="Courier New" w:hAnsi="Courier New"/>
          <w:sz w:val="17"/>
          <w:szCs w:val="17"/>
          <w:color w:val="auto"/>
        </w:rPr>
        <w:t>DECEMBER 31,</w:t>
      </w:r>
    </w:p>
    <w:p>
      <w:pPr>
        <w:spacing w:after="0" w:line="4" w:lineRule="exact"/>
        <w:rPr>
          <w:sz w:val="20"/>
          <w:szCs w:val="20"/>
          <w:color w:val="auto"/>
        </w:rPr>
      </w:pPr>
    </w:p>
    <w:p>
      <w:pPr>
        <w:ind w:left="5095"/>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615"/>
        <w:spacing w:after="0"/>
        <w:tabs>
          <w:tab w:leader="none" w:pos="7635" w:val="left"/>
        </w:tabs>
        <w:rPr>
          <w:sz w:val="20"/>
          <w:szCs w:val="20"/>
          <w:color w:val="auto"/>
        </w:rPr>
      </w:pP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1999</w:t>
      </w:r>
    </w:p>
    <w:p>
      <w:pPr>
        <w:spacing w:after="0" w:line="4" w:lineRule="exact"/>
        <w:rPr>
          <w:sz w:val="20"/>
          <w:szCs w:val="20"/>
          <w:color w:val="auto"/>
        </w:rPr>
      </w:pPr>
    </w:p>
    <w:p>
      <w:pPr>
        <w:ind w:left="5095"/>
        <w:spacing w:after="0"/>
        <w:tabs>
          <w:tab w:leader="none" w:pos="7115"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38" w:orient="portrait"/>
          <w:cols w:equalWidth="0" w:num="1">
            <w:col w:w="10215"/>
          </w:cols>
          <w:pgMar w:left="245" w:top="311"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4320" w:type="dxa"/>
            <w:vAlign w:val="bottom"/>
          </w:tcPr>
          <w:p>
            <w:pPr>
              <w:ind w:left="400"/>
              <w:spacing w:after="0"/>
              <w:rPr>
                <w:sz w:val="20"/>
                <w:szCs w:val="20"/>
                <w:color w:val="auto"/>
              </w:rPr>
            </w:pPr>
            <w:r>
              <w:rPr>
                <w:rFonts w:ascii="Courier New" w:cs="Courier New" w:eastAsia="Courier New" w:hAnsi="Courier New"/>
                <w:sz w:val="17"/>
                <w:szCs w:val="17"/>
                <w:color w:val="auto"/>
              </w:rPr>
              <w:t>License</w:t>
            </w:r>
          </w:p>
        </w:tc>
        <w:tc>
          <w:tcPr>
            <w:tcW w:w="7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3,583</w:t>
            </w:r>
          </w:p>
        </w:tc>
        <w:tc>
          <w:tcPr>
            <w:tcW w:w="7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1,100</w:t>
            </w:r>
          </w:p>
        </w:tc>
      </w:tr>
      <w:tr>
        <w:trPr>
          <w:trHeight w:val="196"/>
        </w:trPr>
        <w:tc>
          <w:tcPr>
            <w:tcW w:w="4320" w:type="dxa"/>
            <w:vAlign w:val="bottom"/>
          </w:tcPr>
          <w:p>
            <w:pPr>
              <w:ind w:left="400"/>
              <w:spacing w:after="0"/>
              <w:rPr>
                <w:sz w:val="20"/>
                <w:szCs w:val="20"/>
                <w:color w:val="auto"/>
              </w:rPr>
            </w:pPr>
            <w:r>
              <w:rPr>
                <w:rFonts w:ascii="Courier New" w:cs="Courier New" w:eastAsia="Courier New" w:hAnsi="Courier New"/>
                <w:sz w:val="17"/>
                <w:szCs w:val="17"/>
                <w:color w:val="auto"/>
              </w:rPr>
              <w:t>Service</w:t>
            </w:r>
          </w:p>
        </w:tc>
        <w:tc>
          <w:tcPr>
            <w:tcW w:w="780" w:type="dxa"/>
            <w:vAlign w:val="bottom"/>
          </w:tcPr>
          <w:p>
            <w:pPr>
              <w:spacing w:after="0"/>
              <w:rPr>
                <w:sz w:val="17"/>
                <w:szCs w:val="17"/>
                <w:color w:val="auto"/>
              </w:rPr>
            </w:pPr>
          </w:p>
        </w:tc>
        <w:tc>
          <w:tcPr>
            <w:tcW w:w="12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42,667</w:t>
            </w:r>
          </w:p>
        </w:tc>
        <w:tc>
          <w:tcPr>
            <w:tcW w:w="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23,596</w:t>
            </w:r>
          </w:p>
        </w:tc>
      </w:tr>
      <w:tr>
        <w:trPr>
          <w:trHeight w:val="392"/>
        </w:trPr>
        <w:tc>
          <w:tcPr>
            <w:tcW w:w="43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4320" w:type="dxa"/>
            <w:vAlign w:val="bottom"/>
          </w:tcPr>
          <w:p>
            <w:pPr>
              <w:ind w:left="400"/>
              <w:spacing w:after="0"/>
              <w:rPr>
                <w:sz w:val="20"/>
                <w:szCs w:val="20"/>
                <w:color w:val="auto"/>
              </w:rPr>
            </w:pPr>
            <w:r>
              <w:rPr>
                <w:rFonts w:ascii="Courier New" w:cs="Courier New" w:eastAsia="Courier New" w:hAnsi="Courier New"/>
                <w:sz w:val="17"/>
                <w:szCs w:val="17"/>
                <w:color w:val="auto"/>
              </w:rPr>
              <w:t>Cost of service</w:t>
            </w:r>
          </w:p>
        </w:tc>
        <w:tc>
          <w:tcPr>
            <w:tcW w:w="780" w:type="dxa"/>
            <w:vAlign w:val="bottom"/>
          </w:tcPr>
          <w:p>
            <w:pPr>
              <w:spacing w:after="0"/>
              <w:rPr>
                <w:sz w:val="17"/>
                <w:szCs w:val="17"/>
                <w:color w:val="auto"/>
              </w:rPr>
            </w:pPr>
          </w:p>
        </w:tc>
        <w:tc>
          <w:tcPr>
            <w:tcW w:w="12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387</w:t>
            </w:r>
          </w:p>
        </w:tc>
        <w:tc>
          <w:tcPr>
            <w:tcW w:w="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919</w:t>
            </w:r>
          </w:p>
        </w:tc>
      </w:tr>
      <w:tr>
        <w:trPr>
          <w:trHeight w:val="196"/>
        </w:trPr>
        <w:tc>
          <w:tcPr>
            <w:tcW w:w="4320" w:type="dxa"/>
            <w:vAlign w:val="bottom"/>
          </w:tcPr>
          <w:p>
            <w:pPr>
              <w:ind w:left="400"/>
              <w:spacing w:after="0"/>
              <w:rPr>
                <w:sz w:val="20"/>
                <w:szCs w:val="20"/>
                <w:color w:val="auto"/>
              </w:rPr>
            </w:pPr>
            <w:r>
              <w:rPr>
                <w:rFonts w:ascii="Courier New" w:cs="Courier New" w:eastAsia="Courier New" w:hAnsi="Courier New"/>
                <w:sz w:val="17"/>
                <w:szCs w:val="17"/>
                <w:color w:val="auto"/>
              </w:rPr>
              <w:t>Selling, general and administrative</w:t>
            </w:r>
          </w:p>
        </w:tc>
        <w:tc>
          <w:tcPr>
            <w:tcW w:w="780" w:type="dxa"/>
            <w:vAlign w:val="bottom"/>
          </w:tcPr>
          <w:p>
            <w:pPr>
              <w:spacing w:after="0"/>
              <w:rPr>
                <w:sz w:val="17"/>
                <w:szCs w:val="17"/>
                <w:color w:val="auto"/>
              </w:rPr>
            </w:pPr>
          </w:p>
        </w:tc>
        <w:tc>
          <w:tcPr>
            <w:tcW w:w="12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127</w:t>
            </w:r>
          </w:p>
        </w:tc>
        <w:tc>
          <w:tcPr>
            <w:tcW w:w="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242</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799"/>
          </w:cols>
          <w:pgMar w:left="660" w:top="337"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NOTES TO UNAUDITED CONSOLIDATED FINANCIAL STATEMENTS - CONTINUED</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(IN U.S. DOLLARS, UNLESS OTHERWISE STATED)</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415"/>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w:t>
      </w:r>
    </w:p>
    <w:p>
      <w:pPr>
        <w:spacing w:after="0" w:line="200" w:lineRule="exact"/>
        <w:rPr>
          <w:rFonts w:ascii="Courier New" w:cs="Courier New" w:eastAsia="Courier New" w:hAnsi="Courier New"/>
          <w:sz w:val="17"/>
          <w:szCs w:val="17"/>
          <w:color w:val="auto"/>
        </w:rPr>
      </w:pPr>
    </w:p>
    <w:p>
      <w:pPr>
        <w:ind w:left="420"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97" w:lineRule="exact"/>
        <w:rPr>
          <w:rFonts w:ascii="Courier New" w:cs="Courier New" w:eastAsia="Courier New" w:hAnsi="Courier New"/>
          <w:sz w:val="17"/>
          <w:szCs w:val="17"/>
          <w:color w:val="auto"/>
        </w:rPr>
      </w:pPr>
    </w:p>
    <w:p>
      <w:pPr>
        <w:ind w:left="420" w:right="28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5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40" w:type="dxa"/>
            <w:vAlign w:val="bottom"/>
            <w:gridSpan w:val="3"/>
          </w:tcPr>
          <w:p>
            <w:pPr>
              <w:jc w:val="center"/>
              <w:ind w:right="41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5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gridSpan w:val="2"/>
          </w:tcPr>
          <w:p>
            <w:pPr>
              <w:jc w:val="center"/>
              <w:ind w:left="315"/>
              <w:spacing w:after="0"/>
              <w:rPr>
                <w:sz w:val="20"/>
                <w:szCs w:val="20"/>
                <w:color w:val="auto"/>
              </w:rPr>
            </w:pPr>
            <w:r>
              <w:rPr>
                <w:rFonts w:ascii="Courier New" w:cs="Courier New" w:eastAsia="Courier New" w:hAnsi="Courier New"/>
                <w:sz w:val="17"/>
                <w:szCs w:val="17"/>
                <w:color w:val="auto"/>
                <w:w w:val="99"/>
              </w:rPr>
              <w:t>DECEMBER 31,</w:t>
            </w:r>
          </w:p>
        </w:tc>
        <w:tc>
          <w:tcPr>
            <w:tcW w:w="920" w:type="dxa"/>
            <w:vAlign w:val="bottom"/>
          </w:tcPr>
          <w:p>
            <w:pPr>
              <w:spacing w:after="0"/>
              <w:rPr>
                <w:sz w:val="17"/>
                <w:szCs w:val="17"/>
                <w:color w:val="auto"/>
              </w:rPr>
            </w:pPr>
          </w:p>
        </w:tc>
      </w:tr>
      <w:tr>
        <w:trPr>
          <w:trHeight w:val="196"/>
        </w:trPr>
        <w:tc>
          <w:tcPr>
            <w:tcW w:w="5100" w:type="dxa"/>
            <w:vAlign w:val="bottom"/>
          </w:tcPr>
          <w:p>
            <w:pPr>
              <w:spacing w:after="0"/>
              <w:rPr>
                <w:sz w:val="17"/>
                <w:szCs w:val="17"/>
                <w:color w:val="auto"/>
              </w:rPr>
            </w:pPr>
          </w:p>
        </w:tc>
        <w:tc>
          <w:tcPr>
            <w:tcW w:w="3460" w:type="dxa"/>
            <w:vAlign w:val="bottom"/>
            <w:gridSpan w:val="4"/>
          </w:tcPr>
          <w:p>
            <w:pPr>
              <w:ind w:left="50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jc w:val="right"/>
              <w:ind w:right="575"/>
              <w:spacing w:after="0"/>
              <w:rPr>
                <w:sz w:val="20"/>
                <w:szCs w:val="20"/>
                <w:color w:val="auto"/>
              </w:rPr>
            </w:pPr>
            <w:r>
              <w:rPr>
                <w:rFonts w:ascii="Courier New" w:cs="Courier New" w:eastAsia="Courier New" w:hAnsi="Courier New"/>
                <w:sz w:val="17"/>
                <w:szCs w:val="17"/>
                <w:color w:val="auto"/>
                <w:w w:val="93"/>
              </w:rPr>
              <w:t>2000</w:t>
            </w:r>
          </w:p>
        </w:tc>
        <w:tc>
          <w:tcPr>
            <w:tcW w:w="56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1999</w:t>
            </w:r>
          </w:p>
        </w:tc>
      </w:tr>
      <w:tr>
        <w:trPr>
          <w:trHeight w:val="196"/>
        </w:trPr>
        <w:tc>
          <w:tcPr>
            <w:tcW w:w="5100" w:type="dxa"/>
            <w:vAlign w:val="bottom"/>
          </w:tcPr>
          <w:p>
            <w:pPr>
              <w:spacing w:after="0"/>
              <w:rPr>
                <w:sz w:val="17"/>
                <w:szCs w:val="17"/>
                <w:color w:val="auto"/>
              </w:rPr>
            </w:pPr>
          </w:p>
        </w:tc>
        <w:tc>
          <w:tcPr>
            <w:tcW w:w="19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51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92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4"/>
              </w:rPr>
              <w:t>12,576</w:t>
            </w:r>
          </w:p>
        </w:tc>
        <w:tc>
          <w:tcPr>
            <w:tcW w:w="5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17,281</w:t>
            </w:r>
          </w:p>
        </w:tc>
      </w:tr>
      <w:tr>
        <w:trPr>
          <w:trHeight w:val="196"/>
        </w:trPr>
        <w:tc>
          <w:tcPr>
            <w:tcW w:w="5100" w:type="dxa"/>
            <w:vAlign w:val="bottom"/>
          </w:tcPr>
          <w:p>
            <w:pPr>
              <w:spacing w:after="0"/>
              <w:rPr>
                <w:sz w:val="20"/>
                <w:szCs w:val="20"/>
                <w:color w:val="auto"/>
              </w:rPr>
            </w:pPr>
            <w:r>
              <w:rPr>
                <w:rFonts w:ascii="Courier New" w:cs="Courier New" w:eastAsia="Courier New" w:hAnsi="Courier New"/>
                <w:sz w:val="17"/>
                <w:szCs w:val="17"/>
                <w:color w:val="auto"/>
              </w:rPr>
              <w:t>Other comprehensive income:</w:t>
            </w: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100" w:type="dxa"/>
            <w:vAlign w:val="bottom"/>
          </w:tcPr>
          <w:p>
            <w:pPr>
              <w:ind w:left="100"/>
              <w:spacing w:after="0"/>
              <w:rPr>
                <w:sz w:val="20"/>
                <w:szCs w:val="20"/>
                <w:color w:val="auto"/>
              </w:rPr>
            </w:pPr>
            <w:r>
              <w:rPr>
                <w:rFonts w:ascii="Courier New" w:cs="Courier New" w:eastAsia="Courier New" w:hAnsi="Courier New"/>
                <w:sz w:val="17"/>
                <w:szCs w:val="17"/>
                <w:color w:val="auto"/>
              </w:rPr>
              <w:t>Unrealized income on derivative instruments,</w:t>
            </w: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100" w:type="dxa"/>
            <w:vAlign w:val="bottom"/>
          </w:tcPr>
          <w:p>
            <w:pPr>
              <w:ind w:left="200"/>
              <w:spacing w:after="0"/>
              <w:rPr>
                <w:sz w:val="20"/>
                <w:szCs w:val="20"/>
                <w:color w:val="auto"/>
              </w:rPr>
            </w:pPr>
            <w:r>
              <w:rPr>
                <w:rFonts w:ascii="Courier New" w:cs="Courier New" w:eastAsia="Courier New" w:hAnsi="Courier New"/>
                <w:sz w:val="17"/>
                <w:szCs w:val="17"/>
                <w:color w:val="auto"/>
              </w:rPr>
              <w:t>net of tax</w:t>
            </w:r>
          </w:p>
        </w:tc>
        <w:tc>
          <w:tcPr>
            <w:tcW w:w="92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41</w:t>
            </w:r>
          </w:p>
        </w:tc>
        <w:tc>
          <w:tcPr>
            <w:tcW w:w="56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5,773</w:t>
            </w:r>
          </w:p>
        </w:tc>
      </w:tr>
      <w:tr>
        <w:trPr>
          <w:trHeight w:val="196"/>
        </w:trPr>
        <w:tc>
          <w:tcPr>
            <w:tcW w:w="5100" w:type="dxa"/>
            <w:vAlign w:val="bottom"/>
          </w:tcPr>
          <w:p>
            <w:pPr>
              <w:ind w:left="100"/>
              <w:spacing w:after="0"/>
              <w:rPr>
                <w:sz w:val="20"/>
                <w:szCs w:val="20"/>
                <w:color w:val="auto"/>
              </w:rPr>
            </w:pPr>
            <w:r>
              <w:rPr>
                <w:rFonts w:ascii="Courier New" w:cs="Courier New" w:eastAsia="Courier New" w:hAnsi="Courier New"/>
                <w:sz w:val="17"/>
                <w:szCs w:val="17"/>
                <w:color w:val="auto"/>
              </w:rPr>
              <w:t>Unrealized income (loss) on short-term</w:t>
            </w: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100" w:type="dxa"/>
            <w:vAlign w:val="bottom"/>
          </w:tcPr>
          <w:p>
            <w:pPr>
              <w:ind w:left="200"/>
              <w:spacing w:after="0"/>
              <w:rPr>
                <w:sz w:val="20"/>
                <w:szCs w:val="20"/>
                <w:color w:val="auto"/>
              </w:rPr>
            </w:pPr>
            <w:r>
              <w:rPr>
                <w:rFonts w:ascii="Courier New" w:cs="Courier New" w:eastAsia="Courier New" w:hAnsi="Courier New"/>
                <w:sz w:val="17"/>
                <w:szCs w:val="17"/>
                <w:color w:val="auto"/>
              </w:rPr>
              <w:t>interest-bearing investments, net of tax</w:t>
            </w:r>
          </w:p>
        </w:tc>
        <w:tc>
          <w:tcPr>
            <w:tcW w:w="92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160</w:t>
            </w:r>
          </w:p>
        </w:tc>
        <w:tc>
          <w:tcPr>
            <w:tcW w:w="5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w:t>
            </w:r>
          </w:p>
        </w:tc>
      </w:tr>
      <w:tr>
        <w:trPr>
          <w:trHeight w:val="196"/>
        </w:trPr>
        <w:tc>
          <w:tcPr>
            <w:tcW w:w="5100" w:type="dxa"/>
            <w:vAlign w:val="bottom"/>
          </w:tcPr>
          <w:p>
            <w:pPr>
              <w:spacing w:after="0"/>
              <w:rPr>
                <w:sz w:val="17"/>
                <w:szCs w:val="17"/>
                <w:color w:val="auto"/>
              </w:rPr>
            </w:pPr>
          </w:p>
        </w:tc>
        <w:tc>
          <w:tcPr>
            <w:tcW w:w="19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510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92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4"/>
              </w:rPr>
              <w:t>12,777</w:t>
            </w:r>
          </w:p>
        </w:tc>
        <w:tc>
          <w:tcPr>
            <w:tcW w:w="5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23,037</w:t>
            </w:r>
          </w:p>
        </w:tc>
      </w:tr>
      <w:tr>
        <w:trPr>
          <w:trHeight w:val="196"/>
        </w:trPr>
        <w:tc>
          <w:tcPr>
            <w:tcW w:w="5100" w:type="dxa"/>
            <w:vAlign w:val="bottom"/>
          </w:tcPr>
          <w:p>
            <w:pPr>
              <w:spacing w:after="0"/>
              <w:rPr>
                <w:sz w:val="17"/>
                <w:szCs w:val="17"/>
                <w:color w:val="auto"/>
              </w:rPr>
            </w:pPr>
          </w:p>
        </w:tc>
        <w:tc>
          <w:tcPr>
            <w:tcW w:w="19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415"/>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0" w:lineRule="exact"/>
        <w:rPr>
          <w:rFonts w:ascii="Courier New" w:cs="Courier New" w:eastAsia="Courier New" w:hAnsi="Courier New"/>
          <w:sz w:val="17"/>
          <w:szCs w:val="17"/>
          <w:color w:val="auto"/>
        </w:rPr>
      </w:pPr>
    </w:p>
    <w:p>
      <w:pPr>
        <w:ind w:left="420" w:right="24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income taxes for the following periods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54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6840"/>
        <w:spacing w:after="0"/>
        <w:rPr>
          <w:sz w:val="20"/>
          <w:szCs w:val="20"/>
          <w:color w:val="auto"/>
        </w:rPr>
      </w:pPr>
      <w:r>
        <w:rPr>
          <w:rFonts w:ascii="Courier New" w:cs="Courier New" w:eastAsia="Courier New" w:hAnsi="Courier New"/>
          <w:sz w:val="17"/>
          <w:szCs w:val="17"/>
          <w:color w:val="auto"/>
        </w:rPr>
        <w:t>DECEMBER 31,</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440"/>
        <w:spacing w:after="0"/>
        <w:tabs>
          <w:tab w:leader="none" w:pos="8040" w:val="left"/>
        </w:tabs>
        <w:rPr>
          <w:sz w:val="20"/>
          <w:szCs w:val="20"/>
          <w:color w:val="auto"/>
        </w:rPr>
      </w:pP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1999</w:t>
      </w:r>
    </w:p>
    <w:p>
      <w:pPr>
        <w:spacing w:after="0" w:line="5" w:lineRule="exact"/>
        <w:rPr>
          <w:sz w:val="20"/>
          <w:szCs w:val="20"/>
          <w:color w:val="auto"/>
        </w:rPr>
      </w:pPr>
    </w:p>
    <w:p>
      <w:pPr>
        <w:ind w:left="6020"/>
        <w:spacing w:after="0"/>
        <w:tabs>
          <w:tab w:leader="none" w:pos="7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11" w:right="1440" w:bottom="464" w:gutter="0" w:footer="0" w:header="0"/>
        </w:sectPr>
      </w:pP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Deferred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27,530</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(7,012)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20,518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7"/>
          <w:szCs w:val="17"/>
          <w:color w:val="auto"/>
        </w:rPr>
        <w:t>$</w:t>
        <w:tab/>
        <w:t>18,638</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(2,714)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7"/>
          <w:szCs w:val="17"/>
          <w:color w:val="auto"/>
        </w:rPr>
        <w:t>$</w:t>
        <w:tab/>
        <w:t>15,924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3">
            <w:col w:w="5300" w:space="720"/>
            <w:col w:w="1340" w:space="300"/>
            <w:col w:w="2559"/>
          </w:cols>
          <w:pgMar w:left="240" w:top="311" w:right="1440" w:bottom="464" w:gutter="0" w:footer="0" w:header="0"/>
          <w:type w:val="continuous"/>
        </w:sectPr>
      </w:pPr>
    </w:p>
    <w:p>
      <w:pPr>
        <w:spacing w:after="0" w:line="393" w:lineRule="exact"/>
        <w:rPr>
          <w:sz w:val="20"/>
          <w:szCs w:val="20"/>
          <w:color w:val="auto"/>
        </w:rPr>
      </w:pPr>
    </w:p>
    <w:p>
      <w:pPr>
        <w:ind w:left="420" w:right="2059"/>
        <w:spacing w:after="0" w:line="243" w:lineRule="auto"/>
        <w:rPr>
          <w:sz w:val="20"/>
          <w:szCs w:val="20"/>
          <w:color w:val="auto"/>
        </w:rPr>
      </w:pPr>
      <w:r>
        <w:rPr>
          <w:rFonts w:ascii="Courier New" w:cs="Courier New" w:eastAsia="Courier New" w:hAnsi="Courier New"/>
          <w:sz w:val="17"/>
          <w:szCs w:val="17"/>
          <w:color w:val="auto"/>
        </w:rPr>
        <w:t>The effective income tax rate varied from the statutory Guernsey tax rate as follows for the following periods:</w:t>
      </w:r>
    </w:p>
    <w:p>
      <w:pPr>
        <w:sectPr>
          <w:pgSz w:w="11900" w:h="16838" w:orient="portrait"/>
          <w:cols w:equalWidth="0" w:num="1">
            <w:col w:w="10219"/>
          </w:cols>
          <w:pgMar w:left="240" w:top="311" w:right="1440" w:bottom="464"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4580" w:type="dxa"/>
            <w:vAlign w:val="bottom"/>
          </w:tcPr>
          <w:p>
            <w:pPr>
              <w:spacing w:after="0"/>
              <w:rPr>
                <w:sz w:val="16"/>
                <w:szCs w:val="16"/>
                <w:color w:val="auto"/>
              </w:rPr>
            </w:pPr>
          </w:p>
        </w:tc>
        <w:tc>
          <w:tcPr>
            <w:tcW w:w="3980" w:type="dxa"/>
            <w:vAlign w:val="bottom"/>
            <w:gridSpan w:val="2"/>
          </w:tcPr>
          <w:p>
            <w:pPr>
              <w:ind w:left="1540"/>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4580" w:type="dxa"/>
            <w:vAlign w:val="bottom"/>
          </w:tcPr>
          <w:p>
            <w:pPr>
              <w:spacing w:after="0"/>
              <w:rPr>
                <w:sz w:val="17"/>
                <w:szCs w:val="17"/>
                <w:color w:val="auto"/>
              </w:rPr>
            </w:pPr>
          </w:p>
        </w:tc>
        <w:tc>
          <w:tcPr>
            <w:tcW w:w="3980" w:type="dxa"/>
            <w:vAlign w:val="bottom"/>
            <w:gridSpan w:val="2"/>
          </w:tcPr>
          <w:p>
            <w:pPr>
              <w:ind w:left="1840"/>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4580" w:type="dxa"/>
            <w:vAlign w:val="bottom"/>
          </w:tcPr>
          <w:p>
            <w:pPr>
              <w:spacing w:after="0"/>
              <w:rPr>
                <w:sz w:val="17"/>
                <w:szCs w:val="17"/>
                <w:color w:val="auto"/>
              </w:rPr>
            </w:pPr>
          </w:p>
        </w:tc>
        <w:tc>
          <w:tcPr>
            <w:tcW w:w="3980" w:type="dxa"/>
            <w:vAlign w:val="bottom"/>
            <w:gridSpan w:val="2"/>
          </w:tcPr>
          <w:p>
            <w:pPr>
              <w:ind w:left="102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580" w:type="dxa"/>
            <w:vAlign w:val="bottom"/>
          </w:tcPr>
          <w:p>
            <w:pPr>
              <w:spacing w:after="0"/>
              <w:rPr>
                <w:sz w:val="17"/>
                <w:szCs w:val="17"/>
                <w:color w:val="auto"/>
              </w:rPr>
            </w:pPr>
          </w:p>
        </w:tc>
        <w:tc>
          <w:tcPr>
            <w:tcW w:w="25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2000</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r>
      <w:tr>
        <w:trPr>
          <w:trHeight w:val="196"/>
        </w:trPr>
        <w:tc>
          <w:tcPr>
            <w:tcW w:w="4580" w:type="dxa"/>
            <w:vAlign w:val="bottom"/>
          </w:tcPr>
          <w:p>
            <w:pPr>
              <w:spacing w:after="0"/>
              <w:rPr>
                <w:sz w:val="17"/>
                <w:szCs w:val="17"/>
                <w:color w:val="auto"/>
              </w:rPr>
            </w:pPr>
          </w:p>
        </w:tc>
        <w:tc>
          <w:tcPr>
            <w:tcW w:w="250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4580" w:type="dxa"/>
            <w:vAlign w:val="bottom"/>
          </w:tcPr>
          <w:p>
            <w:pPr>
              <w:spacing w:after="0"/>
              <w:rPr>
                <w:sz w:val="20"/>
                <w:szCs w:val="20"/>
                <w:color w:val="auto"/>
              </w:rPr>
            </w:pPr>
            <w:r>
              <w:rPr>
                <w:rFonts w:ascii="Courier New" w:cs="Courier New" w:eastAsia="Courier New" w:hAnsi="Courier New"/>
                <w:sz w:val="17"/>
                <w:szCs w:val="17"/>
                <w:color w:val="auto"/>
              </w:rPr>
              <w:t>Statutory Guernsey tax rate</w:t>
            </w:r>
          </w:p>
        </w:tc>
        <w:tc>
          <w:tcPr>
            <w:tcW w:w="25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20%</w:t>
            </w:r>
          </w:p>
        </w:tc>
        <w:tc>
          <w:tcPr>
            <w:tcW w:w="1480" w:type="dxa"/>
            <w:vAlign w:val="bottom"/>
          </w:tcPr>
          <w:p>
            <w:pPr>
              <w:jc w:val="center"/>
              <w:ind w:left="75"/>
              <w:spacing w:after="0"/>
              <w:rPr>
                <w:sz w:val="20"/>
                <w:szCs w:val="20"/>
                <w:color w:val="auto"/>
              </w:rPr>
            </w:pPr>
            <w:r>
              <w:rPr>
                <w:rFonts w:ascii="Courier New" w:cs="Courier New" w:eastAsia="Courier New" w:hAnsi="Courier New"/>
                <w:sz w:val="17"/>
                <w:szCs w:val="17"/>
                <w:color w:val="auto"/>
              </w:rPr>
              <w:t>20%</w:t>
            </w:r>
          </w:p>
        </w:tc>
      </w:tr>
      <w:tr>
        <w:trPr>
          <w:trHeight w:val="196"/>
        </w:trPr>
        <w:tc>
          <w:tcPr>
            <w:tcW w:w="4580" w:type="dxa"/>
            <w:vAlign w:val="bottom"/>
          </w:tcPr>
          <w:p>
            <w:pPr>
              <w:spacing w:after="0"/>
              <w:rPr>
                <w:sz w:val="20"/>
                <w:szCs w:val="20"/>
                <w:color w:val="auto"/>
              </w:rPr>
            </w:pPr>
            <w:r>
              <w:rPr>
                <w:rFonts w:ascii="Courier New" w:cs="Courier New" w:eastAsia="Courier New" w:hAnsi="Courier New"/>
                <w:sz w:val="17"/>
                <w:szCs w:val="17"/>
                <w:color w:val="auto"/>
              </w:rPr>
              <w:t>Guernsey tax-exempt status</w:t>
            </w:r>
          </w:p>
        </w:tc>
        <w:tc>
          <w:tcPr>
            <w:tcW w:w="25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(20)</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(20)</w:t>
            </w:r>
          </w:p>
        </w:tc>
      </w:tr>
      <w:tr>
        <w:trPr>
          <w:trHeight w:val="196"/>
        </w:trPr>
        <w:tc>
          <w:tcPr>
            <w:tcW w:w="4580" w:type="dxa"/>
            <w:vAlign w:val="bottom"/>
          </w:tcPr>
          <w:p>
            <w:pPr>
              <w:spacing w:after="0"/>
              <w:rPr>
                <w:sz w:val="20"/>
                <w:szCs w:val="20"/>
                <w:color w:val="auto"/>
              </w:rPr>
            </w:pPr>
            <w:r>
              <w:rPr>
                <w:rFonts w:ascii="Courier New" w:cs="Courier New" w:eastAsia="Courier New" w:hAnsi="Courier New"/>
                <w:sz w:val="17"/>
                <w:szCs w:val="17"/>
                <w:color w:val="auto"/>
              </w:rPr>
              <w:t>Foreign taxes</w:t>
            </w:r>
          </w:p>
        </w:tc>
        <w:tc>
          <w:tcPr>
            <w:tcW w:w="250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30</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30</w:t>
            </w:r>
          </w:p>
        </w:tc>
      </w:tr>
      <w:tr>
        <w:trPr>
          <w:trHeight w:val="196"/>
        </w:trPr>
        <w:tc>
          <w:tcPr>
            <w:tcW w:w="4580" w:type="dxa"/>
            <w:vAlign w:val="bottom"/>
          </w:tcPr>
          <w:p>
            <w:pPr>
              <w:spacing w:after="0"/>
              <w:rPr>
                <w:sz w:val="20"/>
                <w:szCs w:val="20"/>
                <w:color w:val="auto"/>
              </w:rPr>
            </w:pPr>
            <w:r>
              <w:rPr>
                <w:rFonts w:ascii="Courier New" w:cs="Courier New" w:eastAsia="Courier New" w:hAnsi="Courier New"/>
                <w:sz w:val="17"/>
                <w:szCs w:val="17"/>
                <w:color w:val="auto"/>
              </w:rPr>
              <w:t>Effect of acquisition-related costs</w:t>
            </w:r>
          </w:p>
        </w:tc>
        <w:tc>
          <w:tcPr>
            <w:tcW w:w="250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32</w:t>
            </w:r>
          </w:p>
        </w:tc>
        <w:tc>
          <w:tcPr>
            <w:tcW w:w="1480" w:type="dxa"/>
            <w:vAlign w:val="bottom"/>
          </w:tcPr>
          <w:p>
            <w:pPr>
              <w:jc w:val="center"/>
              <w:ind w:left="75"/>
              <w:spacing w:after="0"/>
              <w:rPr>
                <w:sz w:val="20"/>
                <w:szCs w:val="20"/>
                <w:color w:val="auto"/>
              </w:rPr>
            </w:pPr>
            <w:r>
              <w:rPr>
                <w:rFonts w:ascii="Courier New" w:cs="Courier New" w:eastAsia="Courier New" w:hAnsi="Courier New"/>
                <w:sz w:val="17"/>
                <w:szCs w:val="17"/>
                <w:color w:val="auto"/>
              </w:rPr>
              <w:t>-</w:t>
            </w:r>
          </w:p>
        </w:tc>
      </w:tr>
      <w:tr>
        <w:trPr>
          <w:trHeight w:val="196"/>
        </w:trPr>
        <w:tc>
          <w:tcPr>
            <w:tcW w:w="4580" w:type="dxa"/>
            <w:vAlign w:val="bottom"/>
          </w:tcPr>
          <w:p>
            <w:pPr>
              <w:spacing w:after="0"/>
              <w:rPr>
                <w:sz w:val="17"/>
                <w:szCs w:val="17"/>
                <w:color w:val="auto"/>
              </w:rPr>
            </w:pPr>
          </w:p>
        </w:tc>
        <w:tc>
          <w:tcPr>
            <w:tcW w:w="250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580" w:type="dxa"/>
            <w:vAlign w:val="bottom"/>
          </w:tcPr>
          <w:p>
            <w:pPr>
              <w:spacing w:after="0"/>
              <w:rPr>
                <w:sz w:val="20"/>
                <w:szCs w:val="20"/>
                <w:color w:val="auto"/>
              </w:rPr>
            </w:pPr>
            <w:r>
              <w:rPr>
                <w:rFonts w:ascii="Courier New" w:cs="Courier New" w:eastAsia="Courier New" w:hAnsi="Courier New"/>
                <w:sz w:val="17"/>
                <w:szCs w:val="17"/>
                <w:color w:val="auto"/>
              </w:rPr>
              <w:t>Effective income tax rate</w:t>
            </w:r>
          </w:p>
        </w:tc>
        <w:tc>
          <w:tcPr>
            <w:tcW w:w="25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62%</w:t>
            </w:r>
          </w:p>
        </w:tc>
        <w:tc>
          <w:tcPr>
            <w:tcW w:w="1480" w:type="dxa"/>
            <w:vAlign w:val="bottom"/>
          </w:tcPr>
          <w:p>
            <w:pPr>
              <w:jc w:val="center"/>
              <w:ind w:left="75"/>
              <w:spacing w:after="0"/>
              <w:rPr>
                <w:sz w:val="20"/>
                <w:szCs w:val="20"/>
                <w:color w:val="auto"/>
              </w:rPr>
            </w:pPr>
            <w:r>
              <w:rPr>
                <w:rFonts w:ascii="Courier New" w:cs="Courier New" w:eastAsia="Courier New" w:hAnsi="Courier New"/>
                <w:sz w:val="17"/>
                <w:szCs w:val="17"/>
                <w:color w:val="auto"/>
              </w:rPr>
              <w:t>30%</w:t>
            </w:r>
          </w:p>
        </w:tc>
      </w:tr>
      <w:tr>
        <w:trPr>
          <w:trHeight w:val="196"/>
        </w:trPr>
        <w:tc>
          <w:tcPr>
            <w:tcW w:w="4580" w:type="dxa"/>
            <w:vAlign w:val="bottom"/>
          </w:tcPr>
          <w:p>
            <w:pPr>
              <w:spacing w:after="0"/>
              <w:rPr>
                <w:sz w:val="17"/>
                <w:szCs w:val="17"/>
                <w:color w:val="auto"/>
              </w:rPr>
            </w:pPr>
          </w:p>
        </w:tc>
        <w:tc>
          <w:tcPr>
            <w:tcW w:w="250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Company incurred non-deductible goodwill amortization primarily related to the acquisition of Solect Technology Group Inc. ("Solect"). As a result, the Company's effective income tax rate (calculated based on the income taxes out of the income before income taxes, excluding non-recurring charges for write-offs of purchased in-process research and development and other indirect acquisition related costs) in the three months ended December 31, 2000 is significantly higher than the effective income tax rate in the three months ended December 31, 1999.</w:t>
      </w:r>
    </w:p>
    <w:p>
      <w:pPr>
        <w:spacing w:after="0" w:line="19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799"/>
          </w:cols>
          <w:pgMar w:left="660" w:top="337"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9</w:t>
      </w:r>
    </w:p>
    <w:p>
      <w:pPr>
        <w:spacing w:after="0" w:line="3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NOTES TO UNAUDITED CONSOLIDATED FINANCIAL STATEMENTS - CONTINUED</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(IN U.S. DOLLARS, UNLESS OTHERWISE STATED)</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415"/>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w:t>
      </w:r>
    </w:p>
    <w:p>
      <w:pPr>
        <w:spacing w:after="0" w:line="200" w:lineRule="exact"/>
        <w:rPr>
          <w:rFonts w:ascii="Courier New" w:cs="Courier New" w:eastAsia="Courier New" w:hAnsi="Courier New"/>
          <w:sz w:val="17"/>
          <w:szCs w:val="17"/>
          <w:color w:val="auto"/>
        </w:rPr>
      </w:pPr>
    </w:p>
    <w:p>
      <w:pPr>
        <w:ind w:left="420"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7"/>
          <w:szCs w:val="17"/>
          <w:color w:val="auto"/>
        </w:rPr>
        <w:t>DECEMBER 31,</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00"/>
        <w:spacing w:after="0"/>
        <w:tabs>
          <w:tab w:leader="none" w:pos="6620" w:val="left"/>
        </w:tabs>
        <w:rPr>
          <w:sz w:val="20"/>
          <w:szCs w:val="20"/>
          <w:color w:val="auto"/>
        </w:rPr>
      </w:pP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1999</w:t>
      </w:r>
    </w:p>
    <w:p>
      <w:pPr>
        <w:spacing w:after="0" w:line="4" w:lineRule="exact"/>
        <w:rPr>
          <w:sz w:val="20"/>
          <w:szCs w:val="20"/>
          <w:color w:val="auto"/>
        </w:rPr>
      </w:pPr>
    </w:p>
    <w:p>
      <w:pPr>
        <w:ind w:left="5000"/>
        <w:spacing w:after="0"/>
        <w:tabs>
          <w:tab w:leader="none" w:pos="6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Numerator:</w:t>
      </w:r>
    </w:p>
    <w:p>
      <w:pPr>
        <w:spacing w:after="0" w:line="4" w:lineRule="exact"/>
        <w:rPr>
          <w:sz w:val="20"/>
          <w:szCs w:val="20"/>
          <w:color w:val="auto"/>
        </w:rPr>
      </w:pPr>
    </w:p>
    <w:p>
      <w:pPr>
        <w:ind w:left="620"/>
        <w:spacing w:after="0"/>
        <w:tabs>
          <w:tab w:leader="none" w:pos="4980" w:val="left"/>
          <w:tab w:leader="none" w:pos="6420" w:val="left"/>
        </w:tabs>
        <w:rPr>
          <w:sz w:val="20"/>
          <w:szCs w:val="20"/>
          <w:color w:val="auto"/>
        </w:rPr>
      </w:pPr>
      <w:r>
        <w:rPr>
          <w:rFonts w:ascii="Courier New" w:cs="Courier New" w:eastAsia="Courier New" w:hAnsi="Courier New"/>
          <w:sz w:val="17"/>
          <w:szCs w:val="17"/>
          <w:color w:val="auto"/>
        </w:rPr>
        <w:t>Net income</w:t>
      </w:r>
      <w:r>
        <w:rPr>
          <w:sz w:val="20"/>
          <w:szCs w:val="20"/>
          <w:color w:val="auto"/>
        </w:rPr>
        <w:tab/>
      </w:r>
      <w:r>
        <w:rPr>
          <w:rFonts w:ascii="Courier New" w:cs="Courier New" w:eastAsia="Courier New" w:hAnsi="Courier New"/>
          <w:sz w:val="17"/>
          <w:szCs w:val="17"/>
          <w:color w:val="auto"/>
        </w:rPr>
        <w:t>$ 12,576</w:t>
      </w:r>
      <w:r>
        <w:rPr>
          <w:sz w:val="20"/>
          <w:szCs w:val="20"/>
          <w:color w:val="auto"/>
        </w:rPr>
        <w:tab/>
      </w:r>
      <w:r>
        <w:rPr>
          <w:rFonts w:ascii="Courier New" w:cs="Courier New" w:eastAsia="Courier New" w:hAnsi="Courier New"/>
          <w:sz w:val="16"/>
          <w:szCs w:val="16"/>
          <w:color w:val="auto"/>
        </w:rPr>
        <w:t>$ 17,281</w:t>
      </w:r>
    </w:p>
    <w:p>
      <w:pPr>
        <w:spacing w:after="0" w:line="4" w:lineRule="exact"/>
        <w:rPr>
          <w:sz w:val="20"/>
          <w:szCs w:val="20"/>
          <w:color w:val="auto"/>
        </w:rPr>
      </w:pPr>
    </w:p>
    <w:p>
      <w:pPr>
        <w:ind w:left="5000"/>
        <w:spacing w:after="0"/>
        <w:tabs>
          <w:tab w:leader="none" w:pos="6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Denominator:</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Denominator for basic earnings per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share -</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weighted average number of shares</w:t>
      </w:r>
    </w:p>
    <w:p>
      <w:pPr>
        <w:spacing w:after="0" w:line="4" w:lineRule="exact"/>
        <w:rPr>
          <w:sz w:val="20"/>
          <w:szCs w:val="20"/>
          <w:color w:val="auto"/>
        </w:rPr>
      </w:pPr>
    </w:p>
    <w:p>
      <w:pPr>
        <w:ind w:left="1020"/>
        <w:spacing w:after="0"/>
        <w:tabs>
          <w:tab w:leader="none" w:pos="5080" w:val="left"/>
          <w:tab w:leader="none" w:pos="6520" w:val="left"/>
        </w:tabs>
        <w:rPr>
          <w:sz w:val="20"/>
          <w:szCs w:val="20"/>
          <w:color w:val="auto"/>
        </w:rPr>
      </w:pPr>
      <w:r>
        <w:rPr>
          <w:rFonts w:ascii="Courier New" w:cs="Courier New" w:eastAsia="Courier New" w:hAnsi="Courier New"/>
          <w:sz w:val="17"/>
          <w:szCs w:val="17"/>
          <w:color w:val="auto"/>
        </w:rPr>
        <w:t>outstanding</w:t>
      </w:r>
      <w:r>
        <w:rPr>
          <w:sz w:val="20"/>
          <w:szCs w:val="20"/>
          <w:color w:val="auto"/>
        </w:rPr>
        <w:tab/>
      </w:r>
      <w:r>
        <w:rPr>
          <w:rFonts w:ascii="Courier New" w:cs="Courier New" w:eastAsia="Courier New" w:hAnsi="Courier New"/>
          <w:sz w:val="17"/>
          <w:szCs w:val="17"/>
          <w:color w:val="auto"/>
        </w:rPr>
        <w:t>221,217</w:t>
      </w:r>
      <w:r>
        <w:rPr>
          <w:sz w:val="20"/>
          <w:szCs w:val="20"/>
          <w:color w:val="auto"/>
        </w:rPr>
        <w:tab/>
      </w:r>
      <w:r>
        <w:rPr>
          <w:rFonts w:ascii="Courier New" w:cs="Courier New" w:eastAsia="Courier New" w:hAnsi="Courier New"/>
          <w:sz w:val="16"/>
          <w:szCs w:val="16"/>
          <w:color w:val="auto"/>
        </w:rPr>
        <w:t>201,020</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Effect of dilutive stock options</w:t>
      </w:r>
    </w:p>
    <w:p>
      <w:pPr>
        <w:spacing w:after="0" w:line="4" w:lineRule="exact"/>
        <w:rPr>
          <w:sz w:val="20"/>
          <w:szCs w:val="20"/>
          <w:color w:val="auto"/>
        </w:rPr>
      </w:pPr>
    </w:p>
    <w:p>
      <w:pPr>
        <w:ind w:left="720"/>
        <w:spacing w:after="0"/>
        <w:tabs>
          <w:tab w:leader="none" w:pos="5280" w:val="left"/>
          <w:tab w:leader="none" w:pos="6720" w:val="left"/>
        </w:tabs>
        <w:rPr>
          <w:sz w:val="20"/>
          <w:szCs w:val="20"/>
          <w:color w:val="auto"/>
        </w:rPr>
      </w:pPr>
      <w:r>
        <w:rPr>
          <w:rFonts w:ascii="Courier New" w:cs="Courier New" w:eastAsia="Courier New" w:hAnsi="Courier New"/>
          <w:sz w:val="17"/>
          <w:szCs w:val="17"/>
          <w:color w:val="auto"/>
        </w:rPr>
        <w:t>granted</w:t>
      </w:r>
      <w:r>
        <w:rPr>
          <w:sz w:val="20"/>
          <w:szCs w:val="20"/>
          <w:color w:val="auto"/>
        </w:rPr>
        <w:tab/>
      </w:r>
      <w:r>
        <w:rPr>
          <w:rFonts w:ascii="Courier New" w:cs="Courier New" w:eastAsia="Courier New" w:hAnsi="Courier New"/>
          <w:sz w:val="17"/>
          <w:szCs w:val="17"/>
          <w:color w:val="auto"/>
        </w:rPr>
        <w:t>5,144</w:t>
      </w:r>
      <w:r>
        <w:rPr>
          <w:sz w:val="20"/>
          <w:szCs w:val="20"/>
          <w:color w:val="auto"/>
        </w:rPr>
        <w:tab/>
      </w:r>
      <w:r>
        <w:rPr>
          <w:rFonts w:ascii="Courier New" w:cs="Courier New" w:eastAsia="Courier New" w:hAnsi="Courier New"/>
          <w:sz w:val="16"/>
          <w:szCs w:val="16"/>
          <w:color w:val="auto"/>
        </w:rPr>
        <w:t>3,847</w:t>
      </w:r>
    </w:p>
    <w:p>
      <w:pPr>
        <w:spacing w:after="0" w:line="4" w:lineRule="exact"/>
        <w:rPr>
          <w:sz w:val="20"/>
          <w:szCs w:val="20"/>
          <w:color w:val="auto"/>
        </w:rPr>
      </w:pPr>
    </w:p>
    <w:p>
      <w:pPr>
        <w:ind w:left="5000"/>
        <w:spacing w:after="0"/>
        <w:tabs>
          <w:tab w:leader="none" w:pos="6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Denominator for dilutive earnings per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share -</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adjusted weighted average shares</w:t>
      </w:r>
    </w:p>
    <w:p>
      <w:pPr>
        <w:spacing w:after="0" w:line="4" w:lineRule="exact"/>
        <w:rPr>
          <w:sz w:val="20"/>
          <w:szCs w:val="20"/>
          <w:color w:val="auto"/>
        </w:rPr>
      </w:pPr>
    </w:p>
    <w:p>
      <w:pPr>
        <w:ind w:left="1020"/>
        <w:spacing w:after="0"/>
        <w:tabs>
          <w:tab w:leader="none" w:pos="5180" w:val="left"/>
          <w:tab w:leader="none" w:pos="6620" w:val="left"/>
        </w:tabs>
        <w:rPr>
          <w:sz w:val="20"/>
          <w:szCs w:val="20"/>
          <w:color w:val="auto"/>
        </w:rPr>
      </w:pPr>
      <w:r>
        <w:rPr>
          <w:rFonts w:ascii="Courier New" w:cs="Courier New" w:eastAsia="Courier New" w:hAnsi="Courier New"/>
          <w:sz w:val="17"/>
          <w:szCs w:val="17"/>
          <w:color w:val="auto"/>
        </w:rPr>
        <w:t>and assumed conversions</w:t>
      </w:r>
      <w:r>
        <w:rPr>
          <w:sz w:val="20"/>
          <w:szCs w:val="20"/>
          <w:color w:val="auto"/>
        </w:rPr>
        <w:tab/>
      </w:r>
      <w:r>
        <w:rPr>
          <w:rFonts w:ascii="Courier New" w:cs="Courier New" w:eastAsia="Courier New" w:hAnsi="Courier New"/>
          <w:sz w:val="17"/>
          <w:szCs w:val="17"/>
          <w:color w:val="auto"/>
        </w:rPr>
        <w:t>226,361</w:t>
      </w:r>
      <w:r>
        <w:rPr>
          <w:sz w:val="20"/>
          <w:szCs w:val="20"/>
          <w:color w:val="auto"/>
        </w:rPr>
        <w:tab/>
      </w:r>
      <w:r>
        <w:rPr>
          <w:rFonts w:ascii="Courier New" w:cs="Courier New" w:eastAsia="Courier New" w:hAnsi="Courier New"/>
          <w:sz w:val="17"/>
          <w:szCs w:val="17"/>
          <w:color w:val="auto"/>
        </w:rPr>
        <w:t>204,867</w:t>
      </w:r>
    </w:p>
    <w:p>
      <w:pPr>
        <w:spacing w:after="0" w:line="4" w:lineRule="exact"/>
        <w:rPr>
          <w:sz w:val="20"/>
          <w:szCs w:val="20"/>
          <w:color w:val="auto"/>
        </w:rPr>
      </w:pPr>
    </w:p>
    <w:p>
      <w:pPr>
        <w:ind w:left="5000"/>
        <w:spacing w:after="0"/>
        <w:tabs>
          <w:tab w:leader="none" w:pos="6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ind w:left="620"/>
        <w:spacing w:after="0"/>
        <w:tabs>
          <w:tab w:leader="none" w:pos="4980" w:val="left"/>
          <w:tab w:leader="none" w:pos="5280" w:val="left"/>
          <w:tab w:leader="none" w:pos="6420" w:val="left"/>
          <w:tab w:leader="none" w:pos="6720" w:val="left"/>
        </w:tabs>
        <w:rPr>
          <w:sz w:val="20"/>
          <w:szCs w:val="20"/>
          <w:color w:val="auto"/>
        </w:rPr>
      </w:pPr>
      <w:r>
        <w:rPr>
          <w:rFonts w:ascii="Courier New" w:cs="Courier New" w:eastAsia="Courier New" w:hAnsi="Courier New"/>
          <w:sz w:val="17"/>
          <w:szCs w:val="17"/>
          <w:color w:val="auto"/>
        </w:rPr>
        <w:t>Basic earnings per share</w:t>
      </w:r>
      <w:r>
        <w:rPr>
          <w:sz w:val="20"/>
          <w:szCs w:val="20"/>
          <w:color w:val="auto"/>
        </w:rPr>
        <w:tab/>
      </w:r>
      <w:r>
        <w:rPr>
          <w:rFonts w:ascii="Courier New" w:cs="Courier New" w:eastAsia="Courier New" w:hAnsi="Courier New"/>
          <w:sz w:val="17"/>
          <w:szCs w:val="17"/>
          <w:color w:val="auto"/>
        </w:rPr>
        <w:t>$</w:t>
        <w:tab/>
        <w:t>0.06</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0.09</w:t>
      </w:r>
    </w:p>
    <w:p>
      <w:pPr>
        <w:spacing w:after="0" w:line="4" w:lineRule="exact"/>
        <w:rPr>
          <w:sz w:val="20"/>
          <w:szCs w:val="20"/>
          <w:color w:val="auto"/>
        </w:rPr>
      </w:pPr>
    </w:p>
    <w:p>
      <w:pPr>
        <w:ind w:left="5000"/>
        <w:spacing w:after="0"/>
        <w:tabs>
          <w:tab w:leader="none" w:pos="6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ind w:left="620"/>
        <w:spacing w:after="0"/>
        <w:tabs>
          <w:tab w:leader="none" w:pos="4980" w:val="left"/>
          <w:tab w:leader="none" w:pos="5280" w:val="left"/>
          <w:tab w:leader="none" w:pos="6420" w:val="left"/>
          <w:tab w:leader="none" w:pos="6720" w:val="left"/>
        </w:tabs>
        <w:rPr>
          <w:sz w:val="20"/>
          <w:szCs w:val="20"/>
          <w:color w:val="auto"/>
        </w:rPr>
      </w:pPr>
      <w:r>
        <w:rPr>
          <w:rFonts w:ascii="Courier New" w:cs="Courier New" w:eastAsia="Courier New" w:hAnsi="Courier New"/>
          <w:sz w:val="17"/>
          <w:szCs w:val="17"/>
          <w:color w:val="auto"/>
        </w:rPr>
        <w:t>Diluted earnings per share</w:t>
      </w:r>
      <w:r>
        <w:rPr>
          <w:sz w:val="20"/>
          <w:szCs w:val="20"/>
          <w:color w:val="auto"/>
        </w:rPr>
        <w:tab/>
      </w:r>
      <w:r>
        <w:rPr>
          <w:rFonts w:ascii="Courier New" w:cs="Courier New" w:eastAsia="Courier New" w:hAnsi="Courier New"/>
          <w:sz w:val="17"/>
          <w:szCs w:val="17"/>
          <w:color w:val="auto"/>
        </w:rPr>
        <w:t>$</w:t>
        <w:tab/>
        <w:t>0.06</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0.08</w:t>
      </w:r>
    </w:p>
    <w:p>
      <w:pPr>
        <w:spacing w:after="0" w:line="4" w:lineRule="exact"/>
        <w:rPr>
          <w:sz w:val="20"/>
          <w:szCs w:val="20"/>
          <w:color w:val="auto"/>
        </w:rPr>
      </w:pPr>
    </w:p>
    <w:p>
      <w:pPr>
        <w:ind w:left="5000"/>
        <w:spacing w:after="0"/>
        <w:tabs>
          <w:tab w:leader="none" w:pos="6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ind w:left="420" w:hanging="415"/>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DEVELOPMENTS</w:t>
      </w:r>
    </w:p>
    <w:p>
      <w:pPr>
        <w:spacing w:after="0" w:line="200" w:lineRule="exact"/>
        <w:rPr>
          <w:rFonts w:ascii="Courier New" w:cs="Courier New" w:eastAsia="Courier New" w:hAnsi="Courier New"/>
          <w:sz w:val="17"/>
          <w:szCs w:val="17"/>
          <w:color w:val="auto"/>
        </w:rPr>
      </w:pPr>
    </w:p>
    <w:p>
      <w:pPr>
        <w:ind w:left="420" w:right="22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Bell Canada have formed a joint venture company to provide customer care and billing solutions to Bell Canada and its affiliated companies.</w:t>
      </w:r>
    </w:p>
    <w:p>
      <w:pPr>
        <w:spacing w:after="0" w:line="199" w:lineRule="exact"/>
        <w:rPr>
          <w:rFonts w:ascii="Courier New" w:cs="Courier New" w:eastAsia="Courier New" w:hAnsi="Courier New"/>
          <w:sz w:val="17"/>
          <w:szCs w:val="17"/>
          <w:color w:val="auto"/>
        </w:rPr>
      </w:pPr>
    </w:p>
    <w:p>
      <w:pPr>
        <w:ind w:left="420"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joint venture company will be initially owned 90% by Bell Canada and 10% by the Company. A convertible note issued by the joint venture to the Company is convertible commencing July, 2003 into an additional 35% ownership interest in the joint venture. The relative ownership interests of the joint venture parties are subject to change through a series of put and call options, commencing July, 2003.</w:t>
      </w:r>
    </w:p>
    <w:p>
      <w:pPr>
        <w:spacing w:after="0" w:line="198" w:lineRule="exact"/>
        <w:rPr>
          <w:rFonts w:ascii="Courier New" w:cs="Courier New" w:eastAsia="Courier New" w:hAnsi="Courier New"/>
          <w:sz w:val="17"/>
          <w:szCs w:val="17"/>
          <w:color w:val="auto"/>
        </w:rPr>
      </w:pPr>
    </w:p>
    <w:p>
      <w:pPr>
        <w:ind w:left="420" w:right="21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provide the customer care and billing software required by the joint venture, including customization, installation and maintenance services.</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1"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OPERATING AND FINANCIAL REVIEW AND PROSPECTS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w:t>
      </w:r>
    </w:p>
    <w:p>
      <w:pPr>
        <w:spacing w:after="0" w:line="201"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Some of the information in this section contains forward looking statements that involve substantial risks and uncertainties. You can identify these statements by forward looking words such as "expect", "anticipate", "believe", "seek", "estimate" and similar words. Statements that we make in this section that are not statements of historical fact also may be forward looking statements. Forward looking statements are not guarantees of our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INTRODUCTION</w:t>
      </w:r>
    </w:p>
    <w:p>
      <w:pPr>
        <w:spacing w:after="0" w:line="397" w:lineRule="exact"/>
        <w:rPr>
          <w:sz w:val="20"/>
          <w:szCs w:val="20"/>
          <w:color w:val="auto"/>
        </w:rPr>
      </w:pPr>
    </w:p>
    <w:p>
      <w:pPr>
        <w:ind w:right="2659" w:firstLine="714"/>
        <w:spacing w:after="0" w:line="243" w:lineRule="auto"/>
        <w:rPr>
          <w:sz w:val="20"/>
          <w:szCs w:val="20"/>
          <w:color w:val="auto"/>
        </w:rPr>
      </w:pPr>
      <w:r>
        <w:rPr>
          <w:rFonts w:ascii="Courier New" w:cs="Courier New" w:eastAsia="Courier New" w:hAnsi="Courier New"/>
          <w:sz w:val="17"/>
          <w:szCs w:val="17"/>
          <w:color w:val="auto"/>
        </w:rPr>
        <w:t>In this section, we discuss the general financial condition and the results of operations for Amdocs and its subsidiaries including:</w:t>
      </w:r>
    </w:p>
    <w:p>
      <w:pPr>
        <w:spacing w:after="0" w:line="198" w:lineRule="exact"/>
        <w:rPr>
          <w:sz w:val="20"/>
          <w:szCs w:val="20"/>
          <w:color w:val="auto"/>
        </w:rPr>
      </w:pPr>
    </w:p>
    <w:p>
      <w:pPr>
        <w:ind w:left="720" w:hanging="409"/>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factors affect our business,</w:t>
      </w:r>
    </w:p>
    <w:p>
      <w:pPr>
        <w:spacing w:after="0" w:line="200" w:lineRule="exact"/>
        <w:rPr>
          <w:rFonts w:ascii="Courier New" w:cs="Courier New" w:eastAsia="Courier New" w:hAnsi="Courier New"/>
          <w:sz w:val="17"/>
          <w:szCs w:val="17"/>
          <w:color w:val="auto"/>
        </w:rPr>
      </w:pPr>
    </w:p>
    <w:p>
      <w:pPr>
        <w:ind w:left="720" w:right="3679" w:hanging="409"/>
        <w:spacing w:after="0" w:line="243"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our revenue and costs were in the three months ended December 31, 2000 and 1999,</w:t>
      </w:r>
    </w:p>
    <w:p>
      <w:pPr>
        <w:spacing w:after="0" w:line="197" w:lineRule="exact"/>
        <w:rPr>
          <w:rFonts w:ascii="Courier New" w:cs="Courier New" w:eastAsia="Courier New" w:hAnsi="Courier New"/>
          <w:sz w:val="17"/>
          <w:szCs w:val="17"/>
          <w:color w:val="auto"/>
        </w:rPr>
      </w:pPr>
    </w:p>
    <w:p>
      <w:pPr>
        <w:ind w:left="720" w:hanging="409"/>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why those revenue and costs were different from period to period,</w:t>
      </w:r>
    </w:p>
    <w:p>
      <w:pPr>
        <w:spacing w:after="0" w:line="199" w:lineRule="exact"/>
        <w:rPr>
          <w:rFonts w:ascii="Courier New" w:cs="Courier New" w:eastAsia="Courier New" w:hAnsi="Courier New"/>
          <w:sz w:val="17"/>
          <w:szCs w:val="17"/>
          <w:color w:val="auto"/>
        </w:rPr>
      </w:pPr>
    </w:p>
    <w:p>
      <w:pPr>
        <w:ind w:left="720" w:hanging="409"/>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sources of our revenue,</w:t>
      </w:r>
    </w:p>
    <w:p>
      <w:pPr>
        <w:spacing w:after="0" w:line="199" w:lineRule="exact"/>
        <w:rPr>
          <w:rFonts w:ascii="Courier New" w:cs="Courier New" w:eastAsia="Courier New" w:hAnsi="Courier New"/>
          <w:sz w:val="17"/>
          <w:szCs w:val="17"/>
          <w:color w:val="auto"/>
        </w:rPr>
      </w:pPr>
    </w:p>
    <w:p>
      <w:pPr>
        <w:ind w:left="720" w:hanging="409"/>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how all of this affects our overall financial condition,</w:t>
      </w:r>
    </w:p>
    <w:p>
      <w:pPr>
        <w:spacing w:after="0" w:line="200" w:lineRule="exact"/>
        <w:rPr>
          <w:rFonts w:ascii="Courier New" w:cs="Courier New" w:eastAsia="Courier New" w:hAnsi="Courier New"/>
          <w:sz w:val="17"/>
          <w:szCs w:val="17"/>
          <w:color w:val="auto"/>
        </w:rPr>
      </w:pPr>
    </w:p>
    <w:p>
      <w:pPr>
        <w:ind w:left="720" w:right="4199" w:hanging="409"/>
        <w:spacing w:after="0" w:line="243"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our expenditures were in the three months ended December 31, 2000 and 1999, and</w:t>
      </w:r>
    </w:p>
    <w:p>
      <w:pPr>
        <w:spacing w:after="0" w:line="197" w:lineRule="exact"/>
        <w:rPr>
          <w:rFonts w:ascii="Courier New" w:cs="Courier New" w:eastAsia="Courier New" w:hAnsi="Courier New"/>
          <w:sz w:val="17"/>
          <w:szCs w:val="17"/>
          <w:color w:val="auto"/>
        </w:rPr>
      </w:pPr>
    </w:p>
    <w:p>
      <w:pPr>
        <w:ind w:left="720" w:hanging="409"/>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sources of our cash to pay for future capital expenditures.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100" w:right="2359" w:firstLine="612"/>
        <w:spacing w:after="0" w:line="244" w:lineRule="auto"/>
        <w:rPr>
          <w:sz w:val="20"/>
          <w:szCs w:val="20"/>
          <w:color w:val="auto"/>
        </w:rPr>
      </w:pPr>
      <w:r>
        <w:rPr>
          <w:rFonts w:ascii="Courier New" w:cs="Courier New" w:eastAsia="Courier New" w:hAnsi="Courier New"/>
          <w:sz w:val="17"/>
          <w:szCs w:val="17"/>
          <w:color w:val="auto"/>
        </w:rPr>
        <w:t>In this section, we also analyze and explain the three months to three months changes in the specific line items in the consolidated statements of operations. This section should be read in conjunction with our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 OF BUSINESS AND TREND INFORMATION</w:t>
      </w:r>
    </w:p>
    <w:p>
      <w:pPr>
        <w:spacing w:after="0" w:line="397" w:lineRule="exact"/>
        <w:rPr>
          <w:sz w:val="20"/>
          <w:szCs w:val="20"/>
          <w:color w:val="auto"/>
        </w:rPr>
      </w:pPr>
    </w:p>
    <w:p>
      <w:pPr>
        <w:ind w:right="2259" w:firstLine="714"/>
        <w:spacing w:after="0" w:line="244" w:lineRule="auto"/>
        <w:rPr>
          <w:sz w:val="20"/>
          <w:szCs w:val="20"/>
          <w:color w:val="auto"/>
        </w:rPr>
      </w:pPr>
      <w:r>
        <w:rPr>
          <w:rFonts w:ascii="Courier New" w:cs="Courier New" w:eastAsia="Courier New" w:hAnsi="Courier New"/>
          <w:sz w:val="17"/>
          <w:szCs w:val="17"/>
          <w:color w:val="auto"/>
        </w:rPr>
        <w:t>We are a leading provider of software products and services to the communications industry. Our Business Support Systems ("BSS") consist of families of customized software products and services designed to meet the mission-critical needs of specific communications market sectors. We provide primarily Customer Care, Billing and Order Management Systems ("CC&amp;B Systems") for communications and Internet Protocol ("IP") service providers. Our systems support a wide range of communications services, including wireline, wireless, broadband, electronic and mobile commerce and IP services. We also support companies that offer multiple service packages, commonly referred to as convergent services. In addition, we provide a full range of Directory</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1"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11</w:t>
      </w:r>
    </w:p>
    <w:p>
      <w:pPr>
        <w:spacing w:after="0" w:line="397"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395" w:lineRule="exact"/>
        <w:rPr>
          <w:sz w:val="20"/>
          <w:szCs w:val="20"/>
          <w:color w:val="auto"/>
        </w:rPr>
      </w:pPr>
    </w:p>
    <w:p>
      <w:pPr>
        <w:ind w:right="2359" w:firstLine="714"/>
        <w:spacing w:after="0" w:line="243" w:lineRule="auto"/>
        <w:rPr>
          <w:sz w:val="20"/>
          <w:szCs w:val="20"/>
          <w:color w:val="auto"/>
        </w:rPr>
      </w:pPr>
      <w:r>
        <w:rPr>
          <w:rFonts w:ascii="Courier New" w:cs="Courier New" w:eastAsia="Courier New" w:hAnsi="Courier New"/>
          <w:sz w:val="17"/>
          <w:szCs w:val="17"/>
          <w:color w:val="auto"/>
        </w:rPr>
        <w:t>In the future, we may consider development initiative and acquisitions in order to offer new products or services or otherwise enhance our market position or strategic strength.</w:t>
      </w:r>
    </w:p>
    <w:p>
      <w:pPr>
        <w:spacing w:after="0" w:line="39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We derive our revenue principally from:</w:t>
      </w:r>
    </w:p>
    <w:p>
      <w:pPr>
        <w:spacing w:after="0" w:line="201" w:lineRule="exact"/>
        <w:rPr>
          <w:sz w:val="20"/>
          <w:szCs w:val="20"/>
          <w:color w:val="auto"/>
        </w:rPr>
      </w:pPr>
    </w:p>
    <w:p>
      <w:pPr>
        <w:ind w:left="720" w:right="2159" w:hanging="409"/>
        <w:spacing w:after="0" w:line="273" w:lineRule="auto"/>
        <w:tabs>
          <w:tab w:leader="none" w:pos="7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 of our products and related services, including license fees and customization, implementation and integration services, and</w:t>
      </w:r>
    </w:p>
    <w:p>
      <w:pPr>
        <w:spacing w:after="0" w:line="176" w:lineRule="exact"/>
        <w:rPr>
          <w:rFonts w:ascii="Courier New" w:cs="Courier New" w:eastAsia="Courier New" w:hAnsi="Courier New"/>
          <w:sz w:val="16"/>
          <w:szCs w:val="16"/>
          <w:color w:val="auto"/>
        </w:rPr>
      </w:pPr>
    </w:p>
    <w:p>
      <w:pPr>
        <w:ind w:left="720" w:right="2559" w:hanging="409"/>
        <w:spacing w:after="0" w:line="244" w:lineRule="auto"/>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recurring revenue from ongoing maintenance, support, outsourcing and other related services provided to our customers and, to a lesser degree, from incremental license fees resulting from increases in a customer's subscribers.</w:t>
      </w:r>
    </w:p>
    <w:p>
      <w:pPr>
        <w:spacing w:after="0" w:line="394"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License revenue is primarily recognized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In outsourcing contracts, revenue from operation and maintenance of customers' billing systems is recognized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our percentage of completion accounting method, the size and timing of customer projects and our progress in completing such projects may significantly affect our annual and quarterly operating results.</w:t>
      </w:r>
    </w:p>
    <w:p>
      <w:pPr>
        <w:spacing w:after="0" w:line="397"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License and service fees from the sale of CC&amp;B Systems amounted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$306.7 million and $204.8 million in the three months ended December 31,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1999, respectively, representing 89.6% and 87.0%, respectively, of 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for such periods.</w:t>
      </w:r>
    </w:p>
    <w:p>
      <w:pPr>
        <w:spacing w:after="0" w:line="397" w:lineRule="exact"/>
        <w:rPr>
          <w:sz w:val="20"/>
          <w:szCs w:val="20"/>
          <w:color w:val="auto"/>
        </w:rPr>
      </w:pPr>
    </w:p>
    <w:p>
      <w:pPr>
        <w:ind w:right="2459" w:firstLine="714"/>
        <w:spacing w:after="0" w:line="243" w:lineRule="auto"/>
        <w:rPr>
          <w:sz w:val="20"/>
          <w:szCs w:val="20"/>
          <w:color w:val="auto"/>
        </w:rPr>
      </w:pPr>
      <w:r>
        <w:rPr>
          <w:rFonts w:ascii="Courier New" w:cs="Courier New" w:eastAsia="Courier New" w:hAnsi="Courier New"/>
          <w:sz w:val="17"/>
          <w:szCs w:val="17"/>
          <w:color w:val="auto"/>
        </w:rPr>
        <w:t>We believe that the demand for CC&amp;B Systems will continue to increase due to, among other key factors:</w:t>
      </w:r>
    </w:p>
    <w:p>
      <w:pPr>
        <w:spacing w:after="0" w:line="198" w:lineRule="exact"/>
        <w:rPr>
          <w:sz w:val="20"/>
          <w:szCs w:val="20"/>
          <w:color w:val="auto"/>
        </w:rPr>
      </w:pPr>
    </w:p>
    <w:p>
      <w:pPr>
        <w:ind w:left="720" w:hanging="409"/>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growth and globalization of the communications market,</w:t>
      </w:r>
    </w:p>
    <w:p>
      <w:pPr>
        <w:spacing w:after="0" w:line="199" w:lineRule="exact"/>
        <w:rPr>
          <w:rFonts w:ascii="Courier New" w:cs="Courier New" w:eastAsia="Courier New" w:hAnsi="Courier New"/>
          <w:sz w:val="17"/>
          <w:szCs w:val="17"/>
          <w:color w:val="auto"/>
        </w:rPr>
      </w:pPr>
    </w:p>
    <w:p>
      <w:pPr>
        <w:ind w:left="720" w:hanging="409"/>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intensifying competition among communications carriers,</w:t>
      </w:r>
    </w:p>
    <w:p>
      <w:pPr>
        <w:spacing w:after="0" w:line="200" w:lineRule="exact"/>
        <w:rPr>
          <w:rFonts w:ascii="Courier New" w:cs="Courier New" w:eastAsia="Courier New" w:hAnsi="Courier New"/>
          <w:sz w:val="17"/>
          <w:szCs w:val="17"/>
          <w:color w:val="auto"/>
        </w:rPr>
      </w:pPr>
    </w:p>
    <w:p>
      <w:pPr>
        <w:ind w:left="720" w:right="2659" w:hanging="409"/>
        <w:spacing w:after="0" w:line="243" w:lineRule="auto"/>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rapid technological changes, such as the introduction of wireless Internet services via GPRS (General Packet Radio Services) and UMTS (Universal Mobile Telecommunications System) technology,</w:t>
      </w:r>
    </w:p>
    <w:p>
      <w:pPr>
        <w:spacing w:after="0" w:line="199" w:lineRule="exact"/>
        <w:rPr>
          <w:rFonts w:ascii="Courier New" w:cs="Courier New" w:eastAsia="Courier New" w:hAnsi="Courier New"/>
          <w:sz w:val="17"/>
          <w:szCs w:val="17"/>
          <w:color w:val="auto"/>
        </w:rPr>
      </w:pPr>
    </w:p>
    <w:p>
      <w:pPr>
        <w:ind w:left="720" w:right="2059" w:hanging="409"/>
        <w:spacing w:after="0" w:line="243" w:lineRule="auto"/>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proliferation of new communications products and services, especially IP and data services, and</w:t>
      </w:r>
    </w:p>
    <w:p>
      <w:pPr>
        <w:spacing w:after="0" w:line="197" w:lineRule="exact"/>
        <w:rPr>
          <w:rFonts w:ascii="Courier New" w:cs="Courier New" w:eastAsia="Courier New" w:hAnsi="Courier New"/>
          <w:sz w:val="17"/>
          <w:szCs w:val="17"/>
          <w:color w:val="auto"/>
        </w:rPr>
      </w:pPr>
    </w:p>
    <w:p>
      <w:pPr>
        <w:ind w:left="720" w:hanging="409"/>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shift from in-house management to vendor solutions and outsourcing.</w:t>
      </w:r>
    </w:p>
    <w:p>
      <w:pPr>
        <w:spacing w:after="0" w:line="397" w:lineRule="exact"/>
        <w:rPr>
          <w:sz w:val="20"/>
          <w:szCs w:val="20"/>
          <w:color w:val="auto"/>
        </w:rPr>
      </w:pPr>
    </w:p>
    <w:p>
      <w:pPr>
        <w:jc w:val="both"/>
        <w:ind w:right="2259" w:firstLine="714"/>
        <w:spacing w:after="0" w:line="244" w:lineRule="auto"/>
        <w:rPr>
          <w:sz w:val="20"/>
          <w:szCs w:val="20"/>
          <w:color w:val="auto"/>
        </w:rPr>
      </w:pPr>
      <w:r>
        <w:rPr>
          <w:rFonts w:ascii="Courier New" w:cs="Courier New" w:eastAsia="Courier New" w:hAnsi="Courier New"/>
          <w:sz w:val="17"/>
          <w:szCs w:val="17"/>
          <w:color w:val="auto"/>
        </w:rPr>
        <w:t>We also believe that a key driver of demand is the continuing trend for communications and IP service providers to offer to their subscribers multiple service packages, commonly referred to as convergent services (combinations of voice, broadband, electronic and mobile commerce and IP services).</w:t>
      </w:r>
    </w:p>
    <w:p>
      <w:pPr>
        <w:spacing w:after="0" w:line="394"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Another significant current market trend impacting our business is the growth of the IP services industry and market. The emergence and expansion of IP services creates significant opportunities for companies like us that offer CC&amp;B Systems.</w:t>
      </w: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1" w:right="1440" w:bottom="467"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12</w:t>
      </w:r>
    </w:p>
    <w:p>
      <w:pPr>
        <w:spacing w:after="0" w:line="5"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Specifically, the development of this market permits us to offer our CC&amp;B Systems to a growing group of new market entrants and to enhance our offerings to existing customers to facilitate their entry into the IP services market.</w:t>
      </w:r>
    </w:p>
    <w:p>
      <w:pPr>
        <w:spacing w:after="0" w:line="200" w:lineRule="exact"/>
        <w:rPr>
          <w:sz w:val="20"/>
          <w:szCs w:val="20"/>
          <w:color w:val="auto"/>
        </w:rPr>
      </w:pPr>
    </w:p>
    <w:p>
      <w:pPr>
        <w:ind w:right="2659" w:firstLine="714"/>
        <w:spacing w:after="0" w:line="243" w:lineRule="auto"/>
        <w:rPr>
          <w:sz w:val="20"/>
          <w:szCs w:val="20"/>
          <w:color w:val="auto"/>
        </w:rPr>
      </w:pPr>
      <w:r>
        <w:rPr>
          <w:rFonts w:ascii="Courier New" w:cs="Courier New" w:eastAsia="Courier New" w:hAnsi="Courier New"/>
          <w:sz w:val="17"/>
          <w:szCs w:val="17"/>
          <w:color w:val="auto"/>
        </w:rPr>
        <w:t>In addition, we believe that our CC&amp;B solutions can enable communications and IP service providers to improve productivity and reduce costs.</w:t>
      </w:r>
    </w:p>
    <w:p>
      <w:pPr>
        <w:spacing w:after="0" w:line="200" w:lineRule="exact"/>
        <w:rPr>
          <w:sz w:val="20"/>
          <w:szCs w:val="20"/>
          <w:color w:val="auto"/>
        </w:rPr>
      </w:pPr>
    </w:p>
    <w:p>
      <w:pPr>
        <w:ind w:right="2059" w:firstLine="714"/>
        <w:spacing w:after="0" w:line="243" w:lineRule="auto"/>
        <w:rPr>
          <w:sz w:val="20"/>
          <w:szCs w:val="20"/>
          <w:color w:val="auto"/>
        </w:rPr>
      </w:pPr>
      <w:r>
        <w:rPr>
          <w:rFonts w:ascii="Courier New" w:cs="Courier New" w:eastAsia="Courier New" w:hAnsi="Courier New"/>
          <w:sz w:val="17"/>
          <w:szCs w:val="17"/>
          <w:color w:val="auto"/>
        </w:rPr>
        <w:t>Although we believe that we are a leading provider of Directory Systems in most of the markets that we serve, revenue from this business is not expected to grow significantly.</w:t>
      </w:r>
    </w:p>
    <w:p>
      <w:pPr>
        <w:spacing w:after="0" w:line="200" w:lineRule="exact"/>
        <w:rPr>
          <w:sz w:val="20"/>
          <w:szCs w:val="20"/>
          <w:color w:val="auto"/>
        </w:rPr>
      </w:pPr>
    </w:p>
    <w:p>
      <w:pPr>
        <w:ind w:right="2259" w:firstLine="714"/>
        <w:spacing w:after="0" w:line="244" w:lineRule="auto"/>
        <w:rPr>
          <w:sz w:val="20"/>
          <w:szCs w:val="20"/>
          <w:color w:val="auto"/>
        </w:rPr>
      </w:pPr>
      <w:r>
        <w:rPr>
          <w:rFonts w:ascii="Courier New" w:cs="Courier New" w:eastAsia="Courier New" w:hAnsi="Courier New"/>
          <w:sz w:val="17"/>
          <w:szCs w:val="17"/>
          <w:color w:val="auto"/>
        </w:rPr>
        <w:t>License and service fee revenue from the sale of Directory Systems totaled $35.5 million and $30.7 million in the three months ended December 31, 2000 and 1999, respectively, accounting for 10.4% and 13.0%, respectively, of our revenue for such periods.</w:t>
      </w:r>
    </w:p>
    <w:p>
      <w:pPr>
        <w:spacing w:after="0" w:line="394" w:lineRule="exact"/>
        <w:rPr>
          <w:sz w:val="20"/>
          <w:szCs w:val="20"/>
          <w:color w:val="auto"/>
        </w:rPr>
      </w:pPr>
    </w:p>
    <w:p>
      <w:pPr>
        <w:ind w:right="2759" w:firstLine="714"/>
        <w:spacing w:after="0" w:line="244" w:lineRule="auto"/>
        <w:rPr>
          <w:sz w:val="20"/>
          <w:szCs w:val="20"/>
          <w:color w:val="auto"/>
        </w:rPr>
      </w:pPr>
      <w:r>
        <w:rPr>
          <w:rFonts w:ascii="Courier New" w:cs="Courier New" w:eastAsia="Courier New" w:hAnsi="Courier New"/>
          <w:sz w:val="17"/>
          <w:szCs w:val="17"/>
          <w:color w:val="auto"/>
        </w:rPr>
        <w:t>We expect that the demand for our Directory Systems will increase modestly in fiscal 2001 and that the contribution to total revenue, as a percentage of revenue, of license and service fees from Directory Systems services will continue to decrease over time.</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 PATENTS AND LICENSES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 development activities to keep abreast of new technologies in the communications and IP market. Research and development expenditures amounted to $23.6 million and $15.0 million in the three months ended December 31, 2000 and 1999, respectively, representing 6.9% and 6.4%, respectively, of our revenue in these periods. In the next several years, we intend to continue to make substantial investments in our research and development activities.</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products.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397" w:lineRule="exact"/>
        <w:rPr>
          <w:sz w:val="20"/>
          <w:szCs w:val="20"/>
          <w:color w:val="auto"/>
        </w:rPr>
      </w:pPr>
    </w:p>
    <w:p>
      <w:pPr>
        <w:ind w:right="2159" w:firstLine="714"/>
        <w:spacing w:after="0" w:line="243" w:lineRule="auto"/>
        <w:rPr>
          <w:sz w:val="20"/>
          <w:szCs w:val="20"/>
          <w:color w:val="auto"/>
        </w:rPr>
      </w:pPr>
      <w:r>
        <w:rPr>
          <w:rFonts w:ascii="Courier New" w:cs="Courier New" w:eastAsia="Courier New" w:hAnsi="Courier New"/>
          <w:sz w:val="17"/>
          <w:szCs w:val="17"/>
          <w:color w:val="auto"/>
        </w:rPr>
        <w:t>The following table sets forth for the three months ended December 31, 2000 and 1999, certain items in our consolidated statements of income reflected as a percentage of total revenue:</w:t>
      </w:r>
    </w:p>
    <w:p>
      <w:pPr>
        <w:spacing w:after="0" w:line="200" w:lineRule="exact"/>
        <w:rPr>
          <w:sz w:val="20"/>
          <w:szCs w:val="20"/>
          <w:color w:val="auto"/>
        </w:rPr>
      </w:pPr>
    </w:p>
    <w:p>
      <w:pPr>
        <w:spacing w:after="0" w:line="391" w:lineRule="exact"/>
        <w:rPr>
          <w:sz w:val="20"/>
          <w:szCs w:val="20"/>
          <w:color w:val="auto"/>
        </w:rPr>
      </w:pPr>
    </w:p>
    <w:tbl>
      <w:tblPr>
        <w:tblLayout w:type="fixed"/>
        <w:tblInd w:w="134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0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THREE MONTHS ENDED</w:t>
            </w:r>
          </w:p>
        </w:tc>
        <w:tc>
          <w:tcPr>
            <w:tcW w:w="860" w:type="dxa"/>
            <w:vAlign w:val="bottom"/>
          </w:tcPr>
          <w:p>
            <w:pPr>
              <w:spacing w:after="0"/>
              <w:rPr>
                <w:sz w:val="16"/>
                <w:szCs w:val="16"/>
                <w:color w:val="auto"/>
              </w:rPr>
            </w:pPr>
          </w:p>
        </w:tc>
      </w:tr>
      <w:tr>
        <w:trPr>
          <w:trHeight w:val="196"/>
        </w:trPr>
        <w:tc>
          <w:tcPr>
            <w:tcW w:w="3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DECEMBER 31,</w:t>
            </w:r>
          </w:p>
        </w:tc>
        <w:tc>
          <w:tcPr>
            <w:tcW w:w="860" w:type="dxa"/>
            <w:vAlign w:val="bottom"/>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2"/>
          </w:tcPr>
          <w:p>
            <w:pPr>
              <w:jc w:val="right"/>
              <w:ind w:right="5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23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PRO FORMA (*)</w:t>
            </w:r>
          </w:p>
        </w:tc>
        <w:tc>
          <w:tcPr>
            <w:tcW w:w="20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AS REPORTED</w:t>
            </w:r>
          </w:p>
        </w:tc>
      </w:tr>
      <w:tr>
        <w:trPr>
          <w:trHeight w:val="196"/>
        </w:trPr>
        <w:tc>
          <w:tcPr>
            <w:tcW w:w="3260" w:type="dxa"/>
            <w:vAlign w:val="bottom"/>
          </w:tcPr>
          <w:p>
            <w:pPr>
              <w:spacing w:after="0"/>
              <w:rPr>
                <w:sz w:val="17"/>
                <w:szCs w:val="17"/>
                <w:color w:val="auto"/>
              </w:rPr>
            </w:pPr>
          </w:p>
        </w:tc>
        <w:tc>
          <w:tcPr>
            <w:tcW w:w="23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2000</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1999</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2000</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1999</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3260" w:type="dxa"/>
            <w:vAlign w:val="bottom"/>
          </w:tcPr>
          <w:p>
            <w:pPr>
              <w:ind w:left="400"/>
              <w:spacing w:after="0"/>
              <w:rPr>
                <w:sz w:val="20"/>
                <w:szCs w:val="20"/>
                <w:color w:val="auto"/>
              </w:rPr>
            </w:pPr>
            <w:r>
              <w:rPr>
                <w:rFonts w:ascii="Courier New" w:cs="Courier New" w:eastAsia="Courier New" w:hAnsi="Courier New"/>
                <w:sz w:val="17"/>
                <w:szCs w:val="17"/>
                <w:color w:val="auto"/>
              </w:rPr>
              <w:t>License</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11.1%</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11.3%</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11.3%</w:t>
            </w:r>
          </w:p>
        </w:tc>
      </w:tr>
      <w:tr>
        <w:trPr>
          <w:trHeight w:val="196"/>
        </w:trPr>
        <w:tc>
          <w:tcPr>
            <w:tcW w:w="3260" w:type="dxa"/>
            <w:vAlign w:val="bottom"/>
          </w:tcPr>
          <w:p>
            <w:pPr>
              <w:ind w:left="400"/>
              <w:spacing w:after="0"/>
              <w:rPr>
                <w:sz w:val="20"/>
                <w:szCs w:val="20"/>
                <w:color w:val="auto"/>
              </w:rPr>
            </w:pPr>
            <w:r>
              <w:rPr>
                <w:rFonts w:ascii="Courier New" w:cs="Courier New" w:eastAsia="Courier New" w:hAnsi="Courier New"/>
                <w:sz w:val="17"/>
                <w:szCs w:val="17"/>
                <w:color w:val="auto"/>
              </w:rPr>
              <w:t>Service</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88.9</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88.7</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88.9</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88.7</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100.0</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100.0</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100.0</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60" w:type="dxa"/>
            <w:vAlign w:val="bottom"/>
          </w:tcPr>
          <w:p>
            <w:pPr>
              <w:ind w:left="400"/>
              <w:spacing w:after="0"/>
              <w:rPr>
                <w:sz w:val="20"/>
                <w:szCs w:val="20"/>
                <w:color w:val="auto"/>
              </w:rPr>
            </w:pPr>
            <w:r>
              <w:rPr>
                <w:rFonts w:ascii="Courier New" w:cs="Courier New" w:eastAsia="Courier New" w:hAnsi="Courier New"/>
                <w:sz w:val="17"/>
                <w:szCs w:val="17"/>
                <w:color w:val="auto"/>
              </w:rPr>
              <w:t>Cost of license</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0.5</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0.5</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0.5</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0.5</w:t>
            </w:r>
          </w:p>
        </w:tc>
      </w:tr>
      <w:tr>
        <w:trPr>
          <w:trHeight w:val="196"/>
        </w:trPr>
        <w:tc>
          <w:tcPr>
            <w:tcW w:w="3260" w:type="dxa"/>
            <w:vAlign w:val="bottom"/>
          </w:tcPr>
          <w:p>
            <w:pPr>
              <w:ind w:left="400"/>
              <w:spacing w:after="0"/>
              <w:rPr>
                <w:sz w:val="20"/>
                <w:szCs w:val="20"/>
                <w:color w:val="auto"/>
              </w:rPr>
            </w:pPr>
            <w:r>
              <w:rPr>
                <w:rFonts w:ascii="Courier New" w:cs="Courier New" w:eastAsia="Courier New" w:hAnsi="Courier New"/>
                <w:sz w:val="17"/>
                <w:szCs w:val="17"/>
                <w:color w:val="auto"/>
              </w:rPr>
              <w:t>Cost of service</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56.0</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58.8</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56.0</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58.8</w:t>
            </w:r>
          </w:p>
        </w:tc>
      </w:tr>
      <w:tr>
        <w:trPr>
          <w:trHeight w:val="196"/>
        </w:trPr>
        <w:tc>
          <w:tcPr>
            <w:tcW w:w="3260" w:type="dxa"/>
            <w:vAlign w:val="bottom"/>
          </w:tcPr>
          <w:p>
            <w:pPr>
              <w:ind w:left="400"/>
              <w:spacing w:after="0"/>
              <w:rPr>
                <w:sz w:val="20"/>
                <w:szCs w:val="20"/>
                <w:color w:val="auto"/>
              </w:rPr>
            </w:pPr>
            <w:r>
              <w:rPr>
                <w:rFonts w:ascii="Courier New" w:cs="Courier New" w:eastAsia="Courier New" w:hAnsi="Courier New"/>
                <w:sz w:val="17"/>
                <w:szCs w:val="17"/>
                <w:color w:val="auto"/>
              </w:rPr>
              <w:t>Research and development</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6.9</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6.4</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6.4</w:t>
            </w:r>
          </w:p>
        </w:tc>
      </w:tr>
      <w:tr>
        <w:trPr>
          <w:trHeight w:val="196"/>
        </w:trPr>
        <w:tc>
          <w:tcPr>
            <w:tcW w:w="3260" w:type="dxa"/>
            <w:vAlign w:val="bottom"/>
          </w:tcPr>
          <w:p>
            <w:pPr>
              <w:ind w:left="400"/>
              <w:spacing w:after="0"/>
              <w:rPr>
                <w:sz w:val="20"/>
                <w:szCs w:val="20"/>
                <w:color w:val="auto"/>
              </w:rPr>
            </w:pPr>
            <w:r>
              <w:rPr>
                <w:rFonts w:ascii="Courier New" w:cs="Courier New" w:eastAsia="Courier New" w:hAnsi="Courier New"/>
                <w:sz w:val="17"/>
                <w:szCs w:val="17"/>
                <w:color w:val="auto"/>
              </w:rPr>
              <w:t>Selling, general and</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60" w:type="dxa"/>
            <w:vAlign w:val="bottom"/>
          </w:tcPr>
          <w:p>
            <w:pPr>
              <w:ind w:left="400"/>
              <w:spacing w:after="0"/>
              <w:rPr>
                <w:sz w:val="20"/>
                <w:szCs w:val="20"/>
                <w:color w:val="auto"/>
              </w:rPr>
            </w:pPr>
            <w:r>
              <w:rPr>
                <w:rFonts w:ascii="Courier New" w:cs="Courier New" w:eastAsia="Courier New" w:hAnsi="Courier New"/>
                <w:sz w:val="17"/>
                <w:szCs w:val="17"/>
                <w:color w:val="auto"/>
              </w:rPr>
              <w:t>administrative</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12.7</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11.6</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12.7</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11.6</w:t>
            </w:r>
          </w:p>
        </w:tc>
      </w:tr>
      <w:tr>
        <w:trPr>
          <w:trHeight w:val="196"/>
        </w:trPr>
        <w:tc>
          <w:tcPr>
            <w:tcW w:w="3260" w:type="dxa"/>
            <w:vAlign w:val="bottom"/>
          </w:tcPr>
          <w:p>
            <w:pPr>
              <w:ind w:left="100"/>
              <w:spacing w:after="0"/>
              <w:rPr>
                <w:sz w:val="20"/>
                <w:szCs w:val="20"/>
                <w:color w:val="auto"/>
              </w:rPr>
            </w:pPr>
            <w:r>
              <w:rPr>
                <w:rFonts w:ascii="Courier New" w:cs="Courier New" w:eastAsia="Courier New" w:hAnsi="Courier New"/>
                <w:sz w:val="17"/>
                <w:szCs w:val="17"/>
                <w:color w:val="auto"/>
              </w:rPr>
              <w:t>Amortization of goodwill and</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60" w:type="dxa"/>
            <w:vAlign w:val="bottom"/>
          </w:tcPr>
          <w:p>
            <w:pPr>
              <w:ind w:left="300"/>
              <w:spacing w:after="0"/>
              <w:rPr>
                <w:sz w:val="20"/>
                <w:szCs w:val="20"/>
                <w:color w:val="auto"/>
              </w:rPr>
            </w:pPr>
            <w:r>
              <w:rPr>
                <w:rFonts w:ascii="Courier New" w:cs="Courier New" w:eastAsia="Courier New" w:hAnsi="Courier New"/>
                <w:sz w:val="17"/>
                <w:szCs w:val="17"/>
                <w:color w:val="auto"/>
              </w:rPr>
              <w:t>purchased intangible assets</w:t>
            </w:r>
          </w:p>
        </w:tc>
        <w:tc>
          <w:tcPr>
            <w:tcW w:w="10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15.8</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0.3</w:t>
            </w:r>
          </w:p>
        </w:tc>
      </w:tr>
      <w:tr>
        <w:trPr>
          <w:trHeight w:val="196"/>
        </w:trPr>
        <w:tc>
          <w:tcPr>
            <w:tcW w:w="3260" w:type="dxa"/>
            <w:vAlign w:val="bottom"/>
          </w:tcPr>
          <w:p>
            <w:pPr>
              <w:ind w:left="200"/>
              <w:spacing w:after="0"/>
              <w:rPr>
                <w:sz w:val="20"/>
                <w:szCs w:val="20"/>
                <w:color w:val="auto"/>
              </w:rPr>
            </w:pPr>
            <w:r>
              <w:rPr>
                <w:rFonts w:ascii="Courier New" w:cs="Courier New" w:eastAsia="Courier New" w:hAnsi="Courier New"/>
                <w:sz w:val="17"/>
                <w:szCs w:val="17"/>
                <w:color w:val="auto"/>
              </w:rPr>
              <w:t>In-process research and</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60" w:type="dxa"/>
            <w:vAlign w:val="bottom"/>
          </w:tcPr>
          <w:p>
            <w:pPr>
              <w:ind w:left="300"/>
              <w:spacing w:after="0"/>
              <w:rPr>
                <w:sz w:val="20"/>
                <w:szCs w:val="20"/>
                <w:color w:val="auto"/>
              </w:rPr>
            </w:pPr>
            <w:r>
              <w:rPr>
                <w:rFonts w:ascii="Courier New" w:cs="Courier New" w:eastAsia="Courier New" w:hAnsi="Courier New"/>
                <w:sz w:val="17"/>
                <w:szCs w:val="17"/>
                <w:color w:val="auto"/>
              </w:rPr>
              <w:t>development and other</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60" w:type="dxa"/>
            <w:vAlign w:val="bottom"/>
          </w:tcPr>
          <w:p>
            <w:pPr>
              <w:ind w:left="300"/>
              <w:spacing w:after="0"/>
              <w:rPr>
                <w:sz w:val="20"/>
                <w:szCs w:val="20"/>
                <w:color w:val="auto"/>
              </w:rPr>
            </w:pPr>
            <w:r>
              <w:rPr>
                <w:rFonts w:ascii="Courier New" w:cs="Courier New" w:eastAsia="Courier New" w:hAnsi="Courier New"/>
                <w:sz w:val="17"/>
                <w:szCs w:val="17"/>
                <w:color w:val="auto"/>
              </w:rPr>
              <w:t>indirect acquisition</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60" w:type="dxa"/>
            <w:vAlign w:val="bottom"/>
          </w:tcPr>
          <w:p>
            <w:pPr>
              <w:ind w:left="300"/>
              <w:spacing w:after="0"/>
              <w:rPr>
                <w:sz w:val="20"/>
                <w:szCs w:val="20"/>
                <w:color w:val="auto"/>
              </w:rPr>
            </w:pPr>
            <w:r>
              <w:rPr>
                <w:rFonts w:ascii="Courier New" w:cs="Courier New" w:eastAsia="Courier New" w:hAnsi="Courier New"/>
                <w:sz w:val="17"/>
                <w:szCs w:val="17"/>
                <w:color w:val="auto"/>
              </w:rPr>
              <w:t>related costs</w:t>
            </w:r>
          </w:p>
        </w:tc>
        <w:tc>
          <w:tcPr>
            <w:tcW w:w="10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76.1</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77.3</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91.9</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86.0</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23.9</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22.7</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8.1</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14.0</w:t>
            </w: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1.6</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0.1</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25.5</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22.8</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9.7</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14.1</w:t>
            </w: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7.7</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6.8</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6.0</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17.8%</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16.0%</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6"/>
        </w:trPr>
        <w:tc>
          <w:tcPr>
            <w:tcW w:w="3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1540" w:right="2059" w:hanging="305"/>
        <w:spacing w:after="0" w:line="262" w:lineRule="auto"/>
        <w:rPr>
          <w:sz w:val="20"/>
          <w:szCs w:val="20"/>
          <w:color w:val="auto"/>
        </w:rPr>
      </w:pPr>
      <w:r>
        <w:rPr>
          <w:rFonts w:ascii="Courier New" w:cs="Courier New" w:eastAsia="Courier New" w:hAnsi="Courier New"/>
          <w:sz w:val="16"/>
          <w:szCs w:val="16"/>
          <w:color w:val="auto"/>
        </w:rPr>
        <w:t>(*)The pro forma financial information excludes purchased in-process research and development charges and other indirect acquisition related costs, amortization of goodwill and purchased intangible assets (collectively, the "ITDS and Solect acquisition related charges") and related tax effects attributable to the International Telecommunication Data Systems, Inc. ("ITDS") and Solect Technology Group Inc. ("Solect") transactions.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Three Months Ended December 31, 2000 and 1999</w:t>
      </w:r>
    </w:p>
    <w:p>
      <w:pPr>
        <w:spacing w:after="0" w:line="3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REVENUE. Revenue for the three months ended December 31, 2000 was $342.2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million, an increase of $106.7 million, or 45.3%, over the three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1999. The increase in revenue was due to the continued growth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demand for our CC&amp;B Systems solutions in our traditional target markets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high-end and mid-tier communications companies. License revenue increased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$26.5 million in the three months ended December 31, 1999 to $38.1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three months ended December 31, 2000, an increase of 43.7%,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revenue increased 45.5% from $209.0 million in the three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1999 to $304.1 million in the three months ended December 31,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CC&amp;B Systems revenue for the three months ended December 31,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$306.7 million, an increase of $101.8 million, or 49.7%, over the three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December 31, 1999. In the three months ended December 31, 2000, the demand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our CC&amp;B Systems was primarily driven by the need for communications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companies to upgrade their customer care, billing and order management systems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response to growth in their subscriber base, increased competition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subscriber markets, and the need to offer convergent and IP services. Revenue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Directory Systems was $35.5 million for the three months ended December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 an increase of $4.8 million, or 15.8%, over the three months ended</w:t>
      </w:r>
    </w:p>
    <w:p>
      <w:pPr>
        <w:sectPr>
          <w:pgSz w:w="11900" w:h="16838" w:orient="portrait"/>
          <w:cols w:equalWidth="0" w:num="1">
            <w:col w:w="10219"/>
          </w:cols>
          <w:pgMar w:left="240" w:top="311" w:right="1440" w:bottom="0" w:gutter="0" w:footer="0" w:header="0"/>
        </w:sectPr>
      </w:pPr>
    </w:p>
    <w:bookmarkStart w:id="17" w:name="page18"/>
    <w:bookmarkEnd w:id="17"/>
    <w:p>
      <w:pPr>
        <w:ind w:left="2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534"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14</w:t>
      </w:r>
    </w:p>
    <w:p>
      <w:pPr>
        <w:spacing w:after="0" w:line="397"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December 31, 1999. The increase is primarily attributable to agreement extensions and expansion of services rendered to existing customers.</w:t>
      </w:r>
    </w:p>
    <w:p>
      <w:pPr>
        <w:spacing w:after="0" w:line="372"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In the three months ended December 31, 2000, revenue from customers in North America, Europe and the rest of the world accounted for 54.0%, 36.4% and 9.6%, respectively, compared to 39.2%, 44.0% and 16.8%, respectively, for the three months ended December 31, 1999. The growth in North America was primarily attributable to revenue we gained from existing ITDS customers and to our forming or expanding relationships with new or existing customers in North America in the three months ended December 31, 2000.</w:t>
      </w:r>
    </w:p>
    <w:p>
      <w:pPr>
        <w:spacing w:after="0" w:line="395" w:lineRule="exact"/>
        <w:rPr>
          <w:sz w:val="20"/>
          <w:szCs w:val="20"/>
          <w:color w:val="auto"/>
        </w:rPr>
      </w:pPr>
    </w:p>
    <w:p>
      <w:pPr>
        <w:jc w:val="both"/>
        <w:ind w:right="2159" w:firstLine="714"/>
        <w:spacing w:after="0" w:line="244" w:lineRule="auto"/>
        <w:rPr>
          <w:sz w:val="20"/>
          <w:szCs w:val="20"/>
          <w:color w:val="auto"/>
        </w:rPr>
      </w:pPr>
      <w:r>
        <w:rPr>
          <w:rFonts w:ascii="Courier New" w:cs="Courier New" w:eastAsia="Courier New" w:hAnsi="Courier New"/>
          <w:sz w:val="17"/>
          <w:szCs w:val="17"/>
          <w:color w:val="auto"/>
        </w:rPr>
        <w:t>COST OF LICENSE. Cost of license for the three months ended December 31, 2000 was $1.7 million, an increase of $0.5 million, or 41.3%, over the cost of license for the three months ended December 31, 1999. Cost of license includes amortization of purchased computer software and intellectual property rights.</w:t>
      </w:r>
    </w:p>
    <w:p>
      <w:pPr>
        <w:spacing w:after="0" w:line="2"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The increase in cost of license was attributable primarily to new purchases of computer software and the related amortization.</w:t>
      </w:r>
    </w:p>
    <w:p>
      <w:pPr>
        <w:spacing w:after="0" w:line="395"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COST OF SERVICE. Cost of service for the three months ended December 31, 2000 was $191.8 million, an increase of $53.3 million, or 38.5%, over the cost of service of $138.5 million for the three months ended December 31, 1999. As a percentage of revenue, cost of service decreased to 56.0% in the three months ended December 31, 2000 from 58.8% in the three months ended December 31, 1999. The decrease in cost of service as a percentage of revenue is primarily due to integration costs of the ITDS operations in the three months ended December 31, 1999.</w:t>
      </w:r>
    </w:p>
    <w:p>
      <w:pPr>
        <w:spacing w:after="0" w:line="396"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RESEARCH AND DEVELOPMENT. Research and development expense was primarily comprised of compensation expense attributed to research and development activities, either in conjunction with customer projects or as part of our product development program. In the three months ended December 31, 2000, research and development expense was $23.6 million, or 6.9% of revenue, compared with $15.0 million, or 6.4% of revenue, in the three months ended December 31, 1999. The bulk of the increase represents ongoing expenditures primarily for CC&amp;B Systems, with the balance attributable to Directory Systems.</w:t>
      </w:r>
    </w:p>
    <w:p>
      <w:pPr>
        <w:spacing w:after="0" w:line="396" w:lineRule="exact"/>
        <w:rPr>
          <w:sz w:val="20"/>
          <w:szCs w:val="20"/>
          <w:color w:val="auto"/>
        </w:rPr>
      </w:pPr>
    </w:p>
    <w:p>
      <w:pPr>
        <w:ind w:right="2059" w:firstLine="714"/>
        <w:spacing w:after="0" w:line="262"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was primarily comprised of compensation expense and increased by 58.2% to $43.5 million, or 12.7% of revenue, in the three months ended December 31, 2000 from $27.5 million, or 11.6% of revenue, in the three months ended December 31, 1999. The increase is attributable to the increase in our revenue for the three months ended December 31, 2000 and to our acquisitions of ITDS and Solect.</w:t>
      </w:r>
    </w:p>
    <w:p>
      <w:pPr>
        <w:spacing w:after="0" w:line="382"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AMORTIZATION OF GOODWILL AND PURCHASED INTANGIBLE ASSETS. Amortization of goodwill and purchased intangible assets for the three months ended December 31, 2000 was $54.2 million, compared to $0.7 million in the three months ended December 31, 1999. Amortization of goodwill and purchased intangible assets in the three months ended December 31, 2000 relates to the ITDS and Solect transactions, compared to one month of amortization related to the ITDS transaction in the three months ended December 31, 1999.</w:t>
      </w:r>
    </w:p>
    <w:p>
      <w:pPr>
        <w:spacing w:after="0" w:line="395"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IN-PROCESS RESEARCH AND DEVELOPMENT AND OTHER INDIRECT ACQUISITION RELATED COSTS. In-process research and development and other indirect acquisition related costs in the three months ended December 31, 1999 consisted of a one-time charge of $19.9 million related to the ITDS transaction for write-off of purchased in-process research and development.</w:t>
      </w:r>
    </w:p>
    <w:p>
      <w:pPr>
        <w:spacing w:after="0" w:line="394" w:lineRule="exact"/>
        <w:rPr>
          <w:sz w:val="20"/>
          <w:szCs w:val="20"/>
          <w:color w:val="auto"/>
        </w:rPr>
      </w:pPr>
    </w:p>
    <w:p>
      <w:pPr>
        <w:ind w:right="2059" w:firstLine="714"/>
        <w:spacing w:after="0" w:line="262" w:lineRule="auto"/>
        <w:rPr>
          <w:sz w:val="20"/>
          <w:szCs w:val="20"/>
          <w:color w:val="auto"/>
        </w:rPr>
      </w:pPr>
      <w:r>
        <w:rPr>
          <w:rFonts w:ascii="Courier New" w:cs="Courier New" w:eastAsia="Courier New" w:hAnsi="Courier New"/>
          <w:sz w:val="16"/>
          <w:szCs w:val="16"/>
          <w:color w:val="auto"/>
        </w:rPr>
        <w:t>OPERATING INCOME. Operating income in the three months ended December 31, 2000, was $27.5 million, compared to $32.9 million in the three months ended December 31, 1999, a decrease of 16.2%, primarily due to Solect acquisition related charges. Pro forma operating income for the three months ended December 31, 2000, excluding the ITDS and Solect acquisition related charges, was $81.7 million, or 23.9% of revenue, compared to $53.4 million, or 22.7% of revenue, for the three months ended December 31, 1999, an increase of 52.9%.</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1" w:right="1440" w:bottom="663"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15</w:t>
      </w:r>
    </w:p>
    <w:p>
      <w:pPr>
        <w:spacing w:after="0" w:line="397"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OTHER INCOME, NET. In the three months ended December 31, 2000, other income, net, was $5.6 million, an increase of $5.2 million over the three months ended December 31, 1999. The increase in other income, net, is primarily attributed to increases in interest earned on cash equivalents and short-term interest-bearing investments.</w:t>
      </w:r>
    </w:p>
    <w:p>
      <w:pPr>
        <w:spacing w:after="0" w:line="394"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INCOME TAXES. Income taxes in the three months ended December 31, 2000 were $20.5 million on income before income taxes of $33.1 million. Our effective tax rate (calculated based on the income taxes out of the income before income taxes, excluding non recurring charges for write-offs of purchased in-process research and development and other indirect acquisition related costs) in the three months ended December 31, 2000 was 62%, resulting from the non-cash amortization of goodwill related to the acquisitions of Solect and ITDS, much of which is not tax deductible. The pro forma effective tax rate for the three months ended December 31, 2000, excluding the ITDS and Solect acquisition related charges, was 30%. In the three months ended December 31, 1999, income taxes were $15.9 million on income before taxes of $33.2 million. In the three months ended December 31, 1999, the effective tax rate was 30%. See discussion below - "Effective Tax Rate".</w:t>
      </w:r>
    </w:p>
    <w:p>
      <w:pPr>
        <w:spacing w:after="0" w:line="398" w:lineRule="exact"/>
        <w:rPr>
          <w:sz w:val="20"/>
          <w:szCs w:val="20"/>
          <w:color w:val="auto"/>
        </w:rPr>
      </w:pPr>
    </w:p>
    <w:p>
      <w:pPr>
        <w:ind w:right="2059" w:firstLine="714"/>
        <w:spacing w:after="0" w:line="262" w:lineRule="auto"/>
        <w:rPr>
          <w:sz w:val="20"/>
          <w:szCs w:val="20"/>
          <w:color w:val="auto"/>
        </w:rPr>
      </w:pPr>
      <w:r>
        <w:rPr>
          <w:rFonts w:ascii="Courier New" w:cs="Courier New" w:eastAsia="Courier New" w:hAnsi="Courier New"/>
          <w:sz w:val="16"/>
          <w:szCs w:val="16"/>
          <w:color w:val="auto"/>
        </w:rPr>
        <w:t>NET INCOME. Net income was $12.6 million in the three months ended December 31, 2000, compared to $17.3 million in the three months ended December 31, 1999. Net income was 3.7% of revenue for the three months ended December 31, 2000, compared to 7.3% for the three months ended December 31, 1999. Pro forma net income in the three months ended December 31, 2000, excluding the ITDS and Solect acquisition related charges, increased by 61.3% over the three months ended December 31, 1999, reaching $61.1 million, representing 17.8% of revenue.</w:t>
      </w:r>
    </w:p>
    <w:p>
      <w:pPr>
        <w:spacing w:after="0" w:line="381"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DILUTED EARNINGS PER SHARE. Diluted earnings per share were $0.06 for the three months ended December 31, 2000, compared to $0.08 in the three months ended December 31, 1999. Pro forma diluted earnings per share in the three months ended December 31, 2000, excluding the ITDS and Solect acquisition related charges, increased by 50% from the three months ended December 31, 1999, reaching $0.27 per diluted share.</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Cash, cash equivalents and short-term interest-bearing investments totaled $429.4 million as of December 31, 2000, compared to $402.3 million as of September 30, 2000. The increase in cash, cash equivalents and short-term interest-bearing investments is primarily attributable to cash flows from operations. Net cash provided by operating activities amounted to $63.5 million and $74.2 million for the three months ended December 31, 2000 and 1999, respectively. A significant portion of our cash flow from operations during the three months ended December 31, 2000 was used to invest in cash equivalents and short-term interest-bearing investments. We currently intend to retain our future earnings to support the further expansion of our business.</w:t>
      </w:r>
    </w:p>
    <w:p>
      <w:pPr>
        <w:spacing w:after="0" w:line="200"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As of December 31, 2000, we had positive working capital of $385.5 million, compared to positive working capital of $319.0 million as of September 30, 2000. The increase in working capital is primarily attributed to cash generated from operating activities. We believe that current cash balances, cash generated from operations and our current lines of credit will provide sufficient resources to meet our needs in the near future.</w:t>
      </w:r>
    </w:p>
    <w:p>
      <w:pPr>
        <w:spacing w:after="0" w:line="395" w:lineRule="exact"/>
        <w:rPr>
          <w:sz w:val="20"/>
          <w:szCs w:val="20"/>
          <w:color w:val="auto"/>
        </w:rPr>
      </w:pPr>
    </w:p>
    <w:p>
      <w:pPr>
        <w:jc w:val="both"/>
        <w:ind w:right="2459" w:firstLine="714"/>
        <w:spacing w:after="0" w:line="243" w:lineRule="auto"/>
        <w:rPr>
          <w:sz w:val="20"/>
          <w:szCs w:val="20"/>
          <w:color w:val="auto"/>
        </w:rPr>
      </w:pPr>
      <w:r>
        <w:rPr>
          <w:rFonts w:ascii="Courier New" w:cs="Courier New" w:eastAsia="Courier New" w:hAnsi="Courier New"/>
          <w:sz w:val="17"/>
          <w:szCs w:val="17"/>
          <w:color w:val="auto"/>
        </w:rPr>
        <w:t>As of December 31, 2000, we had short-term revolving lines of credit totaling $141.0 million from various banks or bank groups, none of which was outstanding.</w:t>
      </w:r>
    </w:p>
    <w:p>
      <w:pPr>
        <w:spacing w:after="0" w:line="396" w:lineRule="exact"/>
        <w:rPr>
          <w:sz w:val="20"/>
          <w:szCs w:val="20"/>
          <w:color w:val="auto"/>
        </w:rPr>
      </w:pPr>
    </w:p>
    <w:p>
      <w:pPr>
        <w:ind w:right="2159" w:firstLine="714"/>
        <w:spacing w:after="0" w:line="243" w:lineRule="auto"/>
        <w:rPr>
          <w:sz w:val="20"/>
          <w:szCs w:val="20"/>
          <w:color w:val="auto"/>
        </w:rPr>
      </w:pPr>
      <w:r>
        <w:rPr>
          <w:rFonts w:ascii="Courier New" w:cs="Courier New" w:eastAsia="Courier New" w:hAnsi="Courier New"/>
          <w:sz w:val="17"/>
          <w:szCs w:val="17"/>
          <w:color w:val="auto"/>
        </w:rPr>
        <w:t>As of December 31, 2000, we also had utilized approximately $19.7 million of revolving credit facilities to support outstanding letters of credit or bank guarantees.</w:t>
      </w:r>
    </w:p>
    <w:p>
      <w:pPr>
        <w:spacing w:after="0" w:line="200"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As of December 31, 2000, we had outstanding long-term obligations of $35.3 million in connection with leasing arrangements. Currently, our capital expenditures consist primarily of computer equipment and vehicles and are funded principally by operating cash flows and capital leasing arrangements. We do not anticipate any change to this policy in the foreseeable future.</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1" w:right="1440" w:bottom="27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16</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DEFERRED TAX ASSETS</w:t>
      </w:r>
    </w:p>
    <w:p>
      <w:pPr>
        <w:spacing w:after="0" w:line="201" w:lineRule="exact"/>
        <w:rPr>
          <w:sz w:val="20"/>
          <w:szCs w:val="20"/>
          <w:color w:val="auto"/>
        </w:rPr>
      </w:pPr>
    </w:p>
    <w:p>
      <w:pPr>
        <w:ind w:right="2359" w:firstLine="714"/>
        <w:spacing w:after="0" w:line="244" w:lineRule="auto"/>
        <w:rPr>
          <w:sz w:val="20"/>
          <w:szCs w:val="20"/>
          <w:color w:val="auto"/>
        </w:rPr>
      </w:pPr>
      <w:r>
        <w:rPr>
          <w:rFonts w:ascii="Courier New" w:cs="Courier New" w:eastAsia="Courier New" w:hAnsi="Courier New"/>
          <w:sz w:val="17"/>
          <w:szCs w:val="17"/>
          <w:color w:val="auto"/>
        </w:rPr>
        <w:t>As of December 31, 2000, deferred tax assets of $18.4 million, derived primarily from carry-forward net operating losses relating to Solect pre-acquisition losses, were offset by valuation allowances due to the uncertainty of realizing any tax benefit for such losses. Upon the subsequent realization of any such net operating losses, the valuation allowance will be released, resulting primarily in an offsetting reduction of the goodwill recorded in the Solect acquisition.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TAX RATE</w:t>
      </w:r>
    </w:p>
    <w:p>
      <w:pPr>
        <w:spacing w:after="0" w:line="201"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Our overall effective tax rate has historically been approximately 30% due to the various corporate income tax rates in the countries in which we operate and the relative magnitude of our business in those countries. Our consolidated effective tax rate (calculated based on the income taxes out of the income before income taxes, excluding non recurring charges for write-offs of purchased in-process research and development and other indirect acquisition related costs) for the three months ended December 31, 2000 was 62%, compared to 30% in the three months ended December 31, 1999. This higher effective tax rate was attributable to amortization of goodwill related to our acquisitions of Solect and ITDS, much of which is not tax deductible. Excluding the impact of the ITDS and Solect acquisition related charges, the effective tax rate for the three months ended December 31, 2000 was 30%.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CURRENCY FLUCTUATIONS</w:t>
      </w:r>
    </w:p>
    <w:p>
      <w:pPr>
        <w:spacing w:after="0" w:line="201" w:lineRule="exact"/>
        <w:rPr>
          <w:sz w:val="20"/>
          <w:szCs w:val="20"/>
          <w:color w:val="auto"/>
        </w:rPr>
      </w:pPr>
    </w:p>
    <w:p>
      <w:pPr>
        <w:ind w:right="2059" w:firstLine="714"/>
        <w:spacing w:after="0" w:line="244" w:lineRule="auto"/>
        <w:rPr>
          <w:sz w:val="20"/>
          <w:szCs w:val="20"/>
          <w:color w:val="auto"/>
        </w:rPr>
      </w:pPr>
      <w:r>
        <w:rPr>
          <w:rFonts w:ascii="Courier New" w:cs="Courier New" w:eastAsia="Courier New" w:hAnsi="Courier New"/>
          <w:sz w:val="17"/>
          <w:szCs w:val="17"/>
          <w:color w:val="auto"/>
        </w:rPr>
        <w:t>Approximately 90% of our revenue is in U.S. dollars or linked to the dollar and therefore the dollar is our functional currency. Approximately 60% of our operating expenses are paid in dollars or are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If we expand our operations outside of the United States, our exposure to fluctuations in currency exchange rates could increase. In managing our foreign exchange risk, we enter from time to time into various foreign exchange contracts. As of December 31, 2000, we had hedged most of our significant exposures in currencies other than the dollar.</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DEVELOPMENTS</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We have formed a joint venture company with Bell Canada to provide</w:t>
      </w:r>
    </w:p>
    <w:p>
      <w:pPr>
        <w:spacing w:after="0" w:line="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customer care and billing solutions to Bell Canada and its affiliated companies.</w:t>
      </w:r>
    </w:p>
    <w:p>
      <w:pPr>
        <w:spacing w:after="0" w:line="211" w:lineRule="exact"/>
        <w:rPr>
          <w:sz w:val="20"/>
          <w:szCs w:val="20"/>
          <w:color w:val="auto"/>
        </w:rPr>
      </w:pPr>
    </w:p>
    <w:p>
      <w:pPr>
        <w:jc w:val="both"/>
        <w:ind w:right="2159" w:firstLine="714"/>
        <w:spacing w:after="0" w:line="244" w:lineRule="auto"/>
        <w:rPr>
          <w:sz w:val="20"/>
          <w:szCs w:val="20"/>
          <w:color w:val="auto"/>
        </w:rPr>
      </w:pPr>
      <w:r>
        <w:rPr>
          <w:rFonts w:ascii="Courier New" w:cs="Courier New" w:eastAsia="Courier New" w:hAnsi="Courier New"/>
          <w:sz w:val="17"/>
          <w:szCs w:val="17"/>
          <w:color w:val="auto"/>
        </w:rPr>
        <w:t>The joint venture company will be initially owned 90% by Bell Canada and 10% by us. A note issued by the joint venture is convertible by us, commencing July, 2003, into an additional 35% ownership interest in the joint venture. The relative ownership interests of the joint venture parties are subject to change through a series of put and call options, commencing July, 2003.</w:t>
      </w:r>
    </w:p>
    <w:p>
      <w:pPr>
        <w:spacing w:after="0" w:line="198" w:lineRule="exact"/>
        <w:rPr>
          <w:sz w:val="20"/>
          <w:szCs w:val="20"/>
          <w:color w:val="auto"/>
        </w:rPr>
      </w:pPr>
    </w:p>
    <w:p>
      <w:pPr>
        <w:ind w:right="2259" w:firstLine="714"/>
        <w:spacing w:after="0" w:line="243" w:lineRule="auto"/>
        <w:rPr>
          <w:sz w:val="20"/>
          <w:szCs w:val="20"/>
          <w:color w:val="auto"/>
        </w:rPr>
      </w:pPr>
      <w:r>
        <w:rPr>
          <w:rFonts w:ascii="Courier New" w:cs="Courier New" w:eastAsia="Courier New" w:hAnsi="Courier New"/>
          <w:sz w:val="17"/>
          <w:szCs w:val="17"/>
          <w:color w:val="auto"/>
        </w:rPr>
        <w:t>We will provide the customer care and billing software required by the joint venture, including customization, installation and maintenance services.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1"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39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6-K.</w:t>
      </w:r>
    </w:p>
    <w:p>
      <w:pPr>
        <w:spacing w:after="0" w:line="200" w:lineRule="exact"/>
        <w:rPr>
          <w:sz w:val="20"/>
          <w:szCs w:val="20"/>
          <w:color w:val="auto"/>
        </w:rPr>
      </w:pPr>
    </w:p>
    <w:p>
      <w:pPr>
        <w:ind w:left="820" w:hanging="815"/>
        <w:spacing w:after="0"/>
        <w:tabs>
          <w:tab w:leader="none" w:pos="8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2">
            <w:col w:w="2140" w:space="720"/>
            <w:col w:w="7359"/>
          </w:cols>
          <w:pgMar w:left="240" w:top="31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99.1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99.2</w:t>
      </w:r>
    </w:p>
    <w:p>
      <w:pPr>
        <w:spacing w:after="0" w:line="20" w:lineRule="exact"/>
        <w:rPr>
          <w:sz w:val="20"/>
          <w:szCs w:val="20"/>
          <w:color w:val="auto"/>
        </w:rPr>
      </w:pPr>
      <w:r>
        <w:rPr>
          <w:sz w:val="20"/>
          <w:szCs w:val="20"/>
          <w:color w:val="auto"/>
        </w:rPr>
        <w:br w:type="column"/>
      </w:r>
    </w:p>
    <w:p>
      <w:pPr>
        <w:ind w:right="2059"/>
        <w:spacing w:after="0" w:line="243" w:lineRule="auto"/>
        <w:rPr>
          <w:sz w:val="20"/>
          <w:szCs w:val="20"/>
          <w:color w:val="auto"/>
        </w:rPr>
      </w:pPr>
      <w:r>
        <w:rPr>
          <w:rFonts w:ascii="Courier New" w:cs="Courier New" w:eastAsia="Courier New" w:hAnsi="Courier New"/>
          <w:sz w:val="17"/>
          <w:szCs w:val="17"/>
          <w:color w:val="auto"/>
        </w:rPr>
        <w:t>Amdocs Limited Press Release dated January 23, 2001. Amdocs Limited and Bell Canada Joint Press Release dated January 31, 2001.</w:t>
      </w:r>
    </w:p>
    <w:p>
      <w:pPr>
        <w:spacing w:after="0" w:line="199" w:lineRule="exact"/>
        <w:rPr>
          <w:sz w:val="20"/>
          <w:szCs w:val="20"/>
          <w:color w:val="auto"/>
        </w:rPr>
      </w:pPr>
    </w:p>
    <w:p>
      <w:pPr>
        <w:sectPr>
          <w:pgSz w:w="11900" w:h="16838" w:orient="portrait"/>
          <w:cols w:equalWidth="0" w:num="2">
            <w:col w:w="2140" w:space="720"/>
            <w:col w:w="7359"/>
          </w:cols>
          <w:pgMar w:left="240" w:top="311" w:right="1440" w:bottom="1440" w:gutter="0" w:footer="0" w:header="0"/>
          <w:type w:val="continuous"/>
        </w:sectPr>
      </w:pPr>
    </w:p>
    <w:p>
      <w:pPr>
        <w:ind w:left="820" w:hanging="815"/>
        <w:spacing w:after="0"/>
        <w:tabs>
          <w:tab w:leader="none" w:pos="8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6-K.</w:t>
      </w:r>
    </w:p>
    <w:p>
      <w:pPr>
        <w:spacing w:after="0" w:line="200" w:lineRule="exact"/>
        <w:rPr>
          <w:rFonts w:ascii="Courier New" w:cs="Courier New" w:eastAsia="Courier New" w:hAnsi="Courier New"/>
          <w:sz w:val="17"/>
          <w:szCs w:val="17"/>
          <w:color w:val="auto"/>
        </w:rPr>
      </w:pPr>
    </w:p>
    <w:p>
      <w:pPr>
        <w:ind w:left="820" w:right="24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filed the following reports on Form 6-K during the three months ended December 31, 2000:</w:t>
      </w:r>
    </w:p>
    <w:p>
      <w:pPr>
        <w:spacing w:after="0" w:line="197" w:lineRule="exact"/>
        <w:rPr>
          <w:rFonts w:ascii="Courier New" w:cs="Courier New" w:eastAsia="Courier New" w:hAnsi="Courier New"/>
          <w:sz w:val="17"/>
          <w:szCs w:val="17"/>
          <w:color w:val="auto"/>
        </w:rPr>
      </w:pPr>
    </w:p>
    <w:p>
      <w:pPr>
        <w:ind w:left="1540" w:hanging="821"/>
        <w:spacing w:after="0"/>
        <w:tabs>
          <w:tab w:leader="none" w:pos="154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6-K dated December 27, 2000.</w:t>
      </w:r>
    </w:p>
    <w:p>
      <w:pPr>
        <w:spacing w:after="0" w:line="199" w:lineRule="exact"/>
        <w:rPr>
          <w:rFonts w:ascii="Courier New" w:cs="Courier New" w:eastAsia="Courier New" w:hAnsi="Courier New"/>
          <w:sz w:val="17"/>
          <w:szCs w:val="17"/>
          <w:color w:val="auto"/>
        </w:rPr>
      </w:pPr>
    </w:p>
    <w:p>
      <w:pPr>
        <w:ind w:left="1540" w:hanging="821"/>
        <w:spacing w:after="0"/>
        <w:tabs>
          <w:tab w:leader="none" w:pos="154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6-K dated December 29, 2000.</w:t>
      </w:r>
    </w:p>
    <w:p>
      <w:pPr>
        <w:spacing w:after="0" w:line="200" w:lineRule="exact"/>
        <w:rPr>
          <w:sz w:val="20"/>
          <w:szCs w:val="20"/>
          <w:color w:val="auto"/>
        </w:rPr>
      </w:pP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1"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3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Amdocs Limited</w:t>
      </w:r>
    </w:p>
    <w:p>
      <w:pPr>
        <w:spacing w:after="0" w:line="396"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/s/ Thomas G. O'Brien</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Thomas G. O'Brien</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Treasurer and Secretary</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Authorized U.S. Representative</w:t>
      </w:r>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w:t>
        <w:tab/>
        <w:t>February 1, 2001</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1"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3"/>
        </w:trPr>
        <w:tc>
          <w:tcPr>
            <w:tcW w:w="2000" w:type="dxa"/>
            <w:vAlign w:val="bottom"/>
          </w:tcPr>
          <w:p>
            <w:pPr>
              <w:jc w:val="right"/>
              <w:ind w:right="1395"/>
              <w:spacing w:after="0"/>
              <w:rPr>
                <w:sz w:val="20"/>
                <w:szCs w:val="20"/>
                <w:color w:val="auto"/>
              </w:rPr>
            </w:pPr>
            <w:r>
              <w:rPr>
                <w:rFonts w:ascii="Courier New" w:cs="Courier New" w:eastAsia="Courier New" w:hAnsi="Courier New"/>
                <w:sz w:val="17"/>
                <w:szCs w:val="17"/>
                <w:color w:val="auto"/>
              </w:rPr>
              <w:t>19</w:t>
            </w:r>
          </w:p>
        </w:tc>
        <w:tc>
          <w:tcPr>
            <w:tcW w:w="8420" w:type="dxa"/>
            <w:vAlign w:val="bottom"/>
          </w:tcPr>
          <w:p>
            <w:pPr>
              <w:spacing w:after="0"/>
              <w:rPr>
                <w:sz w:val="16"/>
                <w:szCs w:val="16"/>
                <w:color w:val="auto"/>
              </w:rPr>
            </w:pPr>
          </w:p>
        </w:tc>
      </w:tr>
      <w:tr>
        <w:trPr>
          <w:trHeight w:val="589"/>
        </w:trPr>
        <w:tc>
          <w:tcPr>
            <w:tcW w:w="2000" w:type="dxa"/>
            <w:vAlign w:val="bottom"/>
          </w:tcPr>
          <w:p>
            <w:pPr>
              <w:spacing w:after="0"/>
              <w:rPr>
                <w:sz w:val="24"/>
                <w:szCs w:val="24"/>
                <w:color w:val="auto"/>
              </w:rPr>
            </w:pPr>
          </w:p>
        </w:tc>
        <w:tc>
          <w:tcPr>
            <w:tcW w:w="8420" w:type="dxa"/>
            <w:vAlign w:val="bottom"/>
          </w:tcPr>
          <w:p>
            <w:pPr>
              <w:ind w:left="1480"/>
              <w:spacing w:after="0"/>
              <w:rPr>
                <w:sz w:val="20"/>
                <w:szCs w:val="20"/>
                <w:color w:val="auto"/>
              </w:rPr>
            </w:pPr>
            <w:r>
              <w:rPr>
                <w:rFonts w:ascii="Courier New" w:cs="Courier New" w:eastAsia="Courier New" w:hAnsi="Courier New"/>
                <w:sz w:val="17"/>
                <w:szCs w:val="17"/>
                <w:color w:val="auto"/>
              </w:rPr>
              <w:t>EXHIBIT INDEX</w:t>
            </w:r>
          </w:p>
        </w:tc>
      </w:tr>
      <w:tr>
        <w:trPr>
          <w:trHeight w:val="785"/>
        </w:trPr>
        <w:tc>
          <w:tcPr>
            <w:tcW w:w="200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8420" w:type="dxa"/>
            <w:vAlign w:val="bottom"/>
          </w:tcPr>
          <w:p>
            <w:pPr>
              <w:ind w:left="860"/>
              <w:spacing w:after="0"/>
              <w:rPr>
                <w:sz w:val="20"/>
                <w:szCs w:val="20"/>
                <w:color w:val="auto"/>
              </w:rPr>
            </w:pPr>
            <w:r>
              <w:rPr>
                <w:rFonts w:ascii="Courier New" w:cs="Courier New" w:eastAsia="Courier New" w:hAnsi="Courier New"/>
                <w:sz w:val="17"/>
                <w:szCs w:val="17"/>
                <w:color w:val="auto"/>
              </w:rPr>
              <w:t>DESCRIPTION</w:t>
            </w:r>
          </w:p>
        </w:tc>
      </w:tr>
      <w:tr>
        <w:trPr>
          <w:trHeight w:val="392"/>
        </w:trPr>
        <w:tc>
          <w:tcPr>
            <w:tcW w:w="200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8420" w:type="dxa"/>
            <w:vAlign w:val="bottom"/>
          </w:tcPr>
          <w:p>
            <w:pPr>
              <w:ind w:left="860"/>
              <w:spacing w:after="0"/>
              <w:rPr>
                <w:sz w:val="20"/>
                <w:szCs w:val="20"/>
                <w:color w:val="auto"/>
              </w:rPr>
            </w:pPr>
            <w:r>
              <w:rPr>
                <w:rFonts w:ascii="Courier New" w:cs="Courier New" w:eastAsia="Courier New" w:hAnsi="Courier New"/>
                <w:sz w:val="17"/>
                <w:szCs w:val="17"/>
                <w:color w:val="auto"/>
              </w:rPr>
              <w:t>Amdocs Limited Press Release dated January 23, 2001.</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99.2</w:t>
            </w:r>
          </w:p>
        </w:tc>
        <w:tc>
          <w:tcPr>
            <w:tcW w:w="8420" w:type="dxa"/>
            <w:vAlign w:val="bottom"/>
          </w:tcPr>
          <w:p>
            <w:pPr>
              <w:ind w:left="860"/>
              <w:spacing w:after="0"/>
              <w:rPr>
                <w:sz w:val="20"/>
                <w:szCs w:val="20"/>
                <w:color w:val="auto"/>
              </w:rPr>
            </w:pPr>
            <w:r>
              <w:rPr>
                <w:rFonts w:ascii="Courier New" w:cs="Courier New" w:eastAsia="Courier New" w:hAnsi="Courier New"/>
                <w:sz w:val="17"/>
                <w:szCs w:val="17"/>
                <w:color w:val="auto"/>
                <w:w w:val="99"/>
              </w:rPr>
              <w:t>Amdocs Limited and Bell Canada Joint Press Release dated January 31, 2001.</w:t>
            </w:r>
          </w:p>
        </w:tc>
      </w:tr>
      <w:tr>
        <w:trPr>
          <w:trHeight w:val="785"/>
        </w:trPr>
        <w:tc>
          <w:tcPr>
            <w:tcW w:w="2000" w:type="dxa"/>
            <w:vAlign w:val="bottom"/>
          </w:tcPr>
          <w:p>
            <w:pPr>
              <w:spacing w:after="0"/>
              <w:rPr>
                <w:sz w:val="24"/>
                <w:szCs w:val="24"/>
                <w:color w:val="auto"/>
              </w:rPr>
            </w:pPr>
          </w:p>
        </w:tc>
        <w:tc>
          <w:tcPr>
            <w:tcW w:w="8420" w:type="dxa"/>
            <w:vAlign w:val="bottom"/>
          </w:tcPr>
          <w:p>
            <w:pPr>
              <w:ind w:left="1880"/>
              <w:spacing w:after="0"/>
              <w:rPr>
                <w:sz w:val="20"/>
                <w:szCs w:val="20"/>
                <w:color w:val="auto"/>
              </w:rPr>
            </w:pPr>
            <w:r>
              <w:rPr>
                <w:rFonts w:ascii="Courier New" w:cs="Courier New" w:eastAsia="Courier New" w:hAnsi="Courier New"/>
                <w:sz w:val="17"/>
                <w:szCs w:val="17"/>
                <w:color w:val="auto"/>
              </w:rPr>
              <w:t>17</w:t>
            </w:r>
          </w:p>
        </w:tc>
      </w:tr>
    </w:tbl>
    <w:p>
      <w:pPr>
        <w:sectPr>
          <w:pgSz w:w="11900" w:h="16838" w:orient="portrait"/>
          <w:cols w:equalWidth="0" w:num="1">
            <w:col w:w="10420"/>
          </w:cols>
          <w:pgMar w:left="240" w:top="311" w:right="1239"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92"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LIMITED REPORTS 45.3% INCREASE IN FIRST QUARTER</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REVENUE TO $342.2M</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EPS, EXCLUDING ACQUISITION-RELATED CHARGES, INCREASES BY 50.0% TO</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$0.27</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ST. LOUIS, MO - JANUARY 23, 2001 -- Amdocs Limited (NYSE: DOX) today reported that for the first quarter ended December 31, 2000, revenue reached $342.2 million, an increase of 45.3% over last year's first quarter. Excluding acquisition-related charges, net income increased 61.3% to $61.1 million, while earnings per share increased 50.0% to $0.27 per diluted share, compared to net income of $37.9 million, or $0.18 per diluted share, in the first quarter of fiscal 2000. The Company's as-reported net income, which includes acquisition-related charges of amortization of goodwill and purchased intangible assets, write-off of in-process R&amp;D and related tax effects, was $12.6 million, or $0.06 per diluted share, compared to net income of $17.3 million, or $0.08 per diluted share, in the first quarter of fiscal 2000.</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Avi Naor, Chief Executive Officer of Amdocs Management Limited, noted, "Amdocs continues to demonstrate excellence in its growth, profitability and overall business performance. Our strong consistent results this quarter and over time reflect a robust, solutions-based business model and a well-balanced product/service portfolio with the breadth and depth needed to address ongoing market changes."</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Management believes that the changing needs of communications providers are creating additional demand for Amdocs' market-leading customer care and billing solutions. "This growing demand is manifest in all segments - mobile, wireline and IP - and in all regions. In an evolving communications environment, advanced customer care and billing solutions enable service providers to improve profitability and control costs while also dealing with IP transition, ongoing expansion, and mounting competition. With our broad set of offerings, encompassing voice and IP technologies, CRM and billing software, and complete service coverage from implementation through outsourcing, Amdocs is uniquely positioned to leverage the expanding opportunities that are being generated in the communications market," Naor added.</w:t>
      </w:r>
    </w:p>
    <w:p>
      <w:pPr>
        <w:spacing w:after="0" w:line="201" w:lineRule="exact"/>
        <w:rPr>
          <w:sz w:val="20"/>
          <w:szCs w:val="20"/>
          <w:color w:val="auto"/>
        </w:rPr>
      </w:pPr>
    </w:p>
    <w:p>
      <w:pPr>
        <w:ind w:right="2059"/>
        <w:spacing w:after="0" w:line="263" w:lineRule="auto"/>
        <w:rPr>
          <w:sz w:val="20"/>
          <w:szCs w:val="20"/>
          <w:color w:val="auto"/>
        </w:rPr>
      </w:pPr>
      <w:r>
        <w:rPr>
          <w:rFonts w:ascii="Courier New" w:cs="Courier New" w:eastAsia="Courier New" w:hAnsi="Courier New"/>
          <w:sz w:val="16"/>
          <w:szCs w:val="16"/>
          <w:color w:val="auto"/>
        </w:rPr>
        <w:t>Naor concluded, "As the market leader for customer care and billing systems for communications and IP service providers, our business prospects are outstanding. Based on our long-term customer relationships, strong pipeline and high visibility, we are very confident that our positive momentum will be maintained with continued growth and excellent business results in the coming quarters. "</w:t>
      </w:r>
    </w:p>
    <w:p>
      <w:pPr>
        <w:spacing w:after="0" w:line="18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141"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w:t>
      </w:r>
    </w:p>
    <w:p>
      <w:pPr>
        <w:spacing w:after="0" w:line="397"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Amdocs is the world's leader in customer care and billing systems for communications and IP service providers. Amdocs has an unparalleled success record in project delivery of its mission-critical products. With over 7,700 information systems professionals deployed worldwide, Amdocs supports a global customer base. For more information visit our Web site at www.amdocs.com.</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Amdocs will host a conference call on Tuesday, January 23 at 5:00 p.m. Eastern Standard Time to discuss the company's first quarter results. The call will be carried live on the Internet via www.vcall.com and the Amdocs website, www.amdocs.com.</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THIS PRESS RELEASE MAY CONTAIN FORWARD LOOKING STATEMENTS AS DEFINED UNDER THE SECURITIES ACT OF 1933, AS AMENDED, INCLUDING STATEMENTS ABOUT AMDOCS' GROWTH AND BUSINESS RESULTS IN FUTURE QUARTERS. SUCH STATEMENTS INVOLVE RISKS AND UNCERTAINTIES THAT MAY CAUSE FUTURE RESULTS TO DIFFER FROM THOSE ANTICIPATED. THESE RISKS INCLUDE, BUT ARE NOT LIMITED TO, AMDOCS' ABILITY TO CONTINUE LEVERAGING ITS GROWTH IN EACH OF THE MOBILE, WIRELINE AND IP BUSINESS SEGMENTS,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Director of Investor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314/212-8328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dox_info@amdocs.com</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 TABLES FOLLOW -</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1"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3</w:t>
      </w:r>
    </w:p>
    <w:p>
      <w:pPr>
        <w:spacing w:after="0" w:line="396"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PRO FORMA CONSOLIDATED STATEMENTS OF OPERATIONS (UNAUDITED)</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EXCLUDING PURCHASED IN-PROCESS RESEARCH AND DEVELOPMENT,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ACQUISITION RELATED COSTS,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AMORTIZATION OF GOODWILL AND PURCHASED INTANGIBLE ASSETS</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RELATED</w:t>
            </w:r>
          </w:p>
        </w:tc>
      </w:tr>
      <w:tr>
        <w:trPr>
          <w:trHeight w:val="196"/>
        </w:trPr>
        <w:tc>
          <w:tcPr>
            <w:tcW w:w="4800" w:type="dxa"/>
            <w:vAlign w:val="bottom"/>
          </w:tcPr>
          <w:p>
            <w:pPr>
              <w:ind w:left="3580"/>
              <w:spacing w:after="0"/>
              <w:rPr>
                <w:sz w:val="20"/>
                <w:szCs w:val="20"/>
                <w:color w:val="auto"/>
              </w:rPr>
            </w:pPr>
            <w:r>
              <w:rPr>
                <w:rFonts w:ascii="Courier New" w:cs="Courier New" w:eastAsia="Courier New" w:hAnsi="Courier New"/>
                <w:sz w:val="17"/>
                <w:szCs w:val="17"/>
                <w:color w:val="auto"/>
              </w:rPr>
              <w:t>TAX EFFECTS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480" w:type="dxa"/>
            <w:vAlign w:val="bottom"/>
            <w:gridSpan w:val="3"/>
          </w:tcPr>
          <w:p>
            <w:pPr>
              <w:jc w:val="right"/>
              <w:ind w:right="375"/>
              <w:spacing w:after="0"/>
              <w:rPr>
                <w:sz w:val="20"/>
                <w:szCs w:val="20"/>
                <w:color w:val="auto"/>
              </w:rPr>
            </w:pPr>
            <w:r>
              <w:rPr>
                <w:rFonts w:ascii="Courier New" w:cs="Courier New" w:eastAsia="Courier New" w:hAnsi="Courier New"/>
                <w:sz w:val="17"/>
                <w:szCs w:val="17"/>
                <w:color w:val="auto"/>
              </w:rPr>
              <w:t>(IN THOUSANDS, EXCEPT PER SHARE DATA)</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85"/>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3"/>
          </w:tcPr>
          <w:p>
            <w:pPr>
              <w:jc w:val="right"/>
              <w:ind w:right="43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31,</w:t>
            </w:r>
          </w:p>
        </w:tc>
      </w:tr>
      <w:tr>
        <w:trPr>
          <w:trHeight w:val="196"/>
        </w:trPr>
        <w:tc>
          <w:tcPr>
            <w:tcW w:w="4800" w:type="dxa"/>
            <w:vAlign w:val="bottom"/>
          </w:tcPr>
          <w:p>
            <w:pPr>
              <w:spacing w:after="0"/>
              <w:rPr>
                <w:sz w:val="17"/>
                <w:szCs w:val="17"/>
                <w:color w:val="auto"/>
              </w:rPr>
            </w:pPr>
          </w:p>
        </w:tc>
        <w:tc>
          <w:tcPr>
            <w:tcW w:w="286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w w:val="97"/>
              </w:rPr>
              <w:t>2000 (1)</w:t>
            </w:r>
          </w:p>
        </w:tc>
        <w:tc>
          <w:tcPr>
            <w:tcW w:w="1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1999 (1)</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License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38,076</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26,502</w:t>
            </w: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Service</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304,091</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209,004</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342,167</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235,506</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Cost of license</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1,658</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1,173</w:t>
            </w: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Cost of service</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191,788</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138,467</w:t>
            </w: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23,579</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14,970</w:t>
            </w: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Selling, general and administrative</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43,450</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27,460</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260,475</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182,070</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81,692</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53,436</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24"/>
                <w:szCs w:val="24"/>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5,562</w:t>
            </w:r>
          </w:p>
        </w:tc>
        <w:tc>
          <w:tcPr>
            <w:tcW w:w="16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345</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87,254</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53,781</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00" w:type="dxa"/>
            <w:vAlign w:val="bottom"/>
          </w:tcPr>
          <w:p>
            <w:pPr>
              <w:spacing w:after="0"/>
              <w:rPr>
                <w:sz w:val="24"/>
                <w:szCs w:val="24"/>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26,176</w:t>
            </w:r>
          </w:p>
        </w:tc>
        <w:tc>
          <w:tcPr>
            <w:tcW w:w="16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15,924</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61,078</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37,857</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0.27</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0.18</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 shares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7"/>
                <w:szCs w:val="17"/>
                <w:color w:val="auto"/>
              </w:rPr>
            </w:pP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226,361</w:t>
            </w: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204,867</w:t>
            </w:r>
          </w:p>
        </w:tc>
      </w:tr>
      <w:tr>
        <w:trPr>
          <w:trHeight w:val="196"/>
        </w:trPr>
        <w:tc>
          <w:tcPr>
            <w:tcW w:w="4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right="2059" w:hanging="415"/>
        <w:spacing w:after="0" w:line="244"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$54,160 and $700 for amortization of goodwill and purchased intangible assets, $0 and $19,876 for write-off of purchased in-process research and development and other costs, and ($5,658) and $0 for related tax effects, in the three months ended December 31, 2000 and 1999, respectively. Including the above items, income before income taxes was $33,094 and $33,205, and diluted earnings per share were $0.06 and $0.08 for the three months ended December 31, 2000 and 1999,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11"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39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OPERATIONS (UNAUDITED)</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6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4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98"/>
              </w:rPr>
              <w:t>DECEMBER 31,</w:t>
            </w:r>
          </w:p>
        </w:tc>
        <w:tc>
          <w:tcPr>
            <w:tcW w:w="920" w:type="dxa"/>
            <w:vAlign w:val="bottom"/>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3260" w:type="dxa"/>
            <w:vAlign w:val="bottom"/>
            <w:gridSpan w:val="4"/>
          </w:tcPr>
          <w:p>
            <w:pPr>
              <w:ind w:left="40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7"/>
                <w:szCs w:val="17"/>
                <w:color w:val="auto"/>
              </w:rPr>
              <w:t>2000</w:t>
            </w:r>
          </w:p>
        </w:tc>
        <w:tc>
          <w:tcPr>
            <w:tcW w:w="46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1999</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46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License</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38,076</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26,502</w:t>
            </w: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Service</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304,091</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209,004</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4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342,167</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235,506</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Cost of license</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1,658</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1,173</w:t>
            </w: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Cost of service</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191,788</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138,467</w:t>
            </w: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Research and development</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23,579</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14,970</w:t>
            </w: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Selling, general and administrative</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43,450</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27,460</w:t>
            </w: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goodwill and purchased</w:t>
            </w: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600" w:type="dxa"/>
            <w:vAlign w:val="bottom"/>
          </w:tcPr>
          <w:p>
            <w:pPr>
              <w:ind w:left="420"/>
              <w:spacing w:after="0"/>
              <w:rPr>
                <w:sz w:val="20"/>
                <w:szCs w:val="20"/>
                <w:color w:val="auto"/>
              </w:rPr>
            </w:pPr>
            <w:r>
              <w:rPr>
                <w:rFonts w:ascii="Courier New" w:cs="Courier New" w:eastAsia="Courier New" w:hAnsi="Courier New"/>
                <w:sz w:val="17"/>
                <w:szCs w:val="17"/>
                <w:color w:val="auto"/>
              </w:rPr>
              <w:t>intangible assets</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54,160</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700</w:t>
            </w: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In-process research and development and</w:t>
            </w: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600" w:type="dxa"/>
            <w:vAlign w:val="bottom"/>
          </w:tcPr>
          <w:p>
            <w:pPr>
              <w:ind w:left="420"/>
              <w:spacing w:after="0"/>
              <w:rPr>
                <w:sz w:val="20"/>
                <w:szCs w:val="20"/>
                <w:color w:val="auto"/>
              </w:rPr>
            </w:pPr>
            <w:r>
              <w:rPr>
                <w:rFonts w:ascii="Courier New" w:cs="Courier New" w:eastAsia="Courier New" w:hAnsi="Courier New"/>
                <w:sz w:val="17"/>
                <w:szCs w:val="17"/>
                <w:color w:val="auto"/>
              </w:rPr>
              <w:t>other costs</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19,876</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4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314,635</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202,646</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27,532</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32,860</w:t>
            </w:r>
          </w:p>
        </w:tc>
      </w:tr>
      <w:tr>
        <w:trPr>
          <w:trHeight w:val="392"/>
        </w:trPr>
        <w:tc>
          <w:tcPr>
            <w:tcW w:w="460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700" w:type="dxa"/>
            <w:vAlign w:val="bottom"/>
          </w:tcPr>
          <w:p>
            <w:pPr>
              <w:spacing w:after="0"/>
              <w:rPr>
                <w:sz w:val="24"/>
                <w:szCs w:val="24"/>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5,562</w:t>
            </w:r>
          </w:p>
        </w:tc>
        <w:tc>
          <w:tcPr>
            <w:tcW w:w="46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345</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33,094</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33,205</w:t>
            </w:r>
          </w:p>
        </w:tc>
      </w:tr>
      <w:tr>
        <w:trPr>
          <w:trHeight w:val="392"/>
        </w:trPr>
        <w:tc>
          <w:tcPr>
            <w:tcW w:w="460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700" w:type="dxa"/>
            <w:vAlign w:val="bottom"/>
          </w:tcPr>
          <w:p>
            <w:pPr>
              <w:spacing w:after="0"/>
              <w:rPr>
                <w:sz w:val="24"/>
                <w:szCs w:val="24"/>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20,518</w:t>
            </w:r>
          </w:p>
        </w:tc>
        <w:tc>
          <w:tcPr>
            <w:tcW w:w="46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15,924</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46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12,576</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17,281</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460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0.06</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0.09</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460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0.06</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0.08</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 shares</w:t>
            </w: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outstanding</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221,217</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201,020</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 shares</w:t>
            </w: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600" w:type="dxa"/>
            <w:vAlign w:val="bottom"/>
          </w:tcPr>
          <w:p>
            <w:pPr>
              <w:ind w:left="200"/>
              <w:spacing w:after="0"/>
              <w:rPr>
                <w:sz w:val="20"/>
                <w:szCs w:val="20"/>
                <w:color w:val="auto"/>
              </w:rPr>
            </w:pPr>
            <w:r>
              <w:rPr>
                <w:rFonts w:ascii="Courier New" w:cs="Courier New" w:eastAsia="Courier New" w:hAnsi="Courier New"/>
                <w:sz w:val="17"/>
                <w:szCs w:val="17"/>
                <w:color w:val="auto"/>
              </w:rPr>
              <w:t>outstanding</w:t>
            </w:r>
          </w:p>
        </w:tc>
        <w:tc>
          <w:tcPr>
            <w:tcW w:w="70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226,361</w:t>
            </w:r>
          </w:p>
        </w:tc>
        <w:tc>
          <w:tcPr>
            <w:tcW w:w="4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204,867</w:t>
            </w:r>
          </w:p>
        </w:tc>
      </w:tr>
      <w:tr>
        <w:trPr>
          <w:trHeight w:val="196"/>
        </w:trPr>
        <w:tc>
          <w:tcPr>
            <w:tcW w:w="4600" w:type="dxa"/>
            <w:vAlign w:val="bottom"/>
          </w:tcPr>
          <w:p>
            <w:pPr>
              <w:spacing w:after="0"/>
              <w:rPr>
                <w:sz w:val="17"/>
                <w:szCs w:val="17"/>
                <w:color w:val="auto"/>
              </w:rPr>
            </w:pPr>
          </w:p>
        </w:tc>
        <w:tc>
          <w:tcPr>
            <w:tcW w:w="18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589"/>
        </w:trPr>
        <w:tc>
          <w:tcPr>
            <w:tcW w:w="4600" w:type="dxa"/>
            <w:vAlign w:val="bottom"/>
          </w:tcPr>
          <w:p>
            <w:pPr>
              <w:ind w:left="3980"/>
              <w:spacing w:after="0"/>
              <w:rPr>
                <w:sz w:val="20"/>
                <w:szCs w:val="20"/>
                <w:color w:val="auto"/>
              </w:rPr>
            </w:pPr>
            <w:r>
              <w:rPr>
                <w:rFonts w:ascii="Courier New" w:cs="Courier New" w:eastAsia="Courier New" w:hAnsi="Courier New"/>
                <w:sz w:val="17"/>
                <w:szCs w:val="17"/>
                <w:color w:val="auto"/>
              </w:rPr>
              <w:t>21</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311"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9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AS OF</w:t>
            </w: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5720" w:type="dxa"/>
            <w:vAlign w:val="bottom"/>
          </w:tcPr>
          <w:p>
            <w:pPr>
              <w:spacing w:after="0"/>
              <w:rPr>
                <w:sz w:val="17"/>
                <w:szCs w:val="17"/>
                <w:color w:val="auto"/>
              </w:rPr>
            </w:pPr>
          </w:p>
        </w:tc>
        <w:tc>
          <w:tcPr>
            <w:tcW w:w="4080" w:type="dxa"/>
            <w:vAlign w:val="bottom"/>
            <w:gridSpan w:val="4"/>
          </w:tcPr>
          <w:p>
            <w:pPr>
              <w:ind w:left="500"/>
              <w:spacing w:after="0"/>
              <w:rPr>
                <w:sz w:val="20"/>
                <w:szCs w:val="20"/>
                <w:color w:val="auto"/>
              </w:rPr>
            </w:pPr>
            <w:r>
              <w:rPr>
                <w:rFonts w:ascii="Courier New" w:cs="Courier New" w:eastAsia="Courier New" w:hAnsi="Courier New"/>
                <w:sz w:val="17"/>
                <w:szCs w:val="17"/>
                <w:color w:val="auto"/>
              </w:rPr>
              <w:t>--------------- -- ---------------</w:t>
            </w:r>
          </w:p>
        </w:tc>
      </w:tr>
      <w:tr>
        <w:trPr>
          <w:trHeight w:val="196"/>
        </w:trPr>
        <w:tc>
          <w:tcPr>
            <w:tcW w:w="5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DECEMBER 31,</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2000</w:t>
            </w:r>
          </w:p>
        </w:tc>
        <w:tc>
          <w:tcPr>
            <w:tcW w:w="460" w:type="dxa"/>
            <w:vAlign w:val="bottom"/>
          </w:tcPr>
          <w:p>
            <w:pPr>
              <w:spacing w:after="0"/>
              <w:rPr>
                <w:sz w:val="17"/>
                <w:szCs w:val="17"/>
                <w:color w:val="auto"/>
              </w:rPr>
            </w:pPr>
          </w:p>
        </w:tc>
        <w:tc>
          <w:tcPr>
            <w:tcW w:w="128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2000</w:t>
            </w:r>
          </w:p>
        </w:tc>
      </w:tr>
      <w:tr>
        <w:trPr>
          <w:trHeight w:val="196"/>
        </w:trPr>
        <w:tc>
          <w:tcPr>
            <w:tcW w:w="5720" w:type="dxa"/>
            <w:vAlign w:val="bottom"/>
          </w:tcPr>
          <w:p>
            <w:pPr>
              <w:spacing w:after="0"/>
              <w:rPr>
                <w:sz w:val="17"/>
                <w:szCs w:val="17"/>
                <w:color w:val="auto"/>
              </w:rPr>
            </w:pPr>
          </w:p>
        </w:tc>
        <w:tc>
          <w:tcPr>
            <w:tcW w:w="23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92"/>
        </w:trPr>
        <w:tc>
          <w:tcPr>
            <w:tcW w:w="57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57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Cash, cash equivalents and short-term</w:t>
            </w:r>
          </w:p>
        </w:tc>
        <w:tc>
          <w:tcPr>
            <w:tcW w:w="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interest-bearing investments</w:t>
            </w:r>
          </w:p>
        </w:tc>
        <w:tc>
          <w:tcPr>
            <w:tcW w:w="620" w:type="dxa"/>
            <w:vAlign w:val="bottom"/>
          </w:tcPr>
          <w:p>
            <w:pPr>
              <w:ind w:left="500"/>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429,363</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402,300</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net</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297,225</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263,100</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41,987</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35,179</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38,217</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34,327</w:t>
            </w:r>
          </w:p>
        </w:tc>
      </w:tr>
      <w:tr>
        <w:trPr>
          <w:trHeight w:val="196"/>
        </w:trPr>
        <w:tc>
          <w:tcPr>
            <w:tcW w:w="5720" w:type="dxa"/>
            <w:vAlign w:val="bottom"/>
          </w:tcPr>
          <w:p>
            <w:pPr>
              <w:spacing w:after="0"/>
              <w:rPr>
                <w:sz w:val="17"/>
                <w:szCs w:val="17"/>
                <w:color w:val="auto"/>
              </w:rPr>
            </w:pPr>
          </w:p>
        </w:tc>
        <w:tc>
          <w:tcPr>
            <w:tcW w:w="23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Total current assets</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806,792</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734,906</w:t>
            </w:r>
          </w:p>
        </w:tc>
      </w:tr>
      <w:tr>
        <w:trPr>
          <w:trHeight w:val="392"/>
        </w:trPr>
        <w:tc>
          <w:tcPr>
            <w:tcW w:w="572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620" w:type="dxa"/>
            <w:vAlign w:val="bottom"/>
          </w:tcPr>
          <w:p>
            <w:pPr>
              <w:spacing w:after="0"/>
              <w:rPr>
                <w:sz w:val="24"/>
                <w:szCs w:val="24"/>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133,889</w:t>
            </w:r>
          </w:p>
        </w:tc>
        <w:tc>
          <w:tcPr>
            <w:tcW w:w="460" w:type="dxa"/>
            <w:vAlign w:val="bottom"/>
          </w:tcPr>
          <w:p>
            <w:pPr>
              <w:spacing w:after="0"/>
              <w:rPr>
                <w:sz w:val="24"/>
                <w:szCs w:val="24"/>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128,081</w:t>
            </w:r>
          </w:p>
        </w:tc>
      </w:tr>
      <w:tr>
        <w:trPr>
          <w:trHeight w:val="1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955,658</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1,011,053</w:t>
            </w:r>
          </w:p>
        </w:tc>
      </w:tr>
      <w:tr>
        <w:trPr>
          <w:trHeight w:val="1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63,470</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61,045</w:t>
            </w:r>
          </w:p>
        </w:tc>
      </w:tr>
      <w:tr>
        <w:trPr>
          <w:trHeight w:val="196"/>
        </w:trPr>
        <w:tc>
          <w:tcPr>
            <w:tcW w:w="5720" w:type="dxa"/>
            <w:vAlign w:val="bottom"/>
          </w:tcPr>
          <w:p>
            <w:pPr>
              <w:spacing w:after="0"/>
              <w:rPr>
                <w:sz w:val="17"/>
                <w:szCs w:val="17"/>
                <w:color w:val="auto"/>
              </w:rPr>
            </w:pPr>
          </w:p>
        </w:tc>
        <w:tc>
          <w:tcPr>
            <w:tcW w:w="23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620" w:type="dxa"/>
            <w:vAlign w:val="bottom"/>
          </w:tcPr>
          <w:p>
            <w:pPr>
              <w:ind w:left="500"/>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1,959,809</w:t>
            </w:r>
          </w:p>
        </w:tc>
        <w:tc>
          <w:tcPr>
            <w:tcW w:w="4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1,935,085</w:t>
            </w:r>
          </w:p>
        </w:tc>
      </w:tr>
      <w:tr>
        <w:trPr>
          <w:trHeight w:val="196"/>
        </w:trPr>
        <w:tc>
          <w:tcPr>
            <w:tcW w:w="5720" w:type="dxa"/>
            <w:vAlign w:val="bottom"/>
          </w:tcPr>
          <w:p>
            <w:pPr>
              <w:spacing w:after="0"/>
              <w:rPr>
                <w:sz w:val="17"/>
                <w:szCs w:val="17"/>
                <w:color w:val="auto"/>
              </w:rPr>
            </w:pPr>
          </w:p>
        </w:tc>
        <w:tc>
          <w:tcPr>
            <w:tcW w:w="23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589"/>
        </w:trPr>
        <w:tc>
          <w:tcPr>
            <w:tcW w:w="57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57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 and accruals</w:t>
            </w:r>
          </w:p>
        </w:tc>
        <w:tc>
          <w:tcPr>
            <w:tcW w:w="620" w:type="dxa"/>
            <w:vAlign w:val="bottom"/>
          </w:tcPr>
          <w:p>
            <w:pPr>
              <w:ind w:left="500"/>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198,963</w:t>
            </w:r>
          </w:p>
        </w:tc>
        <w:tc>
          <w:tcPr>
            <w:tcW w:w="4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198,445</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Short-term financing arrangements</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9,355</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28,713</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Deferred revenue</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141,519</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133,546</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 and income taxes payable</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71,413</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55,197</w:t>
            </w:r>
          </w:p>
        </w:tc>
      </w:tr>
      <w:tr>
        <w:trPr>
          <w:trHeight w:val="196"/>
        </w:trPr>
        <w:tc>
          <w:tcPr>
            <w:tcW w:w="5720" w:type="dxa"/>
            <w:vAlign w:val="bottom"/>
          </w:tcPr>
          <w:p>
            <w:pPr>
              <w:spacing w:after="0"/>
              <w:rPr>
                <w:sz w:val="17"/>
                <w:szCs w:val="17"/>
                <w:color w:val="auto"/>
              </w:rPr>
            </w:pPr>
          </w:p>
        </w:tc>
        <w:tc>
          <w:tcPr>
            <w:tcW w:w="23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Total current liabilities</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421,250</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415,901</w:t>
            </w:r>
          </w:p>
        </w:tc>
      </w:tr>
      <w:tr>
        <w:trPr>
          <w:trHeight w:val="1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Non-current liabilities</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92,907</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88,412</w:t>
            </w:r>
          </w:p>
        </w:tc>
      </w:tr>
      <w:tr>
        <w:trPr>
          <w:trHeight w:val="1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62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1,445,652</w:t>
            </w:r>
          </w:p>
        </w:tc>
        <w:tc>
          <w:tcPr>
            <w:tcW w:w="4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1,430,772</w:t>
            </w:r>
          </w:p>
        </w:tc>
      </w:tr>
      <w:tr>
        <w:trPr>
          <w:trHeight w:val="196"/>
        </w:trPr>
        <w:tc>
          <w:tcPr>
            <w:tcW w:w="5720" w:type="dxa"/>
            <w:vAlign w:val="bottom"/>
          </w:tcPr>
          <w:p>
            <w:pPr>
              <w:spacing w:after="0"/>
              <w:rPr>
                <w:sz w:val="17"/>
                <w:szCs w:val="17"/>
                <w:color w:val="auto"/>
              </w:rPr>
            </w:pPr>
          </w:p>
        </w:tc>
        <w:tc>
          <w:tcPr>
            <w:tcW w:w="23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 liabilities and shareholders' equity</w:t>
            </w:r>
          </w:p>
        </w:tc>
        <w:tc>
          <w:tcPr>
            <w:tcW w:w="620" w:type="dxa"/>
            <w:vAlign w:val="bottom"/>
          </w:tcPr>
          <w:p>
            <w:pPr>
              <w:ind w:left="500"/>
              <w:spacing w:after="0"/>
              <w:rPr>
                <w:sz w:val="20"/>
                <w:szCs w:val="20"/>
                <w:color w:val="auto"/>
              </w:rPr>
            </w:pPr>
            <w:r>
              <w:rPr>
                <w:rFonts w:ascii="Courier New" w:cs="Courier New" w:eastAsia="Courier New" w:hAnsi="Courier New"/>
                <w:sz w:val="17"/>
                <w:szCs w:val="17"/>
                <w:color w:val="auto"/>
                <w:w w:val="97"/>
              </w:rPr>
              <w:t>$</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1,959,809</w:t>
            </w:r>
          </w:p>
        </w:tc>
        <w:tc>
          <w:tcPr>
            <w:tcW w:w="4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1,935,085</w:t>
            </w:r>
          </w:p>
        </w:tc>
      </w:tr>
      <w:tr>
        <w:trPr>
          <w:trHeight w:val="196"/>
        </w:trPr>
        <w:tc>
          <w:tcPr>
            <w:tcW w:w="5720" w:type="dxa"/>
            <w:vAlign w:val="bottom"/>
          </w:tcPr>
          <w:p>
            <w:pPr>
              <w:spacing w:after="0"/>
              <w:rPr>
                <w:sz w:val="17"/>
                <w:szCs w:val="17"/>
                <w:color w:val="auto"/>
              </w:rPr>
            </w:pPr>
          </w:p>
        </w:tc>
        <w:tc>
          <w:tcPr>
            <w:tcW w:w="23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 # #</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1"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THROUGH JOINT VENTURE WITH AMDOCS: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BELL CANADA SET TO LEAD THE WAY WITH BEST-IN-CLASS BILLING SOLUTIONS</w:t>
      </w:r>
    </w:p>
    <w:p>
      <w:pPr>
        <w:spacing w:after="0" w:line="397" w:lineRule="exact"/>
        <w:rPr>
          <w:sz w:val="20"/>
          <w:szCs w:val="20"/>
          <w:color w:val="auto"/>
        </w:rPr>
      </w:pPr>
    </w:p>
    <w:p>
      <w:pPr>
        <w:ind w:right="1959" w:firstLine="5"/>
        <w:spacing w:after="0" w:line="243" w:lineRule="auto"/>
        <w:tabs>
          <w:tab w:leader="none" w:pos="20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New advanced billing platform will allow customers to fully benefit from Bell and BCE convergent communications solutions</w:t>
      </w:r>
    </w:p>
    <w:p>
      <w:pPr>
        <w:spacing w:after="0" w:line="2" w:lineRule="exact"/>
        <w:rPr>
          <w:rFonts w:ascii="Courier New" w:cs="Courier New" w:eastAsia="Courier New" w:hAnsi="Courier New"/>
          <w:sz w:val="17"/>
          <w:szCs w:val="17"/>
          <w:color w:val="auto"/>
        </w:rPr>
      </w:pPr>
    </w:p>
    <w:p>
      <w:pPr>
        <w:ind w:right="2459" w:firstLine="5"/>
        <w:spacing w:after="0" w:line="243" w:lineRule="auto"/>
        <w:tabs>
          <w:tab w:leader="none" w:pos="20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Customers will benefit from a breakthrough ability to deliver integrated billing, more products and more targeted offers</w:t>
      </w:r>
    </w:p>
    <w:p>
      <w:pPr>
        <w:spacing w:after="0" w:line="1"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Bell and Amdocs to invest $200M (CDN) to create a new Canadian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Certen Inc.</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Montreal, QC and St. Louis, MO -- Wednesday, (January 31, 2001) -- Bell Canada, Canada's leading communications company and Amdocs, (NYSE: DOX), the world leader in telecommunications customer care and billing solutions, today announced they will be extending their existing business relationship through a joint venture to offer Bell's customers the most advanced billing solutions in the market.</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Using Amdocs' world-leading customer care and billing software, Bell will be able to offer customers - over time - the convenience of a single bill for all of their services, including local, long distance, wireless, broadband and Sympatico(TM) Internet service. A single bill will also enable Bell to offer other customer benefits, e.g., a bundle of multiple products from across Bell/BCE at a single price. Responding to our customers' requests, we will deliver segment-specific capabilities for paperless billing and payment, such as Internet-based and CD-ROM services. The deployment of an integrated billing platform will accelerate product and service speed to market, giving our customers greater access to new products, services and targeted offers than ever before.</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"Advanced billing is a key element of our plan to simplify our business so that we can better meet the needs of our customers. The ability to seamlessly build new products and services into one bill will also simplify the delivery of Bell and BCE's core strategy: bringing connectivity together with content and commerce," said Michael Sabia, Vice-Chair Bell Canada and President of BCE. "Over the years, we have developed billing platforms on a product-by-product basis. It is time for an integrated billing platform that will give us a competitive edge in the market place. Amdocs is the perfect partner to help us realize this vision."</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An Amdocs solution is already being implemented for Bell's Sympatico(TM) high speed and dial-up customers. Business customers will begin to see other benefits by the end of year, with the introduction of one of the most robust data and IP billing platforms in the market place, which Bell believes can only enhance the rapid growth in this sector of its business. Additionally, wireline and wireless integrated billing will be available for all residential customers by year-end 2001.</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implementation of Amdocs' world-leading customer care and billing solution supports Bell Canada's integrated strategy for all lines of business. This agreement illustrates Amdocs' ability to support voice, wireless and IP services with a comprehensive solution," said Avi Naor, Chief Executive Officer of Amdocs Management Limited. "We are very pleased to embark upon this joint venture with Bell Canada, which will enable Amdocs to demonstrate our extensive capabilities in the development and management of advanced billing operations for a tier-1 communications provider. Additionally, this agreement reinforces our strong commitment to our continued growth in the Canadian market."</w:t>
      </w:r>
    </w:p>
    <w:p>
      <w:pPr>
        <w:spacing w:after="0" w:line="200"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Certen, in which Bell will hold a majority stake, will initially be focussed on implementing a best-in-class billing platform to meet the needs of Bell Canada's customers. Certen will then broaden its scope to meet the billing needs of other companies inside and outside the Bell/BCE group.</w:t>
      </w:r>
    </w:p>
    <w:p>
      <w:pPr>
        <w:spacing w:after="0" w:line="198"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CGI, which is 41.8% owned by BCE, will play an important role in supporting this initiative. Under the existing Bell-CGI outsourcing agreement, CGI will work closely with Certen in the</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141"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integration of this new billing platform with Bell's existing information systems infrastructure, as well as its ongoing operation.</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Certen represents a total investment of more than $200 million (CDN) by both companies. Certen will be based in Montreal, with offices in Montreal, Ottawa and Toronto. Under the agreement, Bell Canada's current billing operations will be transferred to Certen over a three-month period.</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Bell Canada provides a full range of communications services to customers, including wired and wireless local and long distance telephone services, Internet access, high-speed data services and directories. Bell Canada, its telecom and subsidiaries provide services through 13.6 million access lines, including 11 million in Ontario and Quebec. Bell Canada also serves more than 3 million wireless customers through Bell Mobility. Bell Canada is 80% owned by BCE Inc. of Montreal and 20% owned by SBC Communications Inc. of San Antonio, Texas. Bell Canada's Internet Web site is located at http://www.bell.ca. News releases, speeches and background information are in the Newsroom. Our e-mail address is media.relations@bell.ca</w:t>
      </w:r>
    </w:p>
    <w:p>
      <w:pPr>
        <w:spacing w:after="0" w:line="200"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Amdocs is the world's leader in customer care and billing systems for communications and IP service providers. Amdocs has an unparalleled success record in project delivery of its mission-critical products. With over 7,700 information systems professionals deployed worldwide, Amdocs supports a global customer base. In April 2000, Amdocs made a significant investment in Canada through its acquisition of Toronto-based Solect Technology Group for more than $1 billion. Since the acquisition, Amdocs has more than doubled its number of employees in Canada, with substantial growth in marketing, as well as research and development areas. For more information, visit www.amdocs.com.</w:t>
      </w:r>
    </w:p>
    <w:p>
      <w:pPr>
        <w:spacing w:after="0" w:line="200" w:lineRule="exact"/>
        <w:rPr>
          <w:sz w:val="20"/>
          <w:szCs w:val="20"/>
          <w:color w:val="auto"/>
        </w:rPr>
      </w:pPr>
    </w:p>
    <w:p>
      <w:pPr>
        <w:jc w:val="both"/>
        <w:ind w:right="2359"/>
        <w:spacing w:after="0" w:line="243" w:lineRule="auto"/>
        <w:rPr>
          <w:sz w:val="20"/>
          <w:szCs w:val="20"/>
          <w:color w:val="auto"/>
        </w:rPr>
      </w:pPr>
      <w:r>
        <w:rPr>
          <w:rFonts w:ascii="Courier New" w:cs="Courier New" w:eastAsia="Courier New" w:hAnsi="Courier New"/>
          <w:sz w:val="17"/>
          <w:szCs w:val="17"/>
          <w:color w:val="auto"/>
        </w:rPr>
        <w:t>Note: Amdocs will host a conference call on Wednesday, January 31 at 9:15 am Eastern Standard Time to discuss this announcement. This call will be carried live on the Internet via www.vcall.com and Amdocs website, www.amdocs.com.</w:t>
      </w:r>
    </w:p>
    <w:p>
      <w:pPr>
        <w:sectPr>
          <w:pgSz w:w="11900" w:h="16838" w:orient="portrait"/>
          <w:cols w:equalWidth="0" w:num="1">
            <w:col w:w="10219"/>
          </w:cols>
          <w:pgMar w:left="240" w:top="311"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Bell 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Norm Berberich- Ontario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416/ 581-3311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1-888-482-0809</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Bell Canada</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France Poulin- Quebec</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514/ 391-2007</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1-877-391-2077</w:t>
      </w:r>
    </w:p>
    <w:p>
      <w:pPr>
        <w:spacing w:after="0" w:line="200" w:lineRule="exact"/>
        <w:rPr>
          <w:sz w:val="20"/>
          <w:szCs w:val="20"/>
          <w:color w:val="auto"/>
        </w:rPr>
      </w:pPr>
    </w:p>
    <w:p>
      <w:pPr>
        <w:sectPr>
          <w:pgSz w:w="11900" w:h="16838" w:orient="portrait"/>
          <w:cols w:equalWidth="0" w:num="2">
            <w:col w:w="4180" w:space="720"/>
            <w:col w:w="5319"/>
          </w:cols>
          <w:pgMar w:left="240" w:top="31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Dan Ginsburg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416/ 216-2741</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 # #</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11"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9899"/>
      </w:cols>
      <w:pgMar w:left="5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3"/>
    </w:lvl>
  </w:abstractNum>
  <w:abstractNum w:abstractNumId="2">
    <w:nsid w:val="79E2A9E3"/>
    <w:multiLevelType w:val="hybridMultilevel"/>
    <w:lvl w:ilvl="0">
      <w:lvlJc w:val="left"/>
      <w:lvlText w:val="%1."/>
      <w:numFmt w:val="decimal"/>
      <w:start w:val="4"/>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lvl w:ilvl="1">
      <w:lvlJc w:val="left"/>
      <w:lvlText w:val="(%2)"/>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2019-12-14T21:22:28Z</dcterms:created>
  <dcterms:modified xsi:type="dcterms:W3CDTF">2019-12-14T21:22:28Z</dcterms:modified>
</cp:coreProperties>
</file>