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month of February 2025</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Hirzel House, Smith Street,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 Peter Port, Island of Guernsey, GY1 2NG</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Amdocs, Inc.</w:t>
      </w:r>
    </w:p>
    <w:p>
      <w:pPr>
        <w:jc w:val="center"/>
        <w:spacing w:after="0"/>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25"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135890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166370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right="69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February 4, 2025 Amdocs Limited (“Amdocs”) issued a press release announcing financial results for the quarter ended December 31, 2024. A copy of the press release and the accompanying presentation are furnished as Exhibits 99.1 and 99.2 to this Report of Foreign Private Issuer on Form 6-K.</w:t>
      </w:r>
    </w:p>
    <w:p>
      <w:pPr>
        <w:spacing w:after="0" w:line="10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1"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5"/>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EXHIBIT INDEX</w:t>
            </w:r>
          </w:p>
        </w:tc>
        <w:tc>
          <w:tcPr>
            <w:tcW w:w="0" w:type="dxa"/>
            <w:vAlign w:val="bottom"/>
          </w:tcPr>
          <w:p>
            <w:pPr>
              <w:spacing w:after="0"/>
              <w:rPr>
                <w:sz w:val="1"/>
                <w:szCs w:val="1"/>
                <w:color w:val="auto"/>
              </w:rPr>
            </w:pPr>
          </w:p>
        </w:tc>
      </w:tr>
      <w:tr>
        <w:trPr>
          <w:trHeight w:val="260"/>
        </w:trPr>
        <w:tc>
          <w:tcPr>
            <w:tcW w:w="8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w:t>
            </w:r>
          </w:p>
        </w:tc>
        <w:tc>
          <w:tcPr>
            <w:tcW w:w="68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DESCRIPTION</w:t>
            </w:r>
          </w:p>
        </w:tc>
        <w:tc>
          <w:tcPr>
            <w:tcW w:w="0" w:type="dxa"/>
            <w:vAlign w:val="bottom"/>
          </w:tcPr>
          <w:p>
            <w:pPr>
              <w:spacing w:after="0"/>
              <w:rPr>
                <w:sz w:val="1"/>
                <w:szCs w:val="1"/>
                <w:color w:val="auto"/>
              </w:rPr>
            </w:pPr>
          </w:p>
        </w:tc>
      </w:tr>
      <w:tr>
        <w:trPr>
          <w:trHeight w:val="119"/>
        </w:trPr>
        <w:tc>
          <w:tcPr>
            <w:tcW w:w="8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w:t>
            </w:r>
          </w:p>
        </w:tc>
        <w:tc>
          <w:tcPr>
            <w:tcW w:w="6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460" w:type="dxa"/>
            <w:vAlign w:val="bottom"/>
          </w:tcPr>
          <w:p>
            <w:pPr>
              <w:spacing w:after="0"/>
              <w:rPr>
                <w:sz w:val="15"/>
                <w:szCs w:val="15"/>
                <w:color w:val="auto"/>
              </w:rPr>
            </w:pPr>
          </w:p>
        </w:tc>
        <w:tc>
          <w:tcPr>
            <w:tcW w:w="6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0000EE"/>
              </w:rPr>
              <w:t>Amdocs Limited Press Release Announcing Q1 Earnings, dated February 4, 2025</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60" w:type="dxa"/>
            <w:vAlign w:val="bottom"/>
          </w:tcPr>
          <w:p>
            <w:pPr>
              <w:spacing w:after="0"/>
              <w:rPr>
                <w:sz w:val="18"/>
                <w:szCs w:val="18"/>
                <w:color w:val="auto"/>
              </w:rPr>
            </w:pPr>
          </w:p>
        </w:tc>
        <w:tc>
          <w:tcPr>
            <w:tcW w:w="1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Fiscal Q1 2025 Earnings Presentation</w:t>
            </w:r>
          </w:p>
        </w:tc>
        <w:tc>
          <w:tcPr>
            <w:tcW w:w="2220" w:type="dxa"/>
            <w:vAlign w:val="bottom"/>
            <w:tcBorders>
              <w:top w:val="single" w:sz="8" w:color="0000EE"/>
            </w:tcBorders>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 LIMITED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9525</wp:posOffset>
            </wp:positionV>
            <wp:extent cx="18230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color w:val="auto"/>
        </w:rPr>
        <w:t>Matthew E. Smith</w:t>
      </w:r>
    </w:p>
    <w:p>
      <w:pPr>
        <w:spacing w:after="0" w:line="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Secretary and Authorized Signatory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February 4, 2025</w:t>
      </w:r>
    </w:p>
    <w:p>
      <w:pPr>
        <w:sectPr>
          <w:pgSz w:w="11900" w:h="16838" w:orient="portrait"/>
          <w:cols w:equalWidth="0" w:num="1">
            <w:col w:w="9019"/>
          </w:cols>
          <w:pgMar w:left="1440" w:top="229"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534795" cy="1143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1143635"/>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997585</wp:posOffset>
            </wp:positionV>
            <wp:extent cx="1209675" cy="264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9675" cy="26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Amdocs Limited Reports First Quarter Fiscal 2025 Results</w:t>
      </w:r>
    </w:p>
    <w:p>
      <w:pPr>
        <w:spacing w:after="0" w:line="154" w:lineRule="exact"/>
        <w:rPr>
          <w:sz w:val="20"/>
          <w:szCs w:val="20"/>
          <w:color w:val="auto"/>
        </w:rPr>
      </w:pPr>
    </w:p>
    <w:p>
      <w:pPr>
        <w:jc w:val="center"/>
        <w:ind w:left="640" w:right="659"/>
        <w:spacing w:after="0" w:line="237" w:lineRule="auto"/>
        <w:rPr>
          <w:sz w:val="20"/>
          <w:szCs w:val="20"/>
          <w:color w:val="auto"/>
        </w:rPr>
      </w:pPr>
      <w:r>
        <w:rPr>
          <w:rFonts w:ascii="Times New Roman" w:cs="Times New Roman" w:eastAsia="Times New Roman" w:hAnsi="Times New Roman"/>
          <w:sz w:val="13"/>
          <w:szCs w:val="13"/>
          <w:i w:val="1"/>
          <w:iCs w:val="1"/>
          <w:color w:val="auto"/>
        </w:rPr>
        <w:t>Revenue of $1.11 Billion, down 10.9% YoY as Reported and up 1.7% YoY in Pro Forma</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Constant Currency</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Delivers Substantial Profitability Improvement, Reflecting Phase Out of Certain Non-Core, Low Margin Business Activities &amp; Operational Efficiencies 12-Month Backlog of $4.14 Billion, Accelerating by $80 Million QoQ and up 2.7% YoY on a Pro Forma</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Basis</w:t>
      </w:r>
    </w:p>
    <w:p>
      <w:pPr>
        <w:spacing w:after="0" w:line="50" w:lineRule="exact"/>
        <w:rPr>
          <w:sz w:val="20"/>
          <w:szCs w:val="20"/>
          <w:color w:val="auto"/>
        </w:rPr>
      </w:pPr>
    </w:p>
    <w:p>
      <w:pPr>
        <w:jc w:val="center"/>
        <w:ind w:left="640" w:right="659"/>
        <w:spacing w:after="0" w:line="237" w:lineRule="auto"/>
        <w:rPr>
          <w:sz w:val="20"/>
          <w:szCs w:val="20"/>
          <w:color w:val="auto"/>
        </w:rPr>
      </w:pPr>
      <w:r>
        <w:rPr>
          <w:rFonts w:ascii="Times New Roman" w:cs="Times New Roman" w:eastAsia="Times New Roman" w:hAnsi="Times New Roman"/>
          <w:sz w:val="13"/>
          <w:szCs w:val="13"/>
          <w:i w:val="1"/>
          <w:iCs w:val="1"/>
          <w:color w:val="auto"/>
        </w:rPr>
        <w:t>Expects Fiscal 2025 Revenue Outlook of (11.6)%-(8.5)% YoY as Reported Reiterates Fiscal 2025 Revenue Growth Outlook of 1%-4.5% YoY in Pro Forma</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Constant Currency</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Reiterates Fiscal 2025 Target for Double-Digit Total Shareholder Returns</w:t>
      </w:r>
      <w:r>
        <w:rPr>
          <w:rFonts w:ascii="Times New Roman" w:cs="Times New Roman" w:eastAsia="Times New Roman" w:hAnsi="Times New Roman"/>
          <w:sz w:val="18"/>
          <w:szCs w:val="18"/>
          <w:i w:val="1"/>
          <w:iCs w:val="1"/>
          <w:color w:val="auto"/>
          <w:vertAlign w:val="superscript"/>
        </w:rPr>
        <w:t>(3)</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First Quarter Fiscal 2025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89" w:lineRule="exact"/>
        <w:rPr>
          <w:sz w:val="20"/>
          <w:szCs w:val="20"/>
          <w:color w:val="auto"/>
        </w:rPr>
      </w:pPr>
    </w:p>
    <w:p>
      <w:pPr>
        <w:ind w:left="1320" w:right="659" w:hanging="303"/>
        <w:spacing w:after="0" w:line="199" w:lineRule="auto"/>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$1,110 million, down 10.9% as reported due to the phase out of certain business activities, and up 1.7% in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revenue was slightly above the midpoint of the $1,095-$1,135 million guidance range, adjusting for a negative impact from foreign currency movements of approximately $6 million compared to our guidance assumptions</w:t>
      </w:r>
    </w:p>
    <w:p>
      <w:pPr>
        <w:spacing w:after="0" w:line="72"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Managed services revenue of $729 million, equivalent to approximately 66% of total revenue and up 0.9% as compared to last year’s first fiscal quarter</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$1.33, above the guidance range of $1.20-$1.29</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$1.66, at the higher end of the guidance range of $1.61-$1.67</w:t>
      </w:r>
    </w:p>
    <w:p>
      <w:pPr>
        <w:spacing w:after="0" w:line="87" w:lineRule="exact"/>
        <w:rPr>
          <w:rFonts w:ascii="Times New Roman" w:cs="Times New Roman" w:eastAsia="Times New Roman" w:hAnsi="Times New Roman"/>
          <w:sz w:val="13"/>
          <w:szCs w:val="13"/>
          <w:color w:val="auto"/>
        </w:rPr>
      </w:pPr>
    </w:p>
    <w:p>
      <w:pPr>
        <w:ind w:left="1320" w:right="779" w:hanging="303"/>
        <w:spacing w:after="0" w:line="255" w:lineRule="auto"/>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operating income of $199 million; GAAP operating margin of 17.9%, up 900 basis points as compared to the fourth fiscal quarter which included restructuring charges of $83 million, and up 310 basis points as compared to last year’s first fiscal quarter, reflecting the phase out of certain non-core business activities and a continued focus on operational excellence</w:t>
      </w:r>
    </w:p>
    <w:p>
      <w:pPr>
        <w:spacing w:after="0" w:line="63" w:lineRule="exact"/>
        <w:rPr>
          <w:rFonts w:ascii="Times New Roman" w:cs="Times New Roman" w:eastAsia="Times New Roman" w:hAnsi="Times New Roman"/>
          <w:sz w:val="13"/>
          <w:szCs w:val="13"/>
          <w:color w:val="auto"/>
        </w:rPr>
      </w:pPr>
    </w:p>
    <w:p>
      <w:pPr>
        <w:jc w:val="both"/>
        <w:ind w:left="1320" w:right="699" w:hanging="303"/>
        <w:spacing w:after="0" w:line="255" w:lineRule="auto"/>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income of $235 million; non-GAAP operating margin of 21.2%, up 310 basis points as compared to last year’s first fiscal quarter and up 250 basis points sequentially, reflecting the phase out of certain non-core business activities and a continued focus on operational excellence</w:t>
      </w:r>
    </w:p>
    <w:p>
      <w:pPr>
        <w:spacing w:after="0" w:line="63" w:lineRule="exact"/>
        <w:rPr>
          <w:rFonts w:ascii="Times New Roman" w:cs="Times New Roman" w:eastAsia="Times New Roman" w:hAnsi="Times New Roman"/>
          <w:sz w:val="13"/>
          <w:szCs w:val="13"/>
          <w:color w:val="auto"/>
        </w:rPr>
      </w:pPr>
    </w:p>
    <w:p>
      <w:pPr>
        <w:ind w:left="1320" w:right="939" w:hanging="303"/>
        <w:spacing w:after="0" w:line="221" w:lineRule="auto"/>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 of $78 million, comprised of cash flow from operations of $106 million, less $27 million in net capital expenditures</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including $23 million of restructuring payments; reiterates full year fiscal 2025 free cash outlook of $710 million to $730 million, excluding restructuring payments</w:t>
      </w:r>
    </w:p>
    <w:p>
      <w:pPr>
        <w:spacing w:after="0" w:line="74"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Repurchased $144 million of ordinary shares during the first fiscal quarter</w:t>
      </w:r>
    </w:p>
    <w:p>
      <w:pPr>
        <w:spacing w:after="0" w:line="87" w:lineRule="exact"/>
        <w:rPr>
          <w:rFonts w:ascii="Times New Roman" w:cs="Times New Roman" w:eastAsia="Times New Roman" w:hAnsi="Times New Roman"/>
          <w:sz w:val="13"/>
          <w:szCs w:val="13"/>
          <w:color w:val="auto"/>
        </w:rPr>
      </w:pPr>
    </w:p>
    <w:p>
      <w:pPr>
        <w:ind w:left="1320" w:right="1139" w:hanging="303"/>
        <w:spacing w:after="0" w:line="295" w:lineRule="auto"/>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Twelve-month backlog of $4.14 billion, up approximately $80 million sequentially; adjusting for the phase out of certain business activities, twelve-month backlog was up 2.7%</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as compared to last year’s first fiscal quarter</w:t>
      </w:r>
    </w:p>
    <w:p>
      <w:pPr>
        <w:spacing w:after="0" w:line="36" w:lineRule="exact"/>
        <w:rPr>
          <w:sz w:val="20"/>
          <w:szCs w:val="20"/>
          <w:color w:val="auto"/>
        </w:rPr>
      </w:pPr>
    </w:p>
    <w:p>
      <w:pPr>
        <w:jc w:val="both"/>
        <w:ind w:left="1320" w:right="739" w:hanging="379"/>
        <w:spacing w:after="0" w:line="25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comparison purposes, pro forma adjusts first quarter fiscal year 2024 revenue by approximately $150 million and fiscal 2024 revenue by approximately $600 million to reflect the end of certain low margin, non-core business activities; these activities substantially already ceased in the first quarter fiscal 2025 and are not included in the full year fiscal 2025 revenue outlook</w:t>
      </w: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on a constant currency basis assumes exchange rates in the current period were unchanged from the prior period</w:t>
      </w:r>
    </w:p>
    <w:p>
      <w:pPr>
        <w:spacing w:after="0" w:line="2"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total shareholder return assumes midpoint of fiscal year 2025 non-GAAP EPS growth outlook, plus dividend yield</w:t>
      </w:r>
    </w:p>
    <w:p>
      <w:pPr>
        <w:spacing w:after="0" w:line="2"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Selected Financial Metrics tables below (figures may not sum because of rounding)</w:t>
      </w:r>
    </w:p>
    <w:p>
      <w:pPr>
        <w:sectPr>
          <w:pgSz w:w="11900" w:h="16838" w:orient="portrait"/>
          <w:cols w:equalWidth="0" w:num="1">
            <w:col w:w="9019"/>
          </w:cols>
          <w:pgMar w:left="1440" w:top="125" w:right="1440" w:bottom="1440" w:gutter="0" w:footer="0" w:header="0"/>
        </w:sectPr>
      </w:pPr>
    </w:p>
    <w:bookmarkStart w:id="5" w:name="page6"/>
    <w:bookmarkEnd w:id="5"/>
    <w:p>
      <w:pPr>
        <w:ind w:left="640" w:right="87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JERSEY CITY, NJ – February 4, 2025 </w:t>
      </w:r>
      <w:r>
        <w:rPr>
          <w:rFonts w:ascii="Times New Roman" w:cs="Times New Roman" w:eastAsia="Times New Roman" w:hAnsi="Times New Roman"/>
          <w:sz w:val="13"/>
          <w:szCs w:val="13"/>
          <w:color w:val="auto"/>
        </w:rPr>
        <w:t>– Amdocs Limited (NASDAQ: DOX), a leading provider of software and services to communications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media companies, today reported operating results for the three months ended December 31, 2024.</w:t>
      </w:r>
    </w:p>
    <w:p>
      <w:pPr>
        <w:spacing w:after="0" w:line="121"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“Fiscal 2025 is off to a solid start. First quarter revenue of $1.11 billion was slightly above the midpoint of guidance adjusting for currency, and 12-month backlog accelerated by $80 million sequentially. Among several key wins this quarter Amdocs is leading a billing systems consolidation for a large Tier 1 operator in North America. We also saw the continuation of strong sales momentum in cloud where we signed a new cloud operations services agreement with a large Western European provider. From an execution standpoint, we successfully delivered many project deployments for our customers, including the launch of new charging platform for a European operator and M1 in Singapore. Additionally, we remain laser-focused on delivering world-class innovation in cloud, digital and Gen AI-based solutions that service providers need to grow revenue, improve efficiency and deliver exceptional customer experiences,” said Shuky Sheffer, president and chief executive officer of Amdocs Management Limited.</w:t>
      </w:r>
    </w:p>
    <w:p>
      <w:pPr>
        <w:spacing w:after="0" w:line="122"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“Profitability rose significantly in Q1, driven by the previously announced phase-out of low-margin activities, and our focus on operational excellence, automation, and AI to drive ongoing efficiency gains. Further supporting our high level of business visibility, managed services accounted for roughly 66% of total revenue, a material improvement from a year ago. Additionally, we expanded the scope of existing managed services engagements with several customers, maintaining our impressive renewal rate which has trended close to 100% over time,” said Tamar Rapaport-Dagim, chief financial officer &amp; chief operating officer of Amdocs Management Limited.</w:t>
      </w:r>
    </w:p>
    <w:p>
      <w:pPr>
        <w:spacing w:after="0" w:line="134"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2"/>
          <w:szCs w:val="12"/>
          <w:color w:val="auto"/>
        </w:rPr>
        <w:t>Sheffer concluded, “As a market leader, we are proud of Amdocs’ innovative, Gen AI-based solutions and our execution and mission critical operations expertise. We also have a pivotal role in supporting our customers growth, efficiency and industry consolidation strategies. Across our large addressable market, we see a rich and encouraging sales pipeline which we are working hard to monetize while navigating the continuously challenging demand environment. As to our fiscal 2025 outlook, we are reiterating our guidance for revenue growth of between 1% to 4.5% in pro forma</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constant currency</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as well as another year of double-digit growth in cloud. Moreover, we are on-track to deliver double-digit expected total shareholder returns</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for the fifth consecutive year, underpinned by our ongoing margin expansion initiatives and robust earnings to cash conversion.”</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 period)</w:t>
      </w:r>
    </w:p>
    <w:p>
      <w:pPr>
        <w:spacing w:after="0" w:line="75"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In millions</w:t>
            </w:r>
          </w:p>
        </w:tc>
      </w:tr>
      <w:tr>
        <w:trPr>
          <w:trHeight w:val="104"/>
        </w:trPr>
        <w:tc>
          <w:tcPr>
            <w:tcW w:w="4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gridSpan w:val="3"/>
          </w:tcPr>
          <w:p>
            <w:pPr>
              <w:jc w:val="center"/>
              <w:ind w:right="380"/>
              <w:spacing w:after="0" w:line="104" w:lineRule="exact"/>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1"/>
        </w:trPr>
        <w:tc>
          <w:tcPr>
            <w:tcW w:w="4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94"/>
        </w:trPr>
        <w:tc>
          <w:tcPr>
            <w:tcW w:w="422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Actual</w:t>
            </w:r>
          </w:p>
        </w:tc>
        <w:tc>
          <w:tcPr>
            <w:tcW w:w="400" w:type="dxa"/>
            <w:vAlign w:val="bottom"/>
            <w:tcBorders>
              <w:top w:val="single" w:sz="8" w:color="auto"/>
              <w:bottom w:val="single" w:sz="8" w:color="CCEEFF"/>
            </w:tcBorders>
          </w:tcPr>
          <w:p>
            <w:pPr>
              <w:spacing w:after="0"/>
              <w:rPr>
                <w:sz w:val="8"/>
                <w:szCs w:val="8"/>
                <w:color w:val="auto"/>
              </w:rPr>
            </w:pPr>
          </w:p>
        </w:tc>
        <w:tc>
          <w:tcPr>
            <w:tcW w:w="86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Guidance</w:t>
            </w:r>
          </w:p>
        </w:tc>
        <w:tc>
          <w:tcPr>
            <w:tcW w:w="40" w:type="dxa"/>
            <w:vAlign w:val="bottom"/>
            <w:tcBorders>
              <w:bottom w:val="single" w:sz="8" w:color="CCEEFF"/>
            </w:tcBorders>
          </w:tcPr>
          <w:p>
            <w:pPr>
              <w:spacing w:after="0"/>
              <w:rPr>
                <w:sz w:val="8"/>
                <w:szCs w:val="8"/>
                <w:color w:val="auto"/>
              </w:rPr>
            </w:pPr>
          </w:p>
        </w:tc>
      </w:tr>
      <w:tr>
        <w:trPr>
          <w:trHeight w:val="141"/>
        </w:trPr>
        <w:tc>
          <w:tcPr>
            <w:tcW w:w="42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$1,110</w:t>
            </w: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4"/>
              </w:rPr>
              <w:t>$1,095 - $1,135 </w:t>
            </w:r>
          </w:p>
        </w:tc>
        <w:tc>
          <w:tcPr>
            <w:tcW w:w="40" w:type="dxa"/>
            <w:vAlign w:val="bottom"/>
            <w:shd w:val="clear" w:color="auto" w:fill="CCEEFF"/>
          </w:tcPr>
          <w:p>
            <w:pPr>
              <w:spacing w:after="0"/>
              <w:rPr>
                <w:sz w:val="12"/>
                <w:szCs w:val="12"/>
                <w:color w:val="auto"/>
              </w:rPr>
            </w:pPr>
          </w:p>
        </w:tc>
      </w:tr>
      <w:tr>
        <w:trPr>
          <w:trHeight w:val="152"/>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as reported</w:t>
            </w:r>
          </w:p>
        </w:tc>
        <w:tc>
          <w:tcPr>
            <w:tcW w:w="760" w:type="dxa"/>
            <w:vAlign w:val="bottom"/>
            <w:gridSpan w:val="2"/>
          </w:tcPr>
          <w:p>
            <w:pPr>
              <w:jc w:val="right"/>
              <w:ind w:right="209"/>
              <w:spacing w:after="0"/>
              <w:rPr>
                <w:sz w:val="20"/>
                <w:szCs w:val="20"/>
                <w:color w:val="auto"/>
              </w:rPr>
            </w:pPr>
            <w:r>
              <w:rPr>
                <w:rFonts w:ascii="Times New Roman" w:cs="Times New Roman" w:eastAsia="Times New Roman" w:hAnsi="Times New Roman"/>
                <w:sz w:val="13"/>
                <w:szCs w:val="13"/>
                <w:color w:val="auto"/>
              </w:rPr>
              <w:t>(10.9)%</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Growth, pro-forma (1) constant currency (2)</w:t>
            </w:r>
          </w:p>
        </w:tc>
        <w:tc>
          <w:tcPr>
            <w:tcW w:w="76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3"/>
                <w:szCs w:val="13"/>
                <w:color w:val="auto"/>
              </w:rPr>
              <w:t>1.7%</w:t>
            </w: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58" w:lineRule="exact"/>
        <w:rPr>
          <w:sz w:val="20"/>
          <w:szCs w:val="20"/>
          <w:color w:val="auto"/>
        </w:rPr>
      </w:pPr>
    </w:p>
    <w:p>
      <w:pPr>
        <w:ind w:left="1320" w:right="95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first fiscal quarter of 2025 was slightly above the midpoint of Amdocs’ guidance, adjusting for negative impact from foreign currency movements of approximately $6 million relative to our guidance assumptions</w:t>
      </w:r>
    </w:p>
    <w:p>
      <w:pPr>
        <w:spacing w:after="0" w:line="55" w:lineRule="exact"/>
        <w:rPr>
          <w:rFonts w:ascii="Times New Roman" w:cs="Times New Roman" w:eastAsia="Times New Roman" w:hAnsi="Times New Roman"/>
          <w:sz w:val="13"/>
          <w:szCs w:val="13"/>
          <w:color w:val="auto"/>
        </w:rPr>
      </w:pPr>
    </w:p>
    <w:p>
      <w:pPr>
        <w:ind w:left="1320" w:right="65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first fiscal quarter includes a negative impact from foreign currency movements of approximately $4 million relative to the fourth quarter of fiscal 2024</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Net Income and Earnings Per Share</w:t>
      </w:r>
    </w:p>
    <w:p>
      <w:pPr>
        <w:spacing w:after="0" w:line="17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jc w:val="center"/>
        <w:ind w:left="4180"/>
        <w:spacing w:after="0" w:line="220" w:lineRule="auto"/>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4180"/>
        <w:spacing w:after="0" w:line="227"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1560" w:type="dxa"/>
        <w:tblCellMar>
          <w:top w:w="0" w:type="dxa"/>
          <w:left w:w="0" w:type="dxa"/>
          <w:bottom w:w="0" w:type="dxa"/>
          <w:right w:w="0" w:type="dxa"/>
        </w:tblCellMar>
      </w:tblPr>
      <w:tr>
        <w:trPr>
          <w:trHeight w:val="94"/>
        </w:trPr>
        <w:tc>
          <w:tcPr>
            <w:tcW w:w="92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306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9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8"/>
                <w:szCs w:val="8"/>
                <w:color w:val="auto"/>
              </w:rPr>
            </w:pPr>
          </w:p>
        </w:tc>
      </w:tr>
      <w:tr>
        <w:trPr>
          <w:trHeight w:val="112"/>
        </w:trPr>
        <w:tc>
          <w:tcPr>
            <w:tcW w:w="920" w:type="dxa"/>
            <w:vAlign w:val="bottom"/>
            <w:tcBorders>
              <w:bottom w:val="single" w:sz="8" w:color="auto"/>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GAAP Measures</w:t>
            </w:r>
          </w:p>
        </w:tc>
        <w:tc>
          <w:tcPr>
            <w:tcW w:w="3320" w:type="dxa"/>
            <w:vAlign w:val="bottom"/>
            <w:tcBorders>
              <w:bottom w:val="single" w:sz="8" w:color="CCEEFF"/>
            </w:tcBorders>
            <w:gridSpan w:val="2"/>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r>
      <w:tr>
        <w:trPr>
          <w:trHeight w:val="152"/>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151,852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148,722</w:t>
            </w:r>
          </w:p>
        </w:tc>
      </w:tr>
      <w:tr>
        <w:trPr>
          <w:trHeight w:val="152"/>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151,133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147,965</w:t>
            </w:r>
          </w:p>
        </w:tc>
      </w:tr>
      <w:tr>
        <w:trPr>
          <w:trHeight w:val="165"/>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1.26</w:t>
            </w:r>
          </w:p>
        </w:tc>
      </w:tr>
      <w:tr>
        <w:trPr>
          <w:trHeight w:val="139"/>
        </w:trPr>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1180" w:type="dxa"/>
            <w:vAlign w:val="bottom"/>
            <w:tcBorders>
              <w:bottom w:val="single" w:sz="8" w:color="auto"/>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5"/>
              </w:rPr>
              <w:t>Non-GAAP Measures</w:t>
            </w:r>
          </w:p>
        </w:tc>
        <w:tc>
          <w:tcPr>
            <w:tcW w:w="30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r>
      <w:tr>
        <w:trPr>
          <w:trHeight w:val="152"/>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188,877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183,833</w:t>
            </w:r>
          </w:p>
        </w:tc>
      </w:tr>
      <w:tr>
        <w:trPr>
          <w:trHeight w:val="152"/>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188,158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183,076</w:t>
            </w:r>
          </w:p>
        </w:tc>
      </w:tr>
      <w:tr>
        <w:trPr>
          <w:trHeight w:val="165"/>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w:t>
            </w:r>
          </w:p>
        </w:tc>
      </w:tr>
    </w:tbl>
    <w:p>
      <w:pPr>
        <w:spacing w:after="0" w:line="145" w:lineRule="exact"/>
        <w:rPr>
          <w:sz w:val="20"/>
          <w:szCs w:val="20"/>
          <w:color w:val="auto"/>
        </w:rPr>
      </w:pPr>
    </w:p>
    <w:p>
      <w:pPr>
        <w:ind w:left="1320" w:right="799" w:hanging="303"/>
        <w:spacing w:after="0" w:line="251"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w:t>
      </w:r>
    </w:p>
    <w:p>
      <w:pPr>
        <w:sectPr>
          <w:pgSz w:w="11900" w:h="16838" w:orient="portrait"/>
          <w:cols w:equalWidth="0" w:num="1">
            <w:col w:w="9019"/>
          </w:cols>
          <w:pgMar w:left="1440" w:top="229"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Capital Allocation</w:t>
      </w:r>
    </w:p>
    <w:p>
      <w:pPr>
        <w:spacing w:after="0" w:line="87" w:lineRule="exact"/>
        <w:rPr>
          <w:sz w:val="20"/>
          <w:szCs w:val="20"/>
          <w:color w:val="auto"/>
        </w:rPr>
      </w:pPr>
    </w:p>
    <w:p>
      <w:pPr>
        <w:ind w:left="1320" w:right="699" w:hanging="303"/>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M&amp;A Activity: </w:t>
      </w:r>
      <w:r>
        <w:rPr>
          <w:rFonts w:ascii="Times New Roman" w:cs="Times New Roman" w:eastAsia="Times New Roman" w:hAnsi="Times New Roman"/>
          <w:sz w:val="13"/>
          <w:szCs w:val="13"/>
          <w:color w:val="auto"/>
        </w:rPr>
        <w:t>On December 31, 2024, Amdocs completed the acquisition of Profinit, a data science and engineering company, for a net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consideration of approximately $34 million with additional consideration to be paid later based on the achievement of certain performance objectives, as well as two smaller acquisitions</w:t>
      </w:r>
    </w:p>
    <w:p>
      <w:pPr>
        <w:spacing w:after="0" w:line="59" w:lineRule="exact"/>
        <w:rPr>
          <w:rFonts w:ascii="Times New Roman" w:cs="Times New Roman" w:eastAsia="Times New Roman" w:hAnsi="Times New Roman"/>
          <w:sz w:val="13"/>
          <w:szCs w:val="13"/>
          <w:color w:val="auto"/>
        </w:rPr>
      </w:pPr>
    </w:p>
    <w:p>
      <w:pPr>
        <w:jc w:val="both"/>
        <w:ind w:left="1320" w:right="679" w:hanging="303"/>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Quarterly Cash Dividend Program: </w:t>
      </w:r>
      <w:r>
        <w:rPr>
          <w:rFonts w:ascii="Times New Roman" w:cs="Times New Roman" w:eastAsia="Times New Roman" w:hAnsi="Times New Roman"/>
          <w:sz w:val="13"/>
          <w:szCs w:val="13"/>
          <w:color w:val="auto"/>
        </w:rPr>
        <w:t>On February 4, 2025, the Board approved the Company’s next quarterly cash dividend payment at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new increased rate of $0.527 per share, as approved at the January 2025 annual general meeting of shareholders and set March 31, 2025 as the record date for determining the shareholders entitled to receive the dividend, which will be payable on April 25, 2025</w:t>
      </w:r>
    </w:p>
    <w:p>
      <w:pPr>
        <w:spacing w:after="0" w:line="59"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Share Repurchase Activity: </w:t>
      </w:r>
      <w:r>
        <w:rPr>
          <w:rFonts w:ascii="Times New Roman" w:cs="Times New Roman" w:eastAsia="Times New Roman" w:hAnsi="Times New Roman"/>
          <w:sz w:val="13"/>
          <w:szCs w:val="13"/>
          <w:color w:val="auto"/>
        </w:rPr>
        <w:t>Repurchased $144 million of ordinary shares during the first quarter of fiscal 2025</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Twelve-month Backlog</w:t>
      </w:r>
    </w:p>
    <w:p>
      <w:pPr>
        <w:spacing w:after="0" w:line="80" w:lineRule="exact"/>
        <w:rPr>
          <w:sz w:val="20"/>
          <w:szCs w:val="20"/>
          <w:color w:val="auto"/>
        </w:rPr>
      </w:pPr>
    </w:p>
    <w:p>
      <w:pPr>
        <w:ind w:left="640" w:right="739"/>
        <w:spacing w:after="0" w:line="226" w:lineRule="auto"/>
        <w:rPr>
          <w:sz w:val="20"/>
          <w:szCs w:val="20"/>
          <w:color w:val="auto"/>
        </w:rPr>
      </w:pPr>
      <w:r>
        <w:rPr>
          <w:rFonts w:ascii="Times New Roman" w:cs="Times New Roman" w:eastAsia="Times New Roman" w:hAnsi="Times New Roman"/>
          <w:sz w:val="13"/>
          <w:szCs w:val="13"/>
          <w:color w:val="auto"/>
        </w:rPr>
        <w:t>Twelve-month backlog was $4.14 billion at the end of the first quarter of fiscal 2025. On a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basis, adjusting the comparable period for the phase out of certain business activities, twelve-month backlog was up approximately 2.7% as compared to last year’s first fiscal quarter. Twelve-month backlog includes anticipated revenue related to contracts, estimated revenue from managed services contracts, letters of intent, maintenance and estimated on-going support activities.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Second Quarter Fiscal 2025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In millions,</w:t>
            </w:r>
          </w:p>
        </w:tc>
      </w:tr>
      <w:tr>
        <w:trPr>
          <w:trHeight w:val="104"/>
        </w:trPr>
        <w:tc>
          <w:tcPr>
            <w:tcW w:w="4460" w:type="dxa"/>
            <w:vAlign w:val="bottom"/>
          </w:tcPr>
          <w:p>
            <w:pPr>
              <w:spacing w:after="0"/>
              <w:rPr>
                <w:sz w:val="9"/>
                <w:szCs w:val="9"/>
                <w:color w:val="auto"/>
              </w:rPr>
            </w:pPr>
          </w:p>
        </w:tc>
        <w:tc>
          <w:tcPr>
            <w:tcW w:w="780" w:type="dxa"/>
            <w:vAlign w:val="bottom"/>
            <w:gridSpan w:val="3"/>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except per share</w:t>
            </w:r>
          </w:p>
        </w:tc>
      </w:tr>
      <w:tr>
        <w:trPr>
          <w:trHeight w:val="121"/>
        </w:trPr>
        <w:tc>
          <w:tcPr>
            <w:tcW w:w="4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data</w:t>
            </w:r>
          </w:p>
        </w:tc>
      </w:tr>
      <w:tr>
        <w:trPr>
          <w:trHeight w:val="94"/>
        </w:trPr>
        <w:tc>
          <w:tcPr>
            <w:tcW w:w="446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center"/>
              <w:ind w:right="64"/>
              <w:spacing w:after="0" w:line="94" w:lineRule="exact"/>
              <w:rPr>
                <w:sz w:val="20"/>
                <w:szCs w:val="20"/>
                <w:color w:val="auto"/>
              </w:rPr>
            </w:pPr>
            <w:r>
              <w:rPr>
                <w:rFonts w:ascii="Times New Roman" w:cs="Times New Roman" w:eastAsia="Times New Roman" w:hAnsi="Times New Roman"/>
                <w:sz w:val="10"/>
                <w:szCs w:val="10"/>
                <w:b w:val="1"/>
                <w:bCs w:val="1"/>
                <w:color w:val="auto"/>
              </w:rPr>
              <w:t>Q2 - 2025</w:t>
            </w:r>
          </w:p>
        </w:tc>
        <w:tc>
          <w:tcPr>
            <w:tcW w:w="20" w:type="dxa"/>
            <w:vAlign w:val="bottom"/>
            <w:tcBorders>
              <w:bottom w:val="single" w:sz="8" w:color="CCEEFF"/>
            </w:tcBorders>
          </w:tcPr>
          <w:p>
            <w:pPr>
              <w:spacing w:after="0"/>
              <w:rPr>
                <w:sz w:val="8"/>
                <w:szCs w:val="8"/>
                <w:color w:val="auto"/>
              </w:rPr>
            </w:pPr>
          </w:p>
        </w:tc>
      </w:tr>
      <w:tr>
        <w:trPr>
          <w:trHeight w:val="141"/>
        </w:trPr>
        <w:tc>
          <w:tcPr>
            <w:tcW w:w="44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76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7"/>
              </w:rPr>
              <w:t>$1,105-$1,145</w:t>
            </w:r>
          </w:p>
        </w:tc>
        <w:tc>
          <w:tcPr>
            <w:tcW w:w="20" w:type="dxa"/>
            <w:vAlign w:val="bottom"/>
            <w:shd w:val="clear" w:color="auto" w:fill="CCEEFF"/>
          </w:tcPr>
          <w:p>
            <w:pPr>
              <w:spacing w:after="0"/>
              <w:rPr>
                <w:sz w:val="12"/>
                <w:szCs w:val="12"/>
                <w:color w:val="auto"/>
              </w:rPr>
            </w:pPr>
          </w:p>
        </w:tc>
      </w:tr>
      <w:tr>
        <w:trPr>
          <w:trHeight w:val="152"/>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1.30-$1.38</w:t>
            </w:r>
          </w:p>
        </w:tc>
      </w:tr>
      <w:tr>
        <w:trPr>
          <w:trHeight w:val="15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1.67-$1.73</w:t>
            </w:r>
          </w:p>
        </w:tc>
      </w:tr>
    </w:tbl>
    <w:p>
      <w:pPr>
        <w:spacing w:after="0" w:line="158" w:lineRule="exact"/>
        <w:rPr>
          <w:sz w:val="20"/>
          <w:szCs w:val="20"/>
          <w:color w:val="auto"/>
        </w:rPr>
      </w:pPr>
    </w:p>
    <w:p>
      <w:pPr>
        <w:ind w:left="1320" w:right="979" w:hanging="303"/>
        <w:spacing w:after="0" w:line="253"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Second quarter revenue guidance assumes a negative $3 million sequential impact from foreign currency fluctuations as compared to foreign currency rates prevailing at the end of the first quarter of fiscal 2025</w:t>
      </w:r>
    </w:p>
    <w:p>
      <w:pPr>
        <w:spacing w:after="0" w:line="1" w:lineRule="exact"/>
        <w:rPr>
          <w:rFonts w:ascii="Times New Roman" w:cs="Times New Roman" w:eastAsia="Times New Roman" w:hAnsi="Times New Roman"/>
          <w:sz w:val="13"/>
          <w:szCs w:val="13"/>
          <w:color w:val="auto"/>
        </w:rPr>
      </w:pPr>
    </w:p>
    <w:p>
      <w:pPr>
        <w:ind w:left="1320" w:right="659" w:hanging="303"/>
        <w:spacing w:after="0" w:line="243"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Second quarter non-GAAP diluted EPS guidance excludes primarily equity-based compensation expense of approximately $0.20-$0.22 per share, amortization of purchased intangible assets and other acquisition-related costs of approximately $0.12 per share, changes in certain acquisitions related liabilities measured at fair value, and other, net of related tax effects</w:t>
      </w: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Full Year Fiscal 2025 Outlook</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3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8"/>
          </w:tcPr>
          <w:p>
            <w:pPr>
              <w:ind w:left="20"/>
              <w:spacing w:after="0"/>
              <w:rPr>
                <w:sz w:val="20"/>
                <w:szCs w:val="20"/>
                <w:color w:val="auto"/>
              </w:rPr>
            </w:pPr>
            <w:r>
              <w:rPr>
                <w:rFonts w:ascii="Times New Roman" w:cs="Times New Roman" w:eastAsia="Times New Roman" w:hAnsi="Times New Roman"/>
                <w:sz w:val="10"/>
                <w:szCs w:val="10"/>
                <w:b w:val="1"/>
                <w:bCs w:val="1"/>
                <w:color w:val="auto"/>
              </w:rPr>
              <w:t>FY 2025 - Year-over -Year growth</w:t>
            </w:r>
          </w:p>
        </w:tc>
      </w:tr>
      <w:tr>
        <w:trPr>
          <w:trHeight w:val="94"/>
        </w:trPr>
        <w:tc>
          <w:tcPr>
            <w:tcW w:w="3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900" w:type="dxa"/>
            <w:vAlign w:val="bottom"/>
            <w:tcBorders>
              <w:top w:val="single" w:sz="8" w:color="auto"/>
            </w:tcBorders>
            <w:gridSpan w:val="4"/>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rPr>
              <w:t>Current guidance</w:t>
            </w: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jc w:val="right"/>
              <w:ind w:right="40"/>
              <w:spacing w:after="0" w:line="94" w:lineRule="exact"/>
              <w:rPr>
                <w:sz w:val="20"/>
                <w:szCs w:val="20"/>
                <w:color w:val="auto"/>
              </w:rPr>
            </w:pPr>
            <w:r>
              <w:rPr>
                <w:rFonts w:ascii="Times New Roman" w:cs="Times New Roman" w:eastAsia="Times New Roman" w:hAnsi="Times New Roman"/>
                <w:sz w:val="10"/>
                <w:szCs w:val="10"/>
                <w:b w:val="1"/>
                <w:bCs w:val="1"/>
                <w:color w:val="auto"/>
                <w:w w:val="99"/>
              </w:rPr>
              <w:t>Previous guidance</w:t>
            </w:r>
          </w:p>
        </w:tc>
        <w:tc>
          <w:tcPr>
            <w:tcW w:w="40" w:type="dxa"/>
            <w:vAlign w:val="bottom"/>
          </w:tcPr>
          <w:p>
            <w:pPr>
              <w:spacing w:after="0"/>
              <w:rPr>
                <w:sz w:val="8"/>
                <w:szCs w:val="8"/>
                <w:color w:val="auto"/>
              </w:rPr>
            </w:pPr>
          </w:p>
        </w:tc>
      </w:tr>
      <w:tr>
        <w:trPr>
          <w:trHeight w:val="141"/>
        </w:trPr>
        <w:tc>
          <w:tcPr>
            <w:tcW w:w="400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 Growth, as reported</w:t>
            </w:r>
          </w:p>
        </w:tc>
        <w:tc>
          <w:tcPr>
            <w:tcW w:w="820" w:type="dxa"/>
            <w:vAlign w:val="bottom"/>
            <w:tcBorders>
              <w:top w:val="single" w:sz="8" w:color="auto"/>
            </w:tcBorders>
            <w:gridSpan w:val="3"/>
            <w:shd w:val="clear" w:color="auto" w:fill="CCEEFF"/>
          </w:tcPr>
          <w:p>
            <w:pPr>
              <w:ind w:left="40"/>
              <w:spacing w:after="0" w:line="141" w:lineRule="exact"/>
              <w:rPr>
                <w:sz w:val="20"/>
                <w:szCs w:val="20"/>
                <w:color w:val="auto"/>
              </w:rPr>
            </w:pPr>
            <w:r>
              <w:rPr>
                <w:rFonts w:ascii="Times New Roman" w:cs="Times New Roman" w:eastAsia="Times New Roman" w:hAnsi="Times New Roman"/>
                <w:sz w:val="13"/>
                <w:szCs w:val="13"/>
                <w:color w:val="auto"/>
                <w:w w:val="92"/>
              </w:rPr>
              <w:t>(11.6)%-(8.4)%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9"/>
              </w:rPr>
              <w:t>(10.9)%-(7.7)%</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 Growth, Pro-forma (1) constant currency (2)</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1%-4.5%</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1%-4.5%</w:t>
            </w:r>
          </w:p>
        </w:tc>
      </w:tr>
      <w:tr>
        <w:trPr>
          <w:trHeight w:val="152"/>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27.0%-34.0%</w:t>
            </w:r>
          </w:p>
        </w:tc>
        <w:tc>
          <w:tcPr>
            <w:tcW w:w="9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25.0%-33.0%</w:t>
            </w:r>
          </w:p>
        </w:tc>
      </w:tr>
      <w:tr>
        <w:trPr>
          <w:trHeight w:val="165"/>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6.5%-10.5%</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6.5%-10.5%</w:t>
            </w:r>
          </w:p>
        </w:tc>
        <w:tc>
          <w:tcPr>
            <w:tcW w:w="40" w:type="dxa"/>
            <w:vAlign w:val="bottom"/>
          </w:tcPr>
          <w:p>
            <w:pPr>
              <w:spacing w:after="0"/>
              <w:rPr>
                <w:sz w:val="14"/>
                <w:szCs w:val="14"/>
                <w:color w:val="auto"/>
              </w:rPr>
            </w:pPr>
          </w:p>
        </w:tc>
      </w:tr>
      <w:tr>
        <w:trPr>
          <w:trHeight w:val="262"/>
        </w:trPr>
        <w:tc>
          <w:tcPr>
            <w:tcW w:w="3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FY 2025, in millions</w:t>
            </w:r>
          </w:p>
        </w:tc>
      </w:tr>
      <w:tr>
        <w:trPr>
          <w:trHeight w:val="77"/>
        </w:trPr>
        <w:tc>
          <w:tcPr>
            <w:tcW w:w="3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gridSpan w:val="3"/>
          </w:tcPr>
          <w:p>
            <w:pPr>
              <w:jc w:val="center"/>
              <w:ind w:right="160"/>
              <w:spacing w:after="0" w:line="77" w:lineRule="exact"/>
              <w:rPr>
                <w:sz w:val="20"/>
                <w:szCs w:val="20"/>
                <w:color w:val="auto"/>
              </w:rPr>
            </w:pPr>
            <w:r>
              <w:rPr>
                <w:rFonts w:ascii="Times New Roman" w:cs="Times New Roman" w:eastAsia="Times New Roman" w:hAnsi="Times New Roman"/>
                <w:sz w:val="8"/>
                <w:szCs w:val="8"/>
                <w:b w:val="1"/>
                <w:bCs w:val="1"/>
                <w:color w:val="auto"/>
              </w:rPr>
              <w:t>Current</w:t>
            </w: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jc w:val="center"/>
              <w:ind w:right="9"/>
              <w:spacing w:after="0" w:line="77" w:lineRule="exact"/>
              <w:rPr>
                <w:sz w:val="20"/>
                <w:szCs w:val="20"/>
                <w:color w:val="auto"/>
              </w:rPr>
            </w:pPr>
            <w:r>
              <w:rPr>
                <w:rFonts w:ascii="Times New Roman" w:cs="Times New Roman" w:eastAsia="Times New Roman" w:hAnsi="Times New Roman"/>
                <w:sz w:val="8"/>
                <w:szCs w:val="8"/>
                <w:b w:val="1"/>
                <w:bCs w:val="1"/>
                <w:color w:val="auto"/>
              </w:rPr>
              <w:t>Previous</w:t>
            </w:r>
          </w:p>
        </w:tc>
        <w:tc>
          <w:tcPr>
            <w:tcW w:w="320" w:type="dxa"/>
            <w:vAlign w:val="bottom"/>
            <w:gridSpan w:val="2"/>
          </w:tcPr>
          <w:p>
            <w:pPr>
              <w:spacing w:after="0"/>
              <w:rPr>
                <w:sz w:val="6"/>
                <w:szCs w:val="6"/>
                <w:color w:val="auto"/>
              </w:rPr>
            </w:pPr>
          </w:p>
        </w:tc>
      </w:tr>
      <w:tr>
        <w:trPr>
          <w:trHeight w:val="121"/>
        </w:trPr>
        <w:tc>
          <w:tcPr>
            <w:tcW w:w="3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guidance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8"/>
              </w:rPr>
              <w:t>guidance</w:t>
            </w:r>
          </w:p>
        </w:tc>
      </w:tr>
      <w:tr>
        <w:trPr>
          <w:trHeight w:val="141"/>
        </w:trPr>
        <w:tc>
          <w:tcPr>
            <w:tcW w:w="3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Free Cash Flow (4)</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$710-$730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gridSpan w:val="2"/>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$710-$730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ectPr>
          <w:pgSz w:w="11900" w:h="16838" w:orient="portrait"/>
          <w:cols w:equalWidth="0" w:num="1">
            <w:col w:w="9019"/>
          </w:cols>
          <w:pgMar w:left="1440" w:top="229" w:right="1440" w:bottom="1440" w:gutter="0" w:footer="0" w:header="0"/>
        </w:sectPr>
      </w:pPr>
    </w:p>
    <w:bookmarkStart w:id="7" w:name="page8"/>
    <w:bookmarkEnd w:id="7"/>
    <w:p>
      <w:pPr>
        <w:ind w:left="1320" w:right="719" w:hanging="303"/>
        <w:spacing w:after="0" w:line="226"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growth on a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adjusts fiscal 2024 revenue by approximately $600 million to reflect the end of several low-margin, non-core business activities, including certain low-margin software and hardware partner activities, Vubiquity’s transactional video on demand business and non-core subscription services; these activities substantially already ceased in the first quarter of fiscal 2025 and are not included in the full year fiscal 2025 revenue outlook</w:t>
      </w:r>
    </w:p>
    <w:p>
      <w:pPr>
        <w:spacing w:after="0" w:line="74" w:lineRule="exact"/>
        <w:rPr>
          <w:rFonts w:ascii="Times New Roman" w:cs="Times New Roman" w:eastAsia="Times New Roman" w:hAnsi="Times New Roman"/>
          <w:sz w:val="13"/>
          <w:szCs w:val="13"/>
          <w:color w:val="auto"/>
        </w:rPr>
      </w:pPr>
    </w:p>
    <w:p>
      <w:pPr>
        <w:ind w:left="1320" w:right="659" w:hanging="303"/>
        <w:spacing w:after="0" w:line="255"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year fiscal 2025 revenue guidance incorporates an expected negative impact from foreign currency fluctuations of approximately 0.6% year-over-year, as compared with a positive impact of approximately 0.2% year-over-year previously, and includes some inorganic contribution</w:t>
      </w:r>
    </w:p>
    <w:p>
      <w:pPr>
        <w:spacing w:after="0" w:line="63" w:lineRule="exact"/>
        <w:rPr>
          <w:rFonts w:ascii="Times New Roman" w:cs="Times New Roman" w:eastAsia="Times New Roman" w:hAnsi="Times New Roman"/>
          <w:sz w:val="13"/>
          <w:szCs w:val="13"/>
          <w:color w:val="auto"/>
        </w:rPr>
      </w:pPr>
    </w:p>
    <w:p>
      <w:pPr>
        <w:ind w:left="1320" w:right="739" w:hanging="303"/>
        <w:spacing w:after="0" w:line="255"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earnings per share growth excludes primarily equity-based compensation expense of approximately $0.84-$0.90 per share, amortization of purchased intangible assets and other acquisition-related costs of approximately $0.48 per share, changes in certain acquisitions related liabilities measured at fair value,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acquisitions on Amdocs’ non-GAAP diluted earnings per share is expected to be immaterial in the full fiscal year 2025</w:t>
      </w:r>
    </w:p>
    <w:p>
      <w:pPr>
        <w:spacing w:after="0" w:line="98"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margin is anticipated to be within a range of 21.1% to 21.7% for the full year fiscal 2025</w:t>
      </w:r>
    </w:p>
    <w:p>
      <w:pPr>
        <w:spacing w:after="0" w:line="87" w:lineRule="exact"/>
        <w:rPr>
          <w:rFonts w:ascii="Times New Roman" w:cs="Times New Roman" w:eastAsia="Times New Roman" w:hAnsi="Times New Roman"/>
          <w:sz w:val="13"/>
          <w:szCs w:val="13"/>
          <w:color w:val="auto"/>
        </w:rPr>
      </w:pPr>
    </w:p>
    <w:p>
      <w:pPr>
        <w:ind w:left="1320" w:right="799" w:hanging="303"/>
        <w:spacing w:after="0" w:line="309" w:lineRule="auto"/>
        <w:tabs>
          <w:tab w:leader="none" w:pos="13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operating margin is comprised of GAAP operating margin, excluding amortization on purchased intangible assets and other, equity-based compensation expense, restructuring charges, and changes in certain acquisitions related liabilities measured at fair value</w:t>
      </w:r>
    </w:p>
    <w:p>
      <w:pPr>
        <w:spacing w:after="0" w:line="33"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effective tax rate is anticipated to be within a range of 15% to 17% for the full year fiscal 2025</w:t>
      </w:r>
    </w:p>
    <w:p>
      <w:pPr>
        <w:spacing w:after="0" w:line="87" w:lineRule="exact"/>
        <w:rPr>
          <w:rFonts w:ascii="Times New Roman" w:cs="Times New Roman" w:eastAsia="Times New Roman" w:hAnsi="Times New Roman"/>
          <w:sz w:val="13"/>
          <w:szCs w:val="13"/>
          <w:color w:val="auto"/>
        </w:rPr>
      </w:pPr>
    </w:p>
    <w:p>
      <w:pPr>
        <w:ind w:left="1320" w:right="779" w:hanging="303"/>
        <w:spacing w:after="0" w:line="212"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is comprised of cash flow from operations, less net capital expenditures, and excludes payments related to restructuring charges</w:t>
      </w:r>
    </w:p>
    <w:p>
      <w:pPr>
        <w:spacing w:after="0" w:line="112"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forward-looking statements regarding our second fiscal quarter 2025 and full year fiscal 2025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global or regional events, and the prevailing level of macro-economic, business and operational uncertainty, which have created, and continue to create, a significant amount of uncertainty, or from current and potential customer consolidation or their other strategic corporate activities.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Earnings Webcast Presentation Details</w:t>
      </w:r>
    </w:p>
    <w:p>
      <w:pPr>
        <w:spacing w:after="0" w:line="80"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Amdocs will host a conference call and earnings webcast presentation on February 4, 2025 at 5:00 p.m. Eastern Time to discuss the Company’s first quarter of fiscal 2025 results.</w:t>
      </w:r>
    </w:p>
    <w:p>
      <w:pPr>
        <w:spacing w:after="0" w:line="103"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 xml:space="preserve">To participate in the call, please register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0" w:lineRule="exact"/>
        <w:rPr>
          <w:sz w:val="20"/>
          <w:szCs w:val="20"/>
          <w:color w:val="auto"/>
        </w:rPr>
      </w:pPr>
    </w:p>
    <w:p>
      <w:pPr>
        <w:ind w:left="640" w:right="839"/>
        <w:spacing w:after="0" w:line="229" w:lineRule="auto"/>
        <w:rPr>
          <w:sz w:val="20"/>
          <w:szCs w:val="20"/>
          <w:color w:val="auto"/>
        </w:rPr>
      </w:pPr>
      <w:r>
        <w:rPr>
          <w:rFonts w:ascii="Times New Roman" w:cs="Times New Roman" w:eastAsia="Times New Roman" w:hAnsi="Times New Roman"/>
          <w:sz w:val="13"/>
          <w:szCs w:val="13"/>
          <w:color w:val="auto"/>
        </w:rPr>
        <w:t>This release includes non-GAAP diluted earnings per share and other non-GAAP financial measures, including free cash flow, revenue on a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spacing w:after="0" w:line="75" w:lineRule="exact"/>
        <w:rPr>
          <w:sz w:val="20"/>
          <w:szCs w:val="20"/>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purchased intangible assets and other acquisition-related costs;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certain acquisition-related liabilities measured at fair value;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and unusual charges or benefits;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equity-based compensation expense;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effects related to the above.</w:t>
      </w:r>
    </w:p>
    <w:p>
      <w:pPr>
        <w:spacing w:after="0" w:line="125"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Free cash flow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9019"/>
          </w:cols>
          <w:pgMar w:left="1440" w:top="231" w:right="1440" w:bottom="1440" w:gutter="0" w:footer="0" w:header="0"/>
        </w:sectPr>
      </w:pPr>
    </w:p>
    <w:bookmarkStart w:id="8" w:name="page9"/>
    <w:bookmarkEnd w:id="8"/>
    <w:p>
      <w:pPr>
        <w:ind w:left="640" w:right="659"/>
        <w:spacing w:after="0" w:line="22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believes that the presentation of non-GAAP diluted earnings per share and other financial measures, including free cash flow</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revenue on a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9"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2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Supporting Resources</w:t>
      </w:r>
    </w:p>
    <w:p>
      <w:pPr>
        <w:spacing w:after="0" w:line="89" w:lineRule="exact"/>
        <w:rPr>
          <w:sz w:val="20"/>
          <w:szCs w:val="20"/>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Keep up with Amdocs news by visiting the Company’s </w:t>
      </w:r>
      <w:r>
        <w:rPr>
          <w:rFonts w:ascii="Times New Roman" w:cs="Times New Roman" w:eastAsia="Times New Roman" w:hAnsi="Times New Roman"/>
          <w:sz w:val="13"/>
          <w:szCs w:val="13"/>
          <w:u w:val="single" w:color="auto"/>
          <w:color w:val="auto"/>
        </w:rPr>
        <w:t>website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Subscribe to Amdocs’ </w:t>
      </w:r>
      <w:r>
        <w:rPr>
          <w:rFonts w:ascii="Times New Roman" w:cs="Times New Roman" w:eastAsia="Times New Roman" w:hAnsi="Times New Roman"/>
          <w:sz w:val="13"/>
          <w:szCs w:val="13"/>
          <w:u w:val="single" w:color="auto"/>
          <w:color w:val="auto"/>
        </w:rPr>
        <w:t>RSS Feed</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Amdocs</w:t>
      </w:r>
    </w:p>
    <w:p>
      <w:pPr>
        <w:spacing w:after="0" w:line="80" w:lineRule="exact"/>
        <w:rPr>
          <w:sz w:val="20"/>
          <w:szCs w:val="20"/>
          <w:color w:val="auto"/>
        </w:rPr>
      </w:pPr>
    </w:p>
    <w:p>
      <w:pPr>
        <w:ind w:left="640" w:right="819"/>
        <w:spacing w:after="0" w:line="249" w:lineRule="auto"/>
        <w:rPr>
          <w:sz w:val="20"/>
          <w:szCs w:val="20"/>
          <w:color w:val="auto"/>
        </w:rPr>
      </w:pPr>
      <w:r>
        <w:rPr>
          <w:rFonts w:ascii="Times New Roman" w:cs="Times New Roman" w:eastAsia="Times New Roman" w:hAnsi="Times New Roman"/>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employees around the globe are here to accelerate service providers’ migration to the cloud, enable them to differentiate in the 5G era, and digitalize and automate their operations. Listed on the NASDAQ Global Select Market, Amdocs had revenue of $5.00 billion in fiscal 2024.</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more information, visit Amdocs at </w:t>
      </w:r>
      <w:r>
        <w:rPr>
          <w:rFonts w:ascii="Times New Roman" w:cs="Times New Roman" w:eastAsia="Times New Roman" w:hAnsi="Times New Roman"/>
          <w:sz w:val="13"/>
          <w:szCs w:val="13"/>
          <w:u w:val="single" w:color="auto"/>
          <w:color w:val="auto"/>
        </w:rPr>
        <w:t>www.amdocs.com</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2"/>
          <w:szCs w:val="12"/>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2024 filed on December 17, 2024.</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Matthew Smith</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dox_info@amdocs.com</w:t>
      </w:r>
    </w:p>
    <w:p>
      <w:pPr>
        <w:sectPr>
          <w:pgSz w:w="11900" w:h="16838" w:orient="portrait"/>
          <w:cols w:equalWidth="0" w:num="1">
            <w:col w:w="9019"/>
          </w:cols>
          <w:pgMar w:left="1440" w:top="231"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5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6280"/>
        <w:spacing w:after="0" w:line="230"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4700" w:type="dxa"/>
            <w:vAlign w:val="bottom"/>
            <w:tcBorders>
              <w:bottom w:val="single" w:sz="8" w:color="CCEEFF"/>
            </w:tcBorders>
          </w:tcPr>
          <w:p>
            <w:pPr>
              <w:spacing w:after="0"/>
              <w:rPr>
                <w:sz w:val="8"/>
                <w:szCs w:val="8"/>
                <w:color w:val="auto"/>
              </w:rPr>
            </w:pPr>
          </w:p>
        </w:tc>
        <w:tc>
          <w:tcPr>
            <w:tcW w:w="16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r>
      <w:tr>
        <w:trPr>
          <w:trHeight w:val="141"/>
        </w:trPr>
        <w:tc>
          <w:tcPr>
            <w:tcW w:w="47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6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1,110,055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1,245,199</w:t>
            </w:r>
          </w:p>
        </w:tc>
        <w:tc>
          <w:tcPr>
            <w:tcW w:w="80" w:type="dxa"/>
            <w:vAlign w:val="bottom"/>
            <w:shd w:val="clear" w:color="auto" w:fill="CCEEFF"/>
          </w:tcPr>
          <w:p>
            <w:pPr>
              <w:spacing w:after="0"/>
              <w:rPr>
                <w:sz w:val="12"/>
                <w:szCs w:val="12"/>
                <w:color w:val="auto"/>
              </w:rPr>
            </w:pPr>
          </w:p>
        </w:tc>
      </w:tr>
      <w:tr>
        <w:trPr>
          <w:trHeight w:val="152"/>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Cost of revenue</w:t>
            </w:r>
          </w:p>
        </w:tc>
        <w:tc>
          <w:tcPr>
            <w:tcW w:w="1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682,259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812,744</w:t>
            </w:r>
          </w:p>
        </w:tc>
      </w:tr>
      <w:tr>
        <w:trPr>
          <w:trHeight w:val="152"/>
        </w:trPr>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84,333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89,207</w:t>
            </w:r>
          </w:p>
        </w:tc>
      </w:tr>
      <w:tr>
        <w:trPr>
          <w:trHeight w:val="152"/>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122,087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142,504</w:t>
            </w:r>
          </w:p>
        </w:tc>
      </w:tr>
      <w:tr>
        <w:trPr>
          <w:trHeight w:val="152"/>
        </w:trPr>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purchased intangible assets and other</w:t>
            </w: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15,759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16,410</w:t>
            </w:r>
          </w:p>
        </w:tc>
      </w:tr>
      <w:tr>
        <w:trPr>
          <w:trHeight w:val="152"/>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Restructuring charges</w:t>
            </w:r>
          </w:p>
        </w:tc>
        <w:tc>
          <w:tcPr>
            <w:tcW w:w="1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4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911,221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1,060,865</w:t>
            </w:r>
          </w:p>
        </w:tc>
        <w:tc>
          <w:tcPr>
            <w:tcW w:w="80" w:type="dxa"/>
            <w:vAlign w:val="bottom"/>
          </w:tcPr>
          <w:p>
            <w:pPr>
              <w:spacing w:after="0"/>
              <w:rPr>
                <w:sz w:val="13"/>
                <w:szCs w:val="13"/>
                <w:color w:val="auto"/>
              </w:rPr>
            </w:pPr>
          </w:p>
        </w:tc>
      </w:tr>
      <w:tr>
        <w:trPr>
          <w:trHeight w:val="15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198,834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184,334</w:t>
            </w:r>
          </w:p>
        </w:tc>
      </w:tr>
      <w:tr>
        <w:trPr>
          <w:trHeight w:val="152"/>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(6,409)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(9,778)</w:t>
            </w:r>
          </w:p>
        </w:tc>
      </w:tr>
      <w:tr>
        <w:trPr>
          <w:trHeight w:val="15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6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192,425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174,556</w:t>
            </w:r>
          </w:p>
        </w:tc>
        <w:tc>
          <w:tcPr>
            <w:tcW w:w="80" w:type="dxa"/>
            <w:vAlign w:val="bottom"/>
            <w:shd w:val="clear" w:color="auto" w:fill="CCEEFF"/>
          </w:tcPr>
          <w:p>
            <w:pPr>
              <w:spacing w:after="0"/>
              <w:rPr>
                <w:sz w:val="13"/>
                <w:szCs w:val="13"/>
                <w:color w:val="auto"/>
              </w:rPr>
            </w:pPr>
          </w:p>
        </w:tc>
      </w:tr>
      <w:tr>
        <w:trPr>
          <w:trHeight w:val="151"/>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6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25,834</w:t>
            </w:r>
          </w:p>
        </w:tc>
        <w:tc>
          <w:tcPr>
            <w:tcW w:w="80" w:type="dxa"/>
            <w:vAlign w:val="bottom"/>
          </w:tcPr>
          <w:p>
            <w:pPr>
              <w:spacing w:after="0"/>
              <w:rPr>
                <w:sz w:val="13"/>
                <w:szCs w:val="13"/>
                <w:color w:val="auto"/>
              </w:rPr>
            </w:pPr>
          </w:p>
        </w:tc>
      </w:tr>
      <w:tr>
        <w:trPr>
          <w:trHeight w:val="15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151,852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148,722</w:t>
            </w:r>
          </w:p>
        </w:tc>
      </w:tr>
      <w:tr>
        <w:trPr>
          <w:trHeight w:val="161"/>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noncontrolling interests</w:t>
            </w:r>
          </w:p>
        </w:tc>
        <w:tc>
          <w:tcPr>
            <w:tcW w:w="16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80" w:type="dxa"/>
            <w:vAlign w:val="bottom"/>
          </w:tcPr>
          <w:p>
            <w:pPr>
              <w:spacing w:after="0"/>
              <w:rPr>
                <w:sz w:val="14"/>
                <w:szCs w:val="14"/>
                <w:color w:val="auto"/>
              </w:rPr>
            </w:pPr>
          </w:p>
        </w:tc>
      </w:tr>
      <w:tr>
        <w:trPr>
          <w:trHeight w:val="15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Amdocs Limited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151,133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147,965</w:t>
            </w:r>
          </w:p>
        </w:tc>
      </w:tr>
      <w:tr>
        <w:trPr>
          <w:trHeight w:val="161"/>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Basic earnings per share attributable to Amdocs Limited</w:t>
            </w:r>
          </w:p>
        </w:tc>
        <w:tc>
          <w:tcPr>
            <w:tcW w:w="16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r>
      <w:tr>
        <w:trPr>
          <w:trHeight w:val="15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 attributable to Amdocs Limited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1.26</w:t>
            </w:r>
          </w:p>
        </w:tc>
      </w:tr>
      <w:tr>
        <w:trPr>
          <w:trHeight w:val="151"/>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ordinary share</w:t>
            </w:r>
          </w:p>
        </w:tc>
        <w:tc>
          <w:tcPr>
            <w:tcW w:w="16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0.479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0.435</w:t>
            </w:r>
          </w:p>
        </w:tc>
        <w:tc>
          <w:tcPr>
            <w:tcW w:w="80" w:type="dxa"/>
            <w:vAlign w:val="bottom"/>
          </w:tcPr>
          <w:p>
            <w:pPr>
              <w:spacing w:after="0"/>
              <w:rPr>
                <w:sz w:val="13"/>
                <w:szCs w:val="13"/>
                <w:color w:val="auto"/>
              </w:rPr>
            </w:pPr>
          </w:p>
        </w:tc>
      </w:tr>
      <w:tr>
        <w:trPr>
          <w:trHeight w:val="15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weighted average number of shares outstanding</w:t>
            </w:r>
          </w:p>
        </w:tc>
        <w:tc>
          <w:tcPr>
            <w:tcW w:w="1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112,745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116,841</w:t>
            </w:r>
          </w:p>
        </w:tc>
      </w:tr>
      <w:tr>
        <w:trPr>
          <w:trHeight w:val="151"/>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16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113,439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117,536</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Selected Financial Metrics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15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6180"/>
        <w:spacing w:after="0" w:line="230"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3120" w:type="dxa"/>
            <w:vAlign w:val="bottom"/>
            <w:tcBorders>
              <w:bottom w:val="single" w:sz="8" w:color="CCEEFF"/>
            </w:tcBorders>
          </w:tcPr>
          <w:p>
            <w:pPr>
              <w:spacing w:after="0"/>
              <w:rPr>
                <w:sz w:val="8"/>
                <w:szCs w:val="8"/>
                <w:color w:val="auto"/>
              </w:rPr>
            </w:pPr>
          </w:p>
        </w:tc>
        <w:tc>
          <w:tcPr>
            <w:tcW w:w="3120" w:type="dxa"/>
            <w:vAlign w:val="bottom"/>
            <w:tcBorders>
              <w:bottom w:val="single" w:sz="8" w:color="CCEEFF"/>
            </w:tcBorders>
          </w:tcPr>
          <w:p>
            <w:pPr>
              <w:spacing w:after="0"/>
              <w:rPr>
                <w:sz w:val="8"/>
                <w:szCs w:val="8"/>
                <w:color w:val="auto"/>
              </w:rPr>
            </w:pPr>
          </w:p>
        </w:tc>
        <w:tc>
          <w:tcPr>
            <w:tcW w:w="620" w:type="dxa"/>
            <w:vAlign w:val="bottom"/>
            <w:tcBorders>
              <w:top w:val="single" w:sz="8" w:color="auto"/>
              <w:bottom w:val="single" w:sz="8" w:color="auto"/>
            </w:tcBorders>
            <w:gridSpan w:val="3"/>
          </w:tcPr>
          <w:p>
            <w:pPr>
              <w:ind w:left="200"/>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3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0"/>
              </w:rPr>
              <w:t>$ 1,110,055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$1,245,199</w:t>
            </w: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operating income</w:t>
            </w:r>
          </w:p>
        </w:tc>
        <w:tc>
          <w:tcPr>
            <w:tcW w:w="386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color w:val="auto"/>
              </w:rPr>
              <w:t>235,398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225,241</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38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188,877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183,833</w:t>
            </w: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386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color w:val="auto"/>
              </w:rPr>
              <w:t>188,158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183,076</w:t>
            </w:r>
          </w:p>
        </w:tc>
        <w:tc>
          <w:tcPr>
            <w:tcW w:w="40" w:type="dxa"/>
            <w:vAlign w:val="bottom"/>
          </w:tcPr>
          <w:p>
            <w:pPr>
              <w:spacing w:after="0"/>
              <w:rPr>
                <w:sz w:val="13"/>
                <w:szCs w:val="13"/>
                <w:color w:val="auto"/>
              </w:rPr>
            </w:pPr>
          </w:p>
        </w:tc>
      </w:tr>
      <w:tr>
        <w:trPr>
          <w:trHeight w:val="16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3320" w:type="dxa"/>
            <w:vAlign w:val="bottom"/>
            <w:gridSpan w:val="2"/>
            <w:shd w:val="clear" w:color="auto" w:fill="CCEEFF"/>
          </w:tcPr>
          <w:p>
            <w:pPr>
              <w:ind w:left="3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1.66</w:t>
            </w:r>
          </w:p>
        </w:tc>
        <w:tc>
          <w:tcPr>
            <w:tcW w:w="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w:t>
            </w: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386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color w:val="auto"/>
              </w:rPr>
              <w:t>113,439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117,536</w:t>
            </w:r>
          </w:p>
        </w:tc>
      </w:tr>
      <w:tr>
        <w:trPr>
          <w:trHeight w:val="427"/>
        </w:trPr>
        <w:tc>
          <w:tcPr>
            <w:tcW w:w="3120" w:type="dxa"/>
            <w:vAlign w:val="bottom"/>
          </w:tcPr>
          <w:p>
            <w:pPr>
              <w:spacing w:after="0"/>
              <w:rPr>
                <w:sz w:val="24"/>
                <w:szCs w:val="24"/>
                <w:color w:val="auto"/>
              </w:rPr>
            </w:pPr>
          </w:p>
        </w:tc>
        <w:tc>
          <w:tcPr>
            <w:tcW w:w="3420" w:type="dxa"/>
            <w:vAlign w:val="bottom"/>
            <w:gridSpan w:val="3"/>
          </w:tcPr>
          <w:p>
            <w:pPr>
              <w:jc w:val="center"/>
              <w:ind w:right="1854"/>
              <w:spacing w:after="0"/>
              <w:rPr>
                <w:sz w:val="20"/>
                <w:szCs w:val="20"/>
                <w:color w:val="auto"/>
              </w:rPr>
            </w:pPr>
            <w:r>
              <w:rPr>
                <w:rFonts w:ascii="Times New Roman" w:cs="Times New Roman" w:eastAsia="Times New Roman" w:hAnsi="Times New Roman"/>
                <w:sz w:val="13"/>
                <w:szCs w:val="13"/>
                <w:b w:val="1"/>
                <w:bCs w:val="1"/>
                <w:color w:val="auto"/>
                <w:w w:val="97"/>
              </w:rPr>
              <w:t>Free Cash Flows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7"/>
        </w:trPr>
        <w:tc>
          <w:tcPr>
            <w:tcW w:w="3120" w:type="dxa"/>
            <w:vAlign w:val="bottom"/>
          </w:tcPr>
          <w:p>
            <w:pPr>
              <w:spacing w:after="0"/>
              <w:rPr>
                <w:sz w:val="14"/>
                <w:szCs w:val="14"/>
                <w:color w:val="auto"/>
              </w:rPr>
            </w:pPr>
          </w:p>
        </w:tc>
        <w:tc>
          <w:tcPr>
            <w:tcW w:w="3420" w:type="dxa"/>
            <w:vAlign w:val="bottom"/>
            <w:gridSpan w:val="3"/>
          </w:tcPr>
          <w:p>
            <w:pPr>
              <w:jc w:val="center"/>
              <w:ind w:right="1854"/>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8"/>
        </w:trPr>
        <w:tc>
          <w:tcPr>
            <w:tcW w:w="31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9"/>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1"/>
        </w:trPr>
        <w:tc>
          <w:tcPr>
            <w:tcW w:w="31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9"/>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94"/>
        </w:trPr>
        <w:tc>
          <w:tcPr>
            <w:tcW w:w="3120" w:type="dxa"/>
            <w:vAlign w:val="bottom"/>
            <w:tcBorders>
              <w:bottom w:val="single" w:sz="8" w:color="CCEEFF"/>
            </w:tcBorders>
          </w:tcPr>
          <w:p>
            <w:pPr>
              <w:spacing w:after="0"/>
              <w:rPr>
                <w:sz w:val="8"/>
                <w:szCs w:val="8"/>
                <w:color w:val="auto"/>
              </w:rPr>
            </w:pPr>
          </w:p>
        </w:tc>
        <w:tc>
          <w:tcPr>
            <w:tcW w:w="312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320" w:type="dxa"/>
            <w:vAlign w:val="bottom"/>
            <w:gridSpan w:val="2"/>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$105,555</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$182,387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net (a)</w:t>
            </w: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(27,355)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(43,743)</w:t>
            </w: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3320" w:type="dxa"/>
            <w:vAlign w:val="bottom"/>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78,200</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$ 138,644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120650</wp:posOffset>
            </wp:positionV>
            <wp:extent cx="54165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85" w:lineRule="exact"/>
        <w:rPr>
          <w:sz w:val="20"/>
          <w:szCs w:val="20"/>
          <w:color w:val="auto"/>
        </w:rPr>
      </w:pPr>
    </w:p>
    <w:p>
      <w:pPr>
        <w:ind w:left="940" w:right="879" w:hanging="303"/>
        <w:spacing w:after="0" w:line="267"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under “Purchase of property and equipment, net”, include immaterial proceeds from sale of property and equipment for the three months ended December 31, 2024 and 2023, respectively.</w:t>
      </w:r>
    </w:p>
    <w:p>
      <w:pPr>
        <w:sectPr>
          <w:pgSz w:w="11900" w:h="16838" w:orient="portrait"/>
          <w:cols w:equalWidth="0" w:num="1">
            <w:col w:w="9019"/>
          </w:cols>
          <w:pgMar w:left="1440" w:top="229"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1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Three Months Ended December 31, 2024</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3"/>
          </w:tcPr>
          <w:p>
            <w:pPr>
              <w:jc w:val="center"/>
              <w:ind w:right="20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80" w:type="dxa"/>
            <w:vAlign w:val="bottom"/>
          </w:tcPr>
          <w:p>
            <w:pPr>
              <w:spacing w:after="0"/>
              <w:rPr>
                <w:sz w:val="9"/>
                <w:szCs w:val="9"/>
                <w:color w:val="auto"/>
              </w:rPr>
            </w:pPr>
          </w:p>
        </w:tc>
        <w:tc>
          <w:tcPr>
            <w:tcW w:w="6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8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7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6"/>
              </w:rPr>
              <w:t>Restructuring</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Tax</w:t>
            </w:r>
          </w:p>
        </w:tc>
        <w:tc>
          <w:tcPr>
            <w:tcW w:w="60" w:type="dxa"/>
            <w:vAlign w:val="bottom"/>
          </w:tcPr>
          <w:p>
            <w:pPr>
              <w:spacing w:after="0"/>
              <w:rPr>
                <w:sz w:val="9"/>
                <w:szCs w:val="9"/>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70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0"/>
                <w:szCs w:val="10"/>
                <w:b w:val="1"/>
                <w:bCs w:val="1"/>
                <w:color w:val="auto"/>
              </w:rPr>
              <w:t>GAAP</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80" w:type="dxa"/>
            <w:vAlign w:val="bottom"/>
          </w:tcPr>
          <w:p>
            <w:pPr>
              <w:spacing w:after="0"/>
              <w:rPr>
                <w:sz w:val="9"/>
                <w:szCs w:val="9"/>
                <w:color w:val="auto"/>
              </w:rPr>
            </w:pPr>
          </w:p>
        </w:tc>
        <w:tc>
          <w:tcPr>
            <w:tcW w:w="640" w:type="dxa"/>
            <w:vAlign w:val="bottom"/>
            <w:gridSpan w:val="4"/>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8"/>
              </w:rPr>
              <w:t>compensation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7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Pr>
          <w:p>
            <w:pPr>
              <w:spacing w:after="0"/>
              <w:rPr>
                <w:sz w:val="10"/>
                <w:szCs w:val="10"/>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4"/>
              </w:rPr>
              <w:t>effect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GAAP</w:t>
            </w:r>
          </w:p>
        </w:tc>
        <w:tc>
          <w:tcPr>
            <w:tcW w:w="0" w:type="dxa"/>
            <w:vAlign w:val="bottom"/>
          </w:tcPr>
          <w:p>
            <w:pPr>
              <w:spacing w:after="0"/>
              <w:rPr>
                <w:sz w:val="1"/>
                <w:szCs w:val="1"/>
                <w:color w:val="auto"/>
              </w:rPr>
            </w:pPr>
          </w:p>
        </w:tc>
      </w:tr>
      <w:tr>
        <w:trPr>
          <w:trHeight w:val="132"/>
        </w:trPr>
        <w:tc>
          <w:tcPr>
            <w:tcW w:w="222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righ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$682,259</w:t>
            </w:r>
          </w:p>
        </w:tc>
        <w:tc>
          <w:tcPr>
            <w:tcW w:w="8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(13,250)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$669,009</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84,333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82,062</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(10,999)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12,498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123,586</w:t>
            </w: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15,759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(6,783)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911,221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12,498</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(6,783)</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874,657</w:t>
            </w:r>
          </w:p>
        </w:tc>
        <w:tc>
          <w:tcPr>
            <w:tcW w:w="0" w:type="dxa"/>
            <w:vAlign w:val="bottom"/>
          </w:tcPr>
          <w:p>
            <w:pPr>
              <w:spacing w:after="0"/>
              <w:rPr>
                <w:sz w:val="1"/>
                <w:szCs w:val="1"/>
                <w:color w:val="auto"/>
              </w:rPr>
            </w:pPr>
          </w:p>
        </w:tc>
      </w:tr>
      <w:tr>
        <w:trPr>
          <w:trHeight w:val="151"/>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15,759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26,520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(12,498)</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235,398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(6,409)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6,048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5,587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151,852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15,759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26,520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(12,498)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6,048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(5,587)</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188,877</w:t>
            </w:r>
          </w:p>
        </w:tc>
        <w:tc>
          <w:tcPr>
            <w:tcW w:w="0" w:type="dxa"/>
            <w:vAlign w:val="bottom"/>
          </w:tcPr>
          <w:p>
            <w:pPr>
              <w:spacing w:after="0"/>
              <w:rPr>
                <w:sz w:val="1"/>
                <w:szCs w:val="1"/>
                <w:color w:val="auto"/>
              </w:rPr>
            </w:pPr>
          </w:p>
        </w:tc>
      </w:tr>
      <w:tr>
        <w:trPr>
          <w:trHeight w:val="138"/>
        </w:trPr>
        <w:tc>
          <w:tcPr>
            <w:tcW w:w="22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719</w:t>
            </w: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$ 151,133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15,759</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26,520</w:t>
            </w:r>
          </w:p>
        </w:tc>
        <w:tc>
          <w:tcPr>
            <w:tcW w:w="860" w:type="dxa"/>
            <w:vAlign w:val="bottom"/>
            <w:tcBorders>
              <w:right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(12,498)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100" w:type="dxa"/>
            <w:vAlign w:val="bottom"/>
            <w:shd w:val="clear" w:color="auto" w:fill="CCEEFF"/>
          </w:tcPr>
          <w:p>
            <w:pPr>
              <w:spacing w:after="0"/>
              <w:rPr>
                <w:sz w:val="14"/>
                <w:szCs w:val="14"/>
                <w:color w:val="auto"/>
              </w:rPr>
            </w:pP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6,048</w:t>
            </w:r>
          </w:p>
        </w:tc>
        <w:tc>
          <w:tcPr>
            <w:tcW w:w="6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(5,587)</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$ 188,158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1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Three Months Ended December 31, 2023</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4"/>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5"/>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60" w:type="dxa"/>
            <w:vAlign w:val="bottom"/>
          </w:tcPr>
          <w:p>
            <w:pPr>
              <w:spacing w:after="0"/>
              <w:rPr>
                <w:sz w:val="9"/>
                <w:szCs w:val="9"/>
                <w:color w:val="auto"/>
              </w:rPr>
            </w:pPr>
          </w:p>
        </w:tc>
        <w:tc>
          <w:tcPr>
            <w:tcW w:w="8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70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5"/>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6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700" w:type="dxa"/>
            <w:vAlign w:val="bottom"/>
            <w:gridSpan w:val="4"/>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Tax</w:t>
            </w:r>
          </w:p>
        </w:tc>
        <w:tc>
          <w:tcPr>
            <w:tcW w:w="60" w:type="dxa"/>
            <w:vAlign w:val="bottom"/>
          </w:tcPr>
          <w:p>
            <w:pPr>
              <w:spacing w:after="0"/>
              <w:rPr>
                <w:sz w:val="9"/>
                <w:szCs w:val="9"/>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Non-</w:t>
            </w: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GAAP</w:t>
            </w:r>
          </w:p>
        </w:tc>
        <w:tc>
          <w:tcPr>
            <w:tcW w:w="720" w:type="dxa"/>
            <w:vAlign w:val="bottom"/>
            <w:gridSpan w:val="5"/>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60" w:type="dxa"/>
            <w:vAlign w:val="bottom"/>
          </w:tcPr>
          <w:p>
            <w:pPr>
              <w:spacing w:after="0"/>
              <w:rPr>
                <w:sz w:val="9"/>
                <w:szCs w:val="9"/>
                <w:color w:val="auto"/>
              </w:rPr>
            </w:pPr>
          </w:p>
        </w:tc>
        <w:tc>
          <w:tcPr>
            <w:tcW w:w="800" w:type="dxa"/>
            <w:vAlign w:val="bottom"/>
            <w:gridSpan w:val="4"/>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8"/>
              </w:rPr>
              <w:t>compensation</w:t>
            </w:r>
          </w:p>
        </w:tc>
        <w:tc>
          <w:tcPr>
            <w:tcW w:w="80" w:type="dxa"/>
            <w:vAlign w:val="bottom"/>
          </w:tcPr>
          <w:p>
            <w:pPr>
              <w:spacing w:after="0"/>
              <w:rPr>
                <w:sz w:val="9"/>
                <w:szCs w:val="9"/>
                <w:color w:val="auto"/>
              </w:rPr>
            </w:pPr>
          </w:p>
        </w:tc>
        <w:tc>
          <w:tcPr>
            <w:tcW w:w="620" w:type="dxa"/>
            <w:vAlign w:val="bottom"/>
            <w:gridSpan w:val="3"/>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5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Pr>
          <w:p>
            <w:pPr>
              <w:spacing w:after="0"/>
              <w:rPr>
                <w:sz w:val="10"/>
                <w:szCs w:val="10"/>
                <w:color w:val="auto"/>
              </w:rPr>
            </w:pPr>
          </w:p>
        </w:tc>
        <w:tc>
          <w:tcPr>
            <w:tcW w:w="62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5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4"/>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6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GAAP</w:t>
            </w:r>
          </w:p>
        </w:tc>
        <w:tc>
          <w:tcPr>
            <w:tcW w:w="0" w:type="dxa"/>
            <w:vAlign w:val="bottom"/>
          </w:tcPr>
          <w:p>
            <w:pPr>
              <w:spacing w:after="0"/>
              <w:rPr>
                <w:sz w:val="1"/>
                <w:szCs w:val="1"/>
                <w:color w:val="auto"/>
              </w:rPr>
            </w:pPr>
          </w:p>
        </w:tc>
      </w:tr>
      <w:tr>
        <w:trPr>
          <w:trHeight w:val="132"/>
        </w:trPr>
        <w:tc>
          <w:tcPr>
            <w:tcW w:w="222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righ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30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color w:val="auto"/>
              </w:rPr>
              <w:t>$ 812,744</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(13,527)</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4"/>
                <w:szCs w:val="14"/>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$ 800,800</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89,207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(1,867)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87,340</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4"/>
              </w:rPr>
              <w:t>142,504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(10,686)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131,818</w:t>
            </w:r>
          </w:p>
        </w:tc>
        <w:tc>
          <w:tcPr>
            <w:tcW w:w="0" w:type="dxa"/>
            <w:vAlign w:val="bottom"/>
          </w:tcPr>
          <w:p>
            <w:pPr>
              <w:spacing w:after="0"/>
              <w:rPr>
                <w:sz w:val="1"/>
                <w:szCs w:val="1"/>
                <w:color w:val="auto"/>
              </w:rPr>
            </w:pPr>
          </w:p>
        </w:tc>
      </w:tr>
      <w:tr>
        <w:trPr>
          <w:trHeight w:val="139"/>
        </w:trPr>
        <w:tc>
          <w:tcPr>
            <w:tcW w:w="2920" w:type="dxa"/>
            <w:vAlign w:val="bottom"/>
            <w:gridSpan w:val="4"/>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 and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16,410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(16,410)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w w:val="96"/>
              </w:rPr>
              <w:t>1,060,865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(16,410)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(26,080)</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1,019,958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184,334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16,410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26,080</w:t>
            </w: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225,241</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(9,778)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1,534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(8,244)</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25,834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7,330</w:t>
            </w: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33,164</w:t>
            </w:r>
          </w:p>
        </w:tc>
        <w:tc>
          <w:tcPr>
            <w:tcW w:w="0" w:type="dxa"/>
            <w:vAlign w:val="bottom"/>
          </w:tcPr>
          <w:p>
            <w:pPr>
              <w:spacing w:after="0"/>
              <w:rPr>
                <w:sz w:val="1"/>
                <w:szCs w:val="1"/>
                <w:color w:val="auto"/>
              </w:rPr>
            </w:pPr>
          </w:p>
        </w:tc>
      </w:tr>
      <w:tr>
        <w:trPr>
          <w:trHeight w:val="151"/>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148,722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26,080</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1,534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(7,330)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183,833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757</w:t>
            </w:r>
          </w:p>
        </w:tc>
        <w:tc>
          <w:tcPr>
            <w:tcW w:w="0" w:type="dxa"/>
            <w:vAlign w:val="bottom"/>
          </w:tcPr>
          <w:p>
            <w:pPr>
              <w:spacing w:after="0"/>
              <w:rPr>
                <w:sz w:val="1"/>
                <w:szCs w:val="1"/>
                <w:color w:val="auto"/>
              </w:rPr>
            </w:pPr>
          </w:p>
        </w:tc>
      </w:tr>
      <w:tr>
        <w:trPr>
          <w:trHeight w:val="151"/>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w w:val="96"/>
              </w:rPr>
              <w:t>Net income attributable to Amdocs Limited</w:t>
            </w:r>
          </w:p>
        </w:tc>
        <w:tc>
          <w:tcPr>
            <w:tcW w:w="62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147,965</w:t>
            </w: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26,080</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1,534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w w:val="87"/>
              </w:rPr>
              <w:t>$ (7,330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183,076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6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63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10"/>
                <w:szCs w:val="10"/>
                <w:color w:val="auto"/>
              </w:rPr>
            </w:pPr>
          </w:p>
        </w:tc>
      </w:tr>
      <w:tr>
        <w:trPr>
          <w:trHeight w:val="132"/>
        </w:trPr>
        <w:tc>
          <w:tcPr>
            <w:tcW w:w="63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213,833</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346,085</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interest-bearing investments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135,175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168,242</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 including unbilled</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990,859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1,028,357</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266,861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228,498</w:t>
            </w:r>
          </w:p>
        </w:tc>
        <w:tc>
          <w:tcPr>
            <w:tcW w:w="40" w:type="dxa"/>
            <w:vAlign w:val="bottom"/>
          </w:tcPr>
          <w:p>
            <w:pPr>
              <w:spacing w:after="0"/>
              <w:rPr>
                <w:sz w:val="13"/>
                <w:szCs w:val="13"/>
                <w:color w:val="auto"/>
              </w:rPr>
            </w:pPr>
          </w:p>
        </w:tc>
      </w:tr>
      <w:tr>
        <w:trPr>
          <w:trHeight w:val="15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1,606,728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1,771,182</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734,400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755,601</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155,485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149,254</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other intangible assets, net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3,066,911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3,005,637</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730,217</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704,468</w:t>
            </w:r>
          </w:p>
        </w:tc>
        <w:tc>
          <w:tcPr>
            <w:tcW w:w="40" w:type="dxa"/>
            <w:vAlign w:val="bottom"/>
            <w:shd w:val="clear" w:color="auto" w:fill="CCEEFF"/>
          </w:tcPr>
          <w:p>
            <w:pPr>
              <w:spacing w:after="0"/>
              <w:rPr>
                <w:sz w:val="13"/>
                <w:szCs w:val="13"/>
                <w:color w:val="auto"/>
              </w:rPr>
            </w:pPr>
          </w:p>
        </w:tc>
      </w:tr>
      <w:tr>
        <w:trPr>
          <w:trHeight w:val="159"/>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6,293,741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40" w:type="dxa"/>
            <w:vAlign w:val="bottom"/>
          </w:tcPr>
          <w:p>
            <w:pPr>
              <w:spacing w:after="0"/>
              <w:rPr>
                <w:sz w:val="13"/>
                <w:szCs w:val="13"/>
                <w:color w:val="auto"/>
              </w:rPr>
            </w:pPr>
          </w:p>
        </w:tc>
      </w:tr>
      <w:tr>
        <w:trPr>
          <w:trHeight w:val="16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accruals and other</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1,230,093</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1,315,679</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39,983</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115,247</w:t>
            </w:r>
          </w:p>
        </w:tc>
      </w:tr>
      <w:tr>
        <w:trPr>
          <w:trHeight w:val="151"/>
        </w:trPr>
        <w:tc>
          <w:tcPr>
            <w:tcW w:w="63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1,384,832</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1,470,909</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108,722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103,462</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 of unamortized debt issuance costs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646,444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646,291</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647,883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666,303</w:t>
            </w:r>
          </w:p>
        </w:tc>
        <w:tc>
          <w:tcPr>
            <w:tcW w:w="4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Amdocs Limited Shareholders’ equity</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3,464,263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3,456,976</w:t>
            </w:r>
          </w:p>
        </w:tc>
        <w:tc>
          <w:tcPr>
            <w:tcW w:w="4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41,597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42,201</w:t>
            </w:r>
          </w:p>
        </w:tc>
      </w:tr>
      <w:tr>
        <w:trPr>
          <w:trHeight w:val="151"/>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3,505,860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3,499,177</w:t>
            </w:r>
          </w:p>
        </w:tc>
        <w:tc>
          <w:tcPr>
            <w:tcW w:w="40" w:type="dxa"/>
            <w:vAlign w:val="bottom"/>
          </w:tcPr>
          <w:p>
            <w:pPr>
              <w:spacing w:after="0"/>
              <w:rPr>
                <w:sz w:val="13"/>
                <w:szCs w:val="13"/>
                <w:color w:val="auto"/>
              </w:rPr>
            </w:pPr>
          </w:p>
        </w:tc>
      </w:tr>
      <w:tr>
        <w:trPr>
          <w:trHeight w:val="15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6,293,741</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40" w:type="dxa"/>
            <w:vAlign w:val="bottom"/>
            <w:shd w:val="clear" w:color="auto" w:fill="CCEEFF"/>
          </w:tcPr>
          <w:p>
            <w:pPr>
              <w:spacing w:after="0"/>
              <w:rPr>
                <w:sz w:val="13"/>
                <w:szCs w:val="13"/>
                <w:color w:val="auto"/>
              </w:rPr>
            </w:pPr>
          </w:p>
        </w:tc>
      </w:tr>
      <w:tr>
        <w:trPr>
          <w:trHeight w:val="28"/>
        </w:trPr>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6360"/>
        <w:spacing w:after="0" w:line="230"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640" w:type="dxa"/>
        <w:tblCellMar>
          <w:top w:w="0" w:type="dxa"/>
          <w:left w:w="0" w:type="dxa"/>
          <w:bottom w:w="0" w:type="dxa"/>
          <w:right w:w="0" w:type="dxa"/>
        </w:tblCellMar>
      </w:tblPr>
      <w:tr>
        <w:trPr>
          <w:trHeight w:val="94"/>
        </w:trPr>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top w:val="single" w:sz="8" w:color="auto"/>
            </w:tcBorders>
          </w:tcPr>
          <w:p>
            <w:pPr>
              <w:jc w:val="right"/>
              <w:ind w:right="118"/>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right"/>
              <w:ind w:right="95"/>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8"/>
                <w:szCs w:val="8"/>
                <w:color w:val="auto"/>
              </w:rPr>
            </w:pPr>
          </w:p>
        </w:tc>
      </w:tr>
      <w:tr>
        <w:trPr>
          <w:trHeight w:val="132"/>
        </w:trPr>
        <w:tc>
          <w:tcPr>
            <w:tcW w:w="64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2"/>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w w:val="99"/>
              </w:rPr>
              <w:t>$ 151,852</w:t>
            </w:r>
          </w:p>
        </w:tc>
        <w:tc>
          <w:tcPr>
            <w:tcW w:w="6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$ 148,722</w:t>
            </w:r>
          </w:p>
        </w:tc>
      </w:tr>
      <w:tr>
        <w:trPr>
          <w:trHeight w:val="15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net income to net cash provided by operating activities:</w:t>
            </w: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46,415</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45,861</w:t>
            </w:r>
          </w:p>
        </w:tc>
      </w:tr>
      <w:tr>
        <w:trPr>
          <w:trHeight w:val="15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debt issuance cost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151</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149</w:t>
            </w:r>
          </w:p>
        </w:tc>
      </w:tr>
      <w:tr>
        <w:trPr>
          <w:trHeight w:val="152"/>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26,520</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26,080</w:t>
            </w:r>
          </w:p>
        </w:tc>
      </w:tr>
      <w:tr>
        <w:trPr>
          <w:trHeight w:val="15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1,651</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(6,683)</w:t>
            </w:r>
          </w:p>
        </w:tc>
      </w:tr>
      <w:tr>
        <w:trPr>
          <w:trHeight w:val="152"/>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from short-term interest-bearing investments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662</w:t>
            </w:r>
          </w:p>
        </w:tc>
        <w:tc>
          <w:tcPr>
            <w:tcW w:w="6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548</w:t>
            </w:r>
          </w:p>
        </w:tc>
      </w:tr>
      <w:tr>
        <w:trPr>
          <w:trHeight w:val="15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operating assets and liabilities, net of amounts acquired:</w:t>
            </w: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2,417</w:t>
            </w:r>
          </w:p>
        </w:tc>
        <w:tc>
          <w:tcPr>
            <w:tcW w:w="6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(66,657)</w:t>
            </w:r>
          </w:p>
        </w:tc>
      </w:tr>
      <w:tr>
        <w:trPr>
          <w:trHeight w:val="15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(14,787)</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4,452</w:t>
            </w:r>
          </w:p>
        </w:tc>
      </w:tr>
      <w:tr>
        <w:trPr>
          <w:trHeight w:val="152"/>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(7,925)</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(10,538)</w:t>
            </w:r>
          </w:p>
        </w:tc>
      </w:tr>
      <w:tr>
        <w:trPr>
          <w:trHeight w:val="15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Lease assets and liabilities, net</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(2,329)</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(5,340)</w:t>
            </w:r>
          </w:p>
        </w:tc>
      </w:tr>
      <w:tr>
        <w:trPr>
          <w:trHeight w:val="152"/>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 accrued expenses and accrued personnel</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(50,837)</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95,787</w:t>
            </w:r>
          </w:p>
        </w:tc>
      </w:tr>
      <w:tr>
        <w:trPr>
          <w:trHeight w:val="15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867</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(25,930)</w:t>
            </w:r>
          </w:p>
        </w:tc>
      </w:tr>
      <w:tr>
        <w:trPr>
          <w:trHeight w:val="152"/>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payable, net</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(5,129)</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(18,066)</w:t>
            </w:r>
          </w:p>
        </w:tc>
      </w:tr>
      <w:tr>
        <w:trPr>
          <w:trHeight w:val="15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(43,973)</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(5,998)</w:t>
            </w:r>
          </w:p>
        </w:tc>
      </w:tr>
      <w:tr>
        <w:trPr>
          <w:trHeight w:val="159"/>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105,555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182,387</w:t>
            </w:r>
          </w:p>
        </w:tc>
        <w:tc>
          <w:tcPr>
            <w:tcW w:w="80" w:type="dxa"/>
            <w:vAlign w:val="bottom"/>
          </w:tcPr>
          <w:p>
            <w:pPr>
              <w:spacing w:after="0"/>
              <w:rPr>
                <w:sz w:val="13"/>
                <w:szCs w:val="13"/>
                <w:color w:val="auto"/>
              </w:rPr>
            </w:pPr>
          </w:p>
        </w:tc>
      </w:tr>
      <w:tr>
        <w:trPr>
          <w:trHeight w:val="16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net (a)</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(27,355)</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(43,743)</w:t>
            </w:r>
          </w:p>
        </w:tc>
      </w:tr>
      <w:tr>
        <w:trPr>
          <w:trHeight w:val="15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short-term interest-bearing investments</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33,362</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8,534</w:t>
            </w:r>
          </w:p>
        </w:tc>
      </w:tr>
      <w:tr>
        <w:trPr>
          <w:trHeight w:val="152"/>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Net cash paid for business acquisitions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(57,083)</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(77,329)</w:t>
            </w:r>
          </w:p>
        </w:tc>
      </w:tr>
      <w:tr>
        <w:trPr>
          <w:trHeight w:val="15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from equity investments and other</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16,347</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928</w:t>
            </w:r>
          </w:p>
        </w:tc>
      </w:tr>
      <w:tr>
        <w:trPr>
          <w:trHeight w:val="159"/>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(111,610)</w:t>
            </w:r>
          </w:p>
        </w:tc>
        <w:tc>
          <w:tcPr>
            <w:tcW w:w="80" w:type="dxa"/>
            <w:vAlign w:val="bottom"/>
          </w:tcPr>
          <w:p>
            <w:pPr>
              <w:spacing w:after="0"/>
              <w:rPr>
                <w:sz w:val="13"/>
                <w:szCs w:val="13"/>
                <w:color w:val="auto"/>
              </w:rPr>
            </w:pPr>
          </w:p>
        </w:tc>
      </w:tr>
      <w:tr>
        <w:trPr>
          <w:trHeight w:val="16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shares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(144,483)</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(158,525)</w:t>
            </w:r>
          </w:p>
        </w:tc>
      </w:tr>
      <w:tr>
        <w:trPr>
          <w:trHeight w:val="15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employee stock option exercises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4,408</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4,428</w:t>
            </w:r>
          </w:p>
        </w:tc>
      </w:tr>
      <w:tr>
        <w:trPr>
          <w:trHeight w:val="152"/>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dividends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(54,081)</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(51,053)</w:t>
            </w:r>
          </w:p>
        </w:tc>
      </w:tr>
      <w:tr>
        <w:trPr>
          <w:trHeight w:val="15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(1,323)</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(1,322)</w:t>
            </w:r>
          </w:p>
        </w:tc>
      </w:tr>
      <w:tr>
        <w:trPr>
          <w:trHeight w:val="152"/>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Payment of contingent consideration and deferred payment of business acquisitions</w:t>
            </w:r>
          </w:p>
        </w:tc>
        <w:tc>
          <w:tcPr>
            <w:tcW w:w="2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(7,599)</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(1,500)</w:t>
            </w: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(203,078)</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(207,972)</w:t>
            </w:r>
          </w:p>
        </w:tc>
      </w:tr>
      <w:tr>
        <w:trPr>
          <w:trHeight w:val="151"/>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2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(132,252)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(137,195)</w:t>
            </w:r>
          </w:p>
        </w:tc>
        <w:tc>
          <w:tcPr>
            <w:tcW w:w="80" w:type="dxa"/>
            <w:vAlign w:val="bottom"/>
          </w:tcPr>
          <w:p>
            <w:pPr>
              <w:spacing w:after="0"/>
              <w:rPr>
                <w:sz w:val="13"/>
                <w:szCs w:val="13"/>
                <w:color w:val="auto"/>
              </w:rPr>
            </w:pPr>
          </w:p>
        </w:tc>
      </w:tr>
      <w:tr>
        <w:trPr>
          <w:trHeight w:val="15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346,085</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520,080</w:t>
            </w: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2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213,833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382,885</w:t>
            </w:r>
          </w:p>
        </w:tc>
        <w:tc>
          <w:tcPr>
            <w:tcW w:w="80" w:type="dxa"/>
            <w:vAlign w:val="bottom"/>
          </w:tcPr>
          <w:p>
            <w:pPr>
              <w:spacing w:after="0"/>
              <w:rPr>
                <w:sz w:val="14"/>
                <w:szCs w:val="14"/>
                <w:color w:val="auto"/>
              </w:rPr>
            </w:pPr>
          </w:p>
        </w:tc>
      </w:tr>
    </w:tbl>
    <w:p>
      <w:pPr>
        <w:sectPr>
          <w:pgSz w:w="11900" w:h="16838" w:orient="portrait"/>
          <w:cols w:equalWidth="0" w:num="1">
            <w:col w:w="9019"/>
          </w:cols>
          <w:pgMar w:left="1440" w:top="229"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Supplementary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5"/>
          </w:tcPr>
          <w:p>
            <w:pPr>
              <w:jc w:val="center"/>
              <w:ind w:left="28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4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180" w:type="dxa"/>
            <w:vAlign w:val="bottom"/>
          </w:tcPr>
          <w:p>
            <w:pPr>
              <w:spacing w:after="0"/>
              <w:rPr>
                <w:sz w:val="6"/>
                <w:szCs w:val="6"/>
                <w:color w:val="auto"/>
              </w:rPr>
            </w:pPr>
          </w:p>
        </w:tc>
        <w:tc>
          <w:tcPr>
            <w:tcW w:w="6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21"/>
        </w:trPr>
        <w:tc>
          <w:tcPr>
            <w:tcW w:w="43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41"/>
        </w:trPr>
        <w:tc>
          <w:tcPr>
            <w:tcW w:w="4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 America</w:t>
            </w:r>
          </w:p>
        </w:tc>
        <w:tc>
          <w:tcPr>
            <w:tcW w:w="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737.4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823.2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838.1</w:t>
            </w:r>
          </w:p>
        </w:tc>
        <w:tc>
          <w:tcPr>
            <w:tcW w:w="40" w:type="dxa"/>
            <w:vAlign w:val="bottom"/>
            <w:shd w:val="clear" w:color="auto" w:fill="CCEEFF"/>
          </w:tcPr>
          <w:p>
            <w:pPr>
              <w:spacing w:after="0"/>
              <w:rPr>
                <w:sz w:val="12"/>
                <w:szCs w:val="12"/>
                <w:color w:val="auto"/>
              </w:rPr>
            </w:pPr>
          </w:p>
        </w:tc>
      </w:tr>
      <w:tr>
        <w:trPr>
          <w:trHeight w:val="152"/>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184.1</w:t>
            </w:r>
          </w:p>
        </w:tc>
        <w:tc>
          <w:tcPr>
            <w:tcW w:w="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175.9</w:t>
            </w: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40" w:type="dxa"/>
            <w:vAlign w:val="bottom"/>
          </w:tcPr>
          <w:p>
            <w:pPr>
              <w:spacing w:after="0"/>
              <w:rPr>
                <w:sz w:val="13"/>
                <w:szCs w:val="13"/>
                <w:color w:val="auto"/>
              </w:rPr>
            </w:pPr>
          </w:p>
        </w:tc>
      </w:tr>
      <w:tr>
        <w:trPr>
          <w:trHeight w:val="15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 of the World</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244.0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245.3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40" w:type="dxa"/>
            <w:vAlign w:val="bottom"/>
            <w:shd w:val="clear" w:color="auto" w:fill="CCEEFF"/>
          </w:tcPr>
          <w:p>
            <w:pPr>
              <w:spacing w:after="0"/>
              <w:rPr>
                <w:sz w:val="13"/>
                <w:szCs w:val="13"/>
                <w:color w:val="auto"/>
              </w:rPr>
            </w:pPr>
          </w:p>
        </w:tc>
      </w:tr>
      <w:tr>
        <w:trPr>
          <w:trHeight w:val="159"/>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1,263.9</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1,250.1</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1,245.8</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1,245.2</w:t>
            </w:r>
          </w:p>
        </w:tc>
        <w:tc>
          <w:tcPr>
            <w:tcW w:w="40" w:type="dxa"/>
            <w:vAlign w:val="bottom"/>
          </w:tcPr>
          <w:p>
            <w:pPr>
              <w:spacing w:after="0"/>
              <w:rPr>
                <w:sz w:val="13"/>
                <w:szCs w:val="13"/>
                <w:color w:val="auto"/>
              </w:rPr>
            </w:pPr>
          </w:p>
        </w:tc>
      </w:tr>
      <w:tr>
        <w:trPr>
          <w:trHeight w:val="265"/>
        </w:trPr>
        <w:tc>
          <w:tcPr>
            <w:tcW w:w="4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5"/>
          </w:tcPr>
          <w:p>
            <w:pPr>
              <w:jc w:val="center"/>
              <w:ind w:left="28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7"/>
        </w:trPr>
        <w:tc>
          <w:tcPr>
            <w:tcW w:w="4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4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180" w:type="dxa"/>
            <w:vAlign w:val="bottom"/>
          </w:tcPr>
          <w:p>
            <w:pPr>
              <w:spacing w:after="0"/>
              <w:rPr>
                <w:sz w:val="6"/>
                <w:szCs w:val="6"/>
                <w:color w:val="auto"/>
              </w:rPr>
            </w:pPr>
          </w:p>
        </w:tc>
        <w:tc>
          <w:tcPr>
            <w:tcW w:w="6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21"/>
        </w:trPr>
        <w:tc>
          <w:tcPr>
            <w:tcW w:w="43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41"/>
        </w:trPr>
        <w:tc>
          <w:tcPr>
            <w:tcW w:w="4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Managed Services Revenue</w:t>
            </w:r>
          </w:p>
        </w:tc>
        <w:tc>
          <w:tcPr>
            <w:tcW w:w="1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728.9</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721.4</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740.8</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720.3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722.5</w:t>
            </w:r>
          </w:p>
        </w:tc>
        <w:tc>
          <w:tcPr>
            <w:tcW w:w="40" w:type="dxa"/>
            <w:vAlign w:val="bottom"/>
            <w:shd w:val="clear" w:color="auto" w:fill="CCEEFF"/>
          </w:tcPr>
          <w:p>
            <w:pPr>
              <w:spacing w:after="0"/>
              <w:rPr>
                <w:sz w:val="12"/>
                <w:szCs w:val="12"/>
                <w:color w:val="auto"/>
              </w:rPr>
            </w:pPr>
          </w:p>
        </w:tc>
      </w:tr>
      <w:tr>
        <w:trPr>
          <w:trHeight w:val="255"/>
        </w:trPr>
        <w:tc>
          <w:tcPr>
            <w:tcW w:w="4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77"/>
        </w:trPr>
        <w:tc>
          <w:tcPr>
            <w:tcW w:w="4300" w:type="dxa"/>
            <w:vAlign w:val="bottom"/>
          </w:tcPr>
          <w:p>
            <w:pPr>
              <w:spacing w:after="0"/>
              <w:rPr>
                <w:sz w:val="6"/>
                <w:szCs w:val="6"/>
                <w:color w:val="auto"/>
              </w:rPr>
            </w:pPr>
          </w:p>
        </w:tc>
        <w:tc>
          <w:tcPr>
            <w:tcW w:w="58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80" w:type="dxa"/>
            <w:vAlign w:val="bottom"/>
          </w:tcPr>
          <w:p>
            <w:pPr>
              <w:spacing w:after="0"/>
              <w:rPr>
                <w:sz w:val="6"/>
                <w:szCs w:val="6"/>
                <w:color w:val="auto"/>
              </w:rPr>
            </w:pPr>
          </w:p>
        </w:tc>
        <w:tc>
          <w:tcPr>
            <w:tcW w:w="8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44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180" w:type="dxa"/>
            <w:vAlign w:val="bottom"/>
          </w:tcPr>
          <w:p>
            <w:pPr>
              <w:spacing w:after="0"/>
              <w:rPr>
                <w:sz w:val="6"/>
                <w:szCs w:val="6"/>
                <w:color w:val="auto"/>
              </w:rPr>
            </w:pPr>
          </w:p>
        </w:tc>
        <w:tc>
          <w:tcPr>
            <w:tcW w:w="60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21"/>
        </w:trPr>
        <w:tc>
          <w:tcPr>
            <w:tcW w:w="43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9"/>
              </w:rPr>
              <w:t>2024 (*)</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41"/>
        </w:trPr>
        <w:tc>
          <w:tcPr>
            <w:tcW w:w="4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12-Month Backlog</w:t>
            </w:r>
          </w:p>
        </w:tc>
        <w:tc>
          <w:tcPr>
            <w:tcW w:w="1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4,140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4,250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4,230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4,210</w:t>
            </w:r>
          </w:p>
        </w:tc>
        <w:tc>
          <w:tcPr>
            <w:tcW w:w="40" w:type="dxa"/>
            <w:vAlign w:val="bottom"/>
            <w:shd w:val="clear" w:color="auto" w:fill="CCEEFF"/>
          </w:tcPr>
          <w:p>
            <w:pPr>
              <w:spacing w:after="0"/>
              <w:rPr>
                <w:sz w:val="12"/>
                <w:szCs w:val="12"/>
                <w:color w:val="auto"/>
              </w:rPr>
            </w:pPr>
          </w:p>
        </w:tc>
      </w:tr>
    </w:tbl>
    <w:p>
      <w:pPr>
        <w:spacing w:after="0" w:line="167" w:lineRule="exact"/>
        <w:rPr>
          <w:sz w:val="20"/>
          <w:szCs w:val="20"/>
          <w:color w:val="auto"/>
        </w:rPr>
      </w:pPr>
    </w:p>
    <w:p>
      <w:pPr>
        <w:ind w:left="940" w:hanging="303"/>
        <w:spacing w:after="0"/>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phase out of certain business activities from the fourth fiscal quarter of 2024 onwards.</w:t>
      </w:r>
    </w:p>
    <w:p>
      <w:pPr>
        <w:spacing w:after="0" w:line="303" w:lineRule="exact"/>
        <w:rPr>
          <w:rFonts w:ascii="Times New Roman" w:cs="Times New Roman" w:eastAsia="Times New Roman" w:hAnsi="Times New Roman"/>
          <w:sz w:val="13"/>
          <w:szCs w:val="13"/>
          <w:color w:val="auto"/>
        </w:rPr>
      </w:pPr>
    </w:p>
    <w:p>
      <w:pPr>
        <w:ind w:left="4480" w:hanging="102"/>
        <w:spacing w:after="0"/>
        <w:tabs>
          <w:tab w:leader="none" w:pos="4480" w:val="left"/>
        </w:tabs>
        <w:numPr>
          <w:ilvl w:val="1"/>
          <w:numId w:val="1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w:t>
      </w:r>
    </w:p>
    <w:p>
      <w:pPr>
        <w:sectPr>
          <w:pgSz w:w="11900" w:h="16838" w:orient="portrait"/>
          <w:cols w:equalWidth="0" w:num="1">
            <w:col w:w="9019"/>
          </w:cols>
          <w:pgMar w:left="1440" w:top="229" w:right="1440" w:bottom="1440" w:gutter="0" w:footer="0" w:header="0"/>
        </w:sectPr>
      </w:pPr>
    </w:p>
    <w:bookmarkStart w:id="15" w:name="page16"/>
    <w:bookmarkEnd w:id="15"/>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4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2025-02-05T05:20:52Z</dcterms:created>
  <dcterms:modified xsi:type="dcterms:W3CDTF">2025-02-05T05:20:52Z</dcterms:modified>
</cp:coreProperties>
</file>