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2014</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2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80" w:type="dxa"/>
            <w:vAlign w:val="bottom"/>
            <w:gridSpan w:val="3"/>
          </w:tcPr>
          <w:p>
            <w:pPr>
              <w:jc w:val="center"/>
              <w:ind w:right="2680"/>
              <w:spacing w:after="0"/>
              <w:rPr>
                <w:sz w:val="20"/>
                <w:szCs w:val="20"/>
                <w:color w:val="auto"/>
              </w:rPr>
            </w:pPr>
            <w:r>
              <w:rPr>
                <w:rFonts w:ascii="Arial" w:cs="Arial" w:eastAsia="Arial" w:hAnsi="Arial"/>
                <w:sz w:val="18"/>
                <w:szCs w:val="18"/>
                <w:color w:val="auto"/>
              </w:rPr>
              <w:t>AMDOCS LIMITED</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w w:val="97"/>
              </w:rPr>
              <w:t>FORM 6-K</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5"/>
          </w:tcPr>
          <w:p>
            <w:pPr>
              <w:jc w:val="center"/>
              <w:ind w:right="1820"/>
              <w:spacing w:after="0"/>
              <w:rPr>
                <w:sz w:val="20"/>
                <w:szCs w:val="20"/>
                <w:color w:val="auto"/>
              </w:rPr>
            </w:pPr>
            <w:r>
              <w:rPr>
                <w:rFonts w:ascii="Arial" w:cs="Arial" w:eastAsia="Arial" w:hAnsi="Arial"/>
                <w:sz w:val="18"/>
                <w:szCs w:val="18"/>
                <w:color w:val="auto"/>
                <w:w w:val="92"/>
              </w:rPr>
              <w:t>REPORT OF FOREIGN PRIVATE ISSUER</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40" w:type="dxa"/>
            <w:vAlign w:val="bottom"/>
            <w:gridSpan w:val="5"/>
          </w:tcPr>
          <w:p>
            <w:pPr>
              <w:jc w:val="center"/>
              <w:ind w:right="1820"/>
              <w:spacing w:after="0"/>
              <w:rPr>
                <w:sz w:val="20"/>
                <w:szCs w:val="20"/>
                <w:color w:val="auto"/>
              </w:rPr>
            </w:pPr>
            <w:r>
              <w:rPr>
                <w:rFonts w:ascii="Arial" w:cs="Arial" w:eastAsia="Arial" w:hAnsi="Arial"/>
                <w:sz w:val="18"/>
                <w:szCs w:val="18"/>
                <w:color w:val="auto"/>
                <w:w w:val="93"/>
              </w:rPr>
              <w:t>FOR THE QUARTER ENDED JUNE 30, 2014</w:t>
            </w:r>
          </w:p>
        </w:tc>
        <w:tc>
          <w:tcPr>
            <w:tcW w:w="202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center"/>
              <w:ind w:right="2900"/>
              <w:spacing w:after="0"/>
              <w:rPr>
                <w:sz w:val="20"/>
                <w:szCs w:val="20"/>
                <w:color w:val="auto"/>
              </w:rPr>
            </w:pPr>
            <w:r>
              <w:rPr>
                <w:rFonts w:ascii="Arial" w:cs="Arial" w:eastAsia="Arial" w:hAnsi="Arial"/>
                <w:sz w:val="18"/>
                <w:szCs w:val="18"/>
                <w:color w:val="auto"/>
              </w:rPr>
              <w:t>INDEX</w:t>
            </w:r>
          </w:p>
        </w:tc>
        <w:tc>
          <w:tcPr>
            <w:tcW w:w="2020" w:type="dxa"/>
            <w:vAlign w:val="bottom"/>
          </w:tcPr>
          <w:p>
            <w:pPr>
              <w:spacing w:after="0"/>
              <w:rPr>
                <w:sz w:val="24"/>
                <w:szCs w:val="24"/>
                <w:color w:val="auto"/>
              </w:rPr>
            </w:pPr>
          </w:p>
        </w:tc>
      </w:tr>
      <w:tr>
        <w:trPr>
          <w:trHeight w:val="486"/>
        </w:trPr>
        <w:tc>
          <w:tcPr>
            <w:tcW w:w="93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3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460" w:type="dxa"/>
            <w:vAlign w:val="bottom"/>
            <w:gridSpan w:val="8"/>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94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2020" w:type="dxa"/>
            <w:vAlign w:val="bottom"/>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120" w:type="dxa"/>
            <w:vAlign w:val="bottom"/>
            <w:gridSpan w:val="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40" w:type="dxa"/>
            <w:vAlign w:val="bottom"/>
            <w:gridSpan w:val="6"/>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22"/>
                <w:szCs w:val="22"/>
                <w:color w:val="auto"/>
              </w:rPr>
            </w:pPr>
          </w:p>
        </w:tc>
        <w:tc>
          <w:tcPr>
            <w:tcW w:w="4480" w:type="dxa"/>
            <w:vAlign w:val="bottom"/>
            <w:gridSpan w:val="3"/>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260" w:type="dxa"/>
            <w:vAlign w:val="bottom"/>
            <w:gridSpan w:val="2"/>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60" w:type="dxa"/>
            <w:vAlign w:val="bottom"/>
          </w:tcPr>
          <w:p>
            <w:pPr>
              <w:spacing w:after="0"/>
              <w:rPr>
                <w:sz w:val="22"/>
                <w:szCs w:val="22"/>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3400" w:type="dxa"/>
            <w:vAlign w:val="bottom"/>
            <w:tcBorders>
              <w:bottom w:val="single" w:sz="8" w:color="0000EE"/>
            </w:tcBorders>
            <w:gridSpan w:val="10"/>
          </w:tcPr>
          <w:p>
            <w:pPr>
              <w:ind w:lef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Operating and Financial Review and Prospects</w:t>
              </w:r>
            </w:hyperlink>
          </w:p>
        </w:tc>
        <w:tc>
          <w:tcPr>
            <w:tcW w:w="5000" w:type="dxa"/>
            <w:vAlign w:val="bottom"/>
            <w:gridSpan w:val="4"/>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25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PART II OTHER INFORMATION</w:t>
              </w:r>
            </w:hyperlink>
          </w:p>
        </w:tc>
        <w:tc>
          <w:tcPr>
            <w:tcW w:w="6760" w:type="dxa"/>
            <w:vAlign w:val="bottom"/>
            <w:gridSpan w:val="9"/>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360" w:type="dxa"/>
            <w:vAlign w:val="bottom"/>
          </w:tcPr>
          <w:p>
            <w:pPr>
              <w:spacing w:after="0"/>
              <w:rPr>
                <w:sz w:val="22"/>
                <w:szCs w:val="22"/>
                <w:color w:val="auto"/>
              </w:rPr>
            </w:pPr>
          </w:p>
        </w:tc>
        <w:tc>
          <w:tcPr>
            <w:tcW w:w="540" w:type="dxa"/>
            <w:vAlign w:val="bottom"/>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8400" w:type="dxa"/>
            <w:vAlign w:val="bottom"/>
            <w:gridSpan w:val="14"/>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Changes in Securities, Use of Proceeds and Issuer Purchases of Equity Securities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360" w:type="dxa"/>
            <w:vAlign w:val="bottom"/>
          </w:tcPr>
          <w:p>
            <w:pPr>
              <w:spacing w:after="0"/>
              <w:rPr>
                <w:sz w:val="22"/>
                <w:szCs w:val="22"/>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586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Reports on Form 6-K</w:t>
              </w:r>
            </w:hyperlink>
          </w:p>
        </w:tc>
        <w:tc>
          <w:tcPr>
            <w:tcW w:w="254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4"/>
        </w:trPr>
        <w:tc>
          <w:tcPr>
            <w:tcW w:w="930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853,938</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1,014,192</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320,672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312,188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678,219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156,809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125,880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151,595</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2,233,958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2,282,074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275,544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98,453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113,966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1,930,949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1,818,334</w:t>
            </w: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196,411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156,726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279,169</w:t>
            </w:r>
          </w:p>
        </w:tc>
      </w:tr>
      <w:tr>
        <w:trPr>
          <w:trHeight w:val="223"/>
        </w:trPr>
        <w:tc>
          <w:tcPr>
            <w:tcW w:w="20" w:type="dxa"/>
            <w:vAlign w:val="bottom"/>
          </w:tcPr>
          <w:p>
            <w:pPr>
              <w:spacing w:after="0"/>
              <w:rPr>
                <w:sz w:val="19"/>
                <w:szCs w:val="19"/>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5,030,836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4,925,813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394,617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322,539</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228,520</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151,112</w:t>
            </w: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70,224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39,376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1,003,215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1,074,256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309,074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315,965</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260,809</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1,601,375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1,651,030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Ordinary Shares — Authorized 700,000 shares; £0.01 par value; 264,210 and 259,668 issued and 158,547 and</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160,062 outstanding, respectively</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3,031,734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2,878,898</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105,663 and 99,606 ordinary shares, respectively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(3,046,987)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(2,785,071)</w:t>
            </w: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12,821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3,427,617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3,176,125</w:t>
            </w:r>
          </w:p>
        </w:tc>
      </w:tr>
      <w:tr>
        <w:trPr>
          <w:trHeight w:val="230"/>
        </w:trPr>
        <w:tc>
          <w:tcPr>
            <w:tcW w:w="20" w:type="dxa"/>
            <w:vAlign w:val="bottom"/>
          </w:tcPr>
          <w:p>
            <w:pPr>
              <w:spacing w:after="0"/>
              <w:rPr>
                <w:sz w:val="20"/>
                <w:szCs w:val="20"/>
                <w:color w:val="auto"/>
              </w:rPr>
            </w:pPr>
          </w:p>
        </w:tc>
        <w:tc>
          <w:tcPr>
            <w:tcW w:w="9100" w:type="dxa"/>
            <w:vAlign w:val="bottom"/>
          </w:tcPr>
          <w:p>
            <w:pPr>
              <w:ind w:left="70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3,429,461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3,274,783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5,030,836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4,925,813</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11,861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65,247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890,616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822,716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2,598,129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902,477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841,332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2,663,376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2,500,629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583,965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546,108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1,723,056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64,863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190,292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112,681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103,396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718,168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2,293,835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2,141,953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125,003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123,164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124,255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120,438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365,481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119,558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159,257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160,914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161,725</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162,667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$109,827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$ 119,558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$321,619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$323,485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(9,689)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12,136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(644)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(10,333)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12,189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21,698</w:t>
            </w:r>
          </w:p>
        </w:tc>
        <w:tc>
          <w:tcPr>
            <w:tcW w:w="0" w:type="dxa"/>
            <w:vAlign w:val="bottom"/>
          </w:tcPr>
          <w:p>
            <w:pPr>
              <w:spacing w:after="0"/>
              <w:rPr>
                <w:sz w:val="1"/>
                <w:szCs w:val="1"/>
                <w:color w:val="auto"/>
              </w:rPr>
            </w:pPr>
          </w:p>
        </w:tc>
      </w:tr>
      <w:tr>
        <w:trPr>
          <w:trHeight w:val="223"/>
        </w:trPr>
        <w:tc>
          <w:tcPr>
            <w:tcW w:w="76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109,997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109,225</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333,808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345,183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8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$141 and $242 for the three months ended June 30, 2014 and 2013, respectively, and of $622 and $6,604 for the nine months ended June 30, 2014 and 2013, respectively.</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$(2) and $(6) for the three months ended June 30, 2014 and 2013, respectively, and of $3 and $43 for the nine months ended June 30, 2014 and 2013,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321,619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323,485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116,911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(40,570)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55,625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16,980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516,358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438,842</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(77,881)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284,926</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258,121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(294,091)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(324,982)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(180,540)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(264,238)</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(151,173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(200,000)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(261,916)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116,041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under capital lease and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(412,374)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(380,050)</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(160,254)</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(92,381)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1,014,192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879,158</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853,938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786,777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paid for: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2013, set forth in the Company’s Annual Report on Form 20-F filed on December 9, 2013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the Company beginning October 1, 2017, allows for either full or modified retrospective methods of adoption and its early adoption is not permitted. The Company is currently evaluating the method of the adoption, as well as the effect that the adoption of this ASU will have on its consolidated financial statements.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July 2013, the FASB issued an ASU,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will be effective for the Company on October 1, 2014, and may result in changes in the Company’s financial statements presentation but will not affect the substantive content of the Company’s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Accounting Standard</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February 2013, the FASB issued an ASU to require reclassification adjustments from other comprehensive income to be presented either in the financial statements or in the notes to the financial statements. This ASU became effective for the Company in the first quarter of fiscal 2014 and its adoption did not have a material impact on the Company’s consolidated financial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January 1, 2014, the Company completed its acquisition of substantially all of the assets of Celcite Management Solutions LLC (“Celcite”), a provider of network management and self-optimizing network solutions, for $141,000 in cash, with the potential for additional consideration to be paid in the future if certain performance metrics are achieved. In allocating the total preliminary purchase price of Celcite based on estimated fair values, the Company recorded $83,554 of goodwill, $46,432 of customer relationships to be amortized over approximately four years, $22,372 of core technology to be amortized over approximately three years and $1,781 of other intangible assets to be amortized over approximately three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2014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June 30, 2014</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920" w:type="dxa"/>
            <w:vAlign w:val="bottom"/>
            <w:gridSpan w:val="3"/>
          </w:tcPr>
          <w:p>
            <w:pPr>
              <w:jc w:val="right"/>
              <w:ind w:right="200"/>
              <w:spacing w:after="0"/>
              <w:rPr>
                <w:sz w:val="20"/>
                <w:szCs w:val="20"/>
                <w:color w:val="auto"/>
              </w:rPr>
            </w:pPr>
            <w:r>
              <w:rPr>
                <w:rFonts w:ascii="Arial" w:cs="Arial" w:eastAsia="Arial" w:hAnsi="Arial"/>
                <w:sz w:val="18"/>
                <w:szCs w:val="18"/>
                <w:color w:val="auto"/>
              </w:rPr>
              <w:t>$422,849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treasuries</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139,942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96,241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26,201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Government-guaranteed debt</w:t>
            </w:r>
          </w:p>
        </w:tc>
        <w:tc>
          <w:tcPr>
            <w:tcW w:w="2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Mortgages (including agencies and corporate)</w:t>
            </w:r>
          </w:p>
        </w:tc>
        <w:tc>
          <w:tcPr>
            <w:tcW w:w="2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564,795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185,991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750,786</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(32,022)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(32,022)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208,813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(32,022</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741,586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40" w:type="dxa"/>
            <w:vAlign w:val="bottom"/>
            <w:vMerge w:val="restart"/>
          </w:tcPr>
          <w:p>
            <w:pPr>
              <w:jc w:val="right"/>
              <w:ind w:right="1090"/>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September 30, 2013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6"/>
              </w:rPr>
              <w:t>Level 2</w:t>
            </w:r>
          </w:p>
        </w:tc>
        <w:tc>
          <w:tcPr>
            <w:tcW w:w="6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$565,216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$565,216</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198,164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198,164</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81,727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81,727</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25,529</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Commercial paper and certificates of deposit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6,189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3,901</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10,090</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6,846</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6,846</w:t>
            </w: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769,569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125,193</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894,762</w:t>
            </w:r>
          </w:p>
        </w:tc>
        <w:tc>
          <w:tcPr>
            <w:tcW w:w="10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769,569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132,731</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902,300</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nine months ended June 30, 2014. Level 3 amounts relate to certain acquisition-related liabilities, which were valued using a Monte-Carlo simulation model.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8"/>
              </w:rPr>
              <w:t>As of June 30, 2014</w:t>
            </w: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422,849</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139,825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139,942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96,241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31,690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31,696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26,209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24,757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24,757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5,338</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3,203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496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750,475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79"/>
              </w:rPr>
              <w:t>402</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June 30, 2014, $320,672 of securities were classified as short term interest-bearing investments and $430,114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198,031</w:t>
            </w: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198,164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81,599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25,529</w:t>
            </w: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10,090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6,318</w:t>
            </w: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Government-guaranteed debt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6,766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Mortgages (including agencies and corporate)</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Total(2)</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894,507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436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181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894,762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2013, $312,188 of securities were classified as short term interest-bearing investments and $582,574 of securities were classified as cash and cash equivalents.</w:t>
      </w:r>
    </w:p>
    <w:p>
      <w:pPr>
        <w:sectPr>
          <w:pgSz w:w="11900" w:h="16838" w:orient="portrait"/>
          <w:cols w:equalWidth="0" w:num="1">
            <w:col w:w="11300"/>
          </w:cols>
          <w:pgMar w:left="240" w:top="459" w:right="359" w:bottom="935"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00"/>
          </w:cols>
          <w:pgMar w:left="240" w:top="459" w:right="359" w:bottom="935"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of June 30, 2014,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an immaterial credit loss in the three and nine months ended June 30, 2014 and 2013. Realized gains and losses on available-for-sale securities are included in earnings and are derived using the first-in-first-out (FIFO) method for determining the cost of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107,173</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85,182</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750,786</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contractual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$22,822 as of June 30, 2014.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2014. Notional values are in U.S. dollars and are translated and calculated based on forward rates as of June 30, 2014 for forward contracts, and based on spot rates as of June 30, 2014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Notional Value*</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1,217,312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4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unaudited consolidated financial statements. The fair value of the open foreign currency exchange contracts recorded by the Company on its consolidated balance sheets as of June 30, 2014 and September 30, 2013, as an asset or a liability,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1"/>
              </w:rPr>
              <w:t>As of</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20,262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(11,641)</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w:t>
            </w: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June 30, 2014, is expected to mature within the next 12 months).</w:t>
      </w:r>
    </w:p>
    <w:p>
      <w:pPr>
        <w:spacing w:after="0" w:line="17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2014 and 2013,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7"/>
          </w:tcPr>
          <w:p>
            <w:pPr>
              <w:ind w:left="240"/>
              <w:spacing w:after="0"/>
              <w:rPr>
                <w:sz w:val="20"/>
                <w:szCs w:val="20"/>
                <w:color w:val="auto"/>
              </w:rPr>
            </w:pPr>
            <w:r>
              <w:rPr>
                <w:rFonts w:ascii="Arial" w:cs="Arial" w:eastAsia="Arial" w:hAnsi="Arial"/>
                <w:sz w:val="14"/>
                <w:szCs w:val="14"/>
                <w:b w:val="1"/>
                <w:bCs w:val="1"/>
                <w:color w:val="auto"/>
              </w:rPr>
              <w:t>Gains (Losses) Reclassified from</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60" w:type="dxa"/>
            <w:vAlign w:val="bottom"/>
            <w:gridSpan w:val="12"/>
          </w:tcPr>
          <w:p>
            <w:pPr>
              <w:jc w:val="right"/>
              <w:ind w:right="540"/>
              <w:spacing w:after="0" w:line="149" w:lineRule="exact"/>
              <w:rPr>
                <w:sz w:val="20"/>
                <w:szCs w:val="20"/>
                <w:color w:val="auto"/>
              </w:rPr>
            </w:pPr>
            <w:r>
              <w:rPr>
                <w:rFonts w:ascii="Arial" w:cs="Arial" w:eastAsia="Arial" w:hAnsi="Arial"/>
                <w:sz w:val="14"/>
                <w:szCs w:val="14"/>
                <w:b w:val="1"/>
                <w:bCs w:val="1"/>
                <w:color w:val="auto"/>
              </w:rPr>
              <w:t>Other Comprehensive Income (Loss) (Effective Portion)</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9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18,966</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20" w:type="dxa"/>
            <w:vAlign w:val="bottom"/>
            <w:vMerge w:val="restart"/>
          </w:tcPr>
          <w:p>
            <w:pPr>
              <w:jc w:val="right"/>
              <w:ind w:right="5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net of tax, is as follows:</w:t>
      </w:r>
    </w:p>
    <w:p>
      <w:pPr>
        <w:spacing w:after="0" w:line="189"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Nine months ended</w:t>
      </w:r>
    </w:p>
    <w:p>
      <w:pPr>
        <w:jc w:val="center"/>
        <w:ind w:left="6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(17,942)</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27,354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18,945</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 losses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2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16,832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Gains from cash flow hedges recognized in other comprehensive income (loss) during the nine months ended June 30, 2014 and 2013, were $31,724 and $25,794, or $27,354 and $18,945, net of taxes, respectively.</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as of June 30, 2014, a net gain of $13,918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2014 and 2013,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2014 and 2013, respectively, which partially offsets the foreign currency impact from the underlying exposure, is summarized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5"/>
              </w:rPr>
              <w:t>Gains (Losses) Recognized in Income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Nine months ended June 30,</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 of income: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service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20" w:type="dxa"/>
            <w:vAlign w:val="bottom"/>
            <w:vMerge w:val="restart"/>
          </w:tcPr>
          <w:p>
            <w:pPr>
              <w:jc w:val="right"/>
              <w:ind w:right="3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June 30,</w:t>
            </w:r>
          </w:p>
        </w:tc>
        <w:tc>
          <w:tcPr>
            <w:tcW w:w="132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400" w:type="dxa"/>
            <w:vAlign w:val="bottom"/>
          </w:tcPr>
          <w:p>
            <w:pPr>
              <w:spacing w:after="0"/>
              <w:rPr>
                <w:sz w:val="14"/>
                <w:szCs w:val="14"/>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billed (1)</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$654,572</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587,928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137,504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110,626</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(36,454)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(20,335)</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755,622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678,219</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increase in accounts receivable billed during the nine months ended June 30, 2014 was primarily related to the Company’s recent acquisitions, while the remainder was attributable to timing of collections and milestone invoicing towards the end of the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Three months</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$ 29,454</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1,930</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$49,198</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w:t>
            </w:r>
          </w:p>
        </w:tc>
        <w:tc>
          <w:tcPr>
            <w:tcW w:w="2800" w:type="dxa"/>
            <w:vAlign w:val="bottom"/>
          </w:tcPr>
          <w:p>
            <w:pPr>
              <w:spacing w:after="0"/>
              <w:rPr>
                <w:sz w:val="18"/>
                <w:szCs w:val="18"/>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8"/>
                <w:szCs w:val="18"/>
                <w:color w:val="auto"/>
              </w:rPr>
              <w:t>(15,026)</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(5,336)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9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$ 14,428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43,862</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8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180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As of June 30, 2014, deferred tax assets of $131,789, derived primarily from tax credits, net capital and operating loss carry forwards related to some of the Company’s subsidiaries, were offset by valuation allowances related to the uncertainty of realizing tax benefit for such credits and losses.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$119,529 as of June 30, 2014, all of which would affect the effective tax rate if realized.</w:t>
      </w:r>
    </w:p>
    <w:p>
      <w:pPr>
        <w:spacing w:after="0" w:line="17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the nine months ended June 30, 2014, the Company reduced the amount of its gross unrecognized tax benefits by approximately $11,000, which affected its effective tax rate. This included a decrease of approximately $14,000, which was attributable to the expiration during the three months ended June 30, 2014 of statutes of limitations related to unrecognized tax benefits accumulated over several years in certain jurisdictions, as well as a decrease of approximately $13,000 as a result of a tax position, which was settled during the three months ended March 31, 2014.</w:t>
      </w:r>
    </w:p>
    <w:p>
      <w:pPr>
        <w:spacing w:after="0" w:line="171"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In the nine months ended June 30, 2013, the Company reduced the amount of its gross unrecognized tax benefits by approximately $13,000, which affected its effective tax rate. This included a decrease of approximately $27,000, which was attributable to the expiration during the three months ended June 30, 2013 of statutes of limitations related to unrecognized tax benefits accumulated over several years in certain jurisdictions.</w:t>
      </w:r>
    </w:p>
    <w:p>
      <w:pPr>
        <w:spacing w:after="0" w:line="166"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As of June 30, 2014, the Company had accrued $19,927 in income taxes payable for interest and penalties relating to unrecognized tax benefits. 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Numerator for basic and diluted earnings per share</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109,827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119,558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321,619</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323,485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360"/>
              <w:spacing w:after="0" w:line="201" w:lineRule="exact"/>
              <w:rPr>
                <w:sz w:val="20"/>
                <w:szCs w:val="20"/>
                <w:color w:val="auto"/>
              </w:rPr>
            </w:pPr>
            <w:r>
              <w:rPr>
                <w:rFonts w:ascii="Arial" w:cs="Arial" w:eastAsia="Arial" w:hAnsi="Arial"/>
                <w:sz w:val="18"/>
                <w:szCs w:val="18"/>
                <w:color w:val="auto"/>
                <w:w w:val="91"/>
              </w:rPr>
              <w:t>Denominator for basic earnings per share — weighted average number of shares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54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159,257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160,914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159,574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161,350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assumed conversion of 0.50% convertible notes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assumed conversions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161,725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162,667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161,939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163,048</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and nine months ended June 30, 2014, 1,106 and 1,152 shares, respectively, on a weighted average basis, were attributable to antidilutive outstanding stock options. For the three and nine months ended June 30, 2013, 2,888 and 3,380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current share repurchase plan authorizes the repurchase of up to $500,000 of the Company’s outstanding ordinary shares with no expiration date. In the nine months ended June 30, 2014, the Company repurchased approximately 6,057 ordinary shares at an average price of $43.23 per share (excluding broker and transaction fees). As of June 30, 2014, the Company had remaining authority to repurchase up to $74,041 of its outstanding ordinary shares. In April 2014, the Company’s board of directors adopted another share repurchase plan authorizing the repurchase of up to $750,000 of its outstanding ordinary shares. The April 2014 plan has no expiration date. Each of the share repurchase plans permits the Company to purchase its ordinary shares in open market or privately negotiated transactions at times and prices that it considers appropriate.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September 2013, the Company borrowed an aggregate of $200,000 under its unsecured $500,000 five-year revolving credit facility with a syndicate of banks and repaid it in October 2013. As of June 30, 2014,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As of June 30, 2014, the Company had additional uncommitted lines of credit available for general corporate and other specific purposes and had outstanding letters of credit and bank guarantees from various banks totaling $70,466.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or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 granted under the Plan is 62,300. Awards granted under the Plan generally vest over a period of four years and stock options have a term of ten years.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2014:</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Average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2,140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41.43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32.27</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Exercisable as of June 30, 2014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600" w:type="dxa"/>
            <w:vAlign w:val="bottom"/>
          </w:tcPr>
          <w:p>
            <w:pPr>
              <w:spacing w:after="0"/>
              <w:rPr>
                <w:sz w:val="18"/>
                <w:szCs w:val="18"/>
                <w:color w:val="auto"/>
              </w:rPr>
            </w:pPr>
          </w:p>
        </w:tc>
        <w:tc>
          <w:tcPr>
            <w:tcW w:w="7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79"/>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information relating to awards of restricted shares, as well as changes to such awards during the nine-month period ended June 30,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3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2013</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2014</w:t>
            </w:r>
          </w:p>
        </w:tc>
        <w:tc>
          <w:tcPr>
            <w:tcW w:w="1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2014 and 2013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9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142"/>
        </w:trPr>
        <w:tc>
          <w:tcPr>
            <w:tcW w:w="6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1,060</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2,685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34,020</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31,901</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June 30, 2014 and 2013, was $1,292 and $1,191, respectively, and for the nine months ended June 30, 2014 and 2013, was $3,954 and $2,904, respectively.</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June 30, 2014, there was $50,055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assumptions used are noted in the following table (all in weighted averages for options granted during the period):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2"/>
              </w:rPr>
              <w:t>Three months</w:t>
            </w: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3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37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8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3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1.46%</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0.75%</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1.26%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4160" w:type="dxa"/>
            <w:vAlign w:val="bottom"/>
            <w:gridSpan w:val="3"/>
          </w:tcPr>
          <w:p>
            <w:pPr>
              <w:jc w:val="right"/>
              <w:ind w:right="488"/>
              <w:spacing w:after="0"/>
              <w:rPr>
                <w:sz w:val="20"/>
                <w:szCs w:val="20"/>
                <w:color w:val="auto"/>
              </w:rPr>
            </w:pPr>
            <w:r>
              <w:rPr>
                <w:rFonts w:ascii="Arial" w:cs="Arial" w:eastAsia="Arial" w:hAnsi="Arial"/>
                <w:sz w:val="18"/>
                <w:szCs w:val="18"/>
                <w:color w:val="auto"/>
              </w:rPr>
              <w:t>4.50</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4.50</w:t>
            </w:r>
          </w:p>
        </w:tc>
        <w:tc>
          <w:tcPr>
            <w:tcW w:w="980" w:type="dxa"/>
            <w:vAlign w:val="bottom"/>
            <w:gridSpan w:val="2"/>
          </w:tcPr>
          <w:p>
            <w:pPr>
              <w:jc w:val="right"/>
              <w:ind w:right="488"/>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41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0.17</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4160" w:type="dxa"/>
            <w:vAlign w:val="bottom"/>
            <w:gridSpan w:val="3"/>
          </w:tcPr>
          <w:p>
            <w:pPr>
              <w:jc w:val="right"/>
              <w:ind w:right="328"/>
              <w:spacing w:after="0"/>
              <w:rPr>
                <w:sz w:val="20"/>
                <w:szCs w:val="20"/>
                <w:color w:val="auto"/>
              </w:rPr>
            </w:pPr>
            <w:r>
              <w:rPr>
                <w:rFonts w:ascii="Arial" w:cs="Arial" w:eastAsia="Arial" w:hAnsi="Arial"/>
                <w:sz w:val="18"/>
                <w:szCs w:val="18"/>
                <w:color w:val="auto"/>
              </w:rPr>
              <w:t>1.31%</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1.47%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1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$6.44</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$5.61</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88"/>
              </w:rPr>
              <w:t>$5.50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$5.77</w:t>
            </w:r>
          </w:p>
        </w:tc>
      </w:tr>
      <w:tr>
        <w:trPr>
          <w:trHeight w:val="365"/>
        </w:trPr>
        <w:tc>
          <w:tcPr>
            <w:tcW w:w="3780" w:type="dxa"/>
            <w:vAlign w:val="bottom"/>
          </w:tcPr>
          <w:p>
            <w:pPr>
              <w:spacing w:after="0"/>
              <w:rPr>
                <w:sz w:val="24"/>
                <w:szCs w:val="24"/>
                <w:color w:val="auto"/>
              </w:rPr>
            </w:pPr>
          </w:p>
        </w:tc>
        <w:tc>
          <w:tcPr>
            <w:tcW w:w="3180" w:type="dxa"/>
            <w:vAlign w:val="bottom"/>
          </w:tcPr>
          <w:p>
            <w:pPr>
              <w:jc w:val="right"/>
              <w:ind w:right="153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2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right="5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8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40" w:type="dxa"/>
            <w:vAlign w:val="bottom"/>
          </w:tcPr>
          <w:p>
            <w:pPr>
              <w:spacing w:after="0"/>
              <w:rPr>
                <w:sz w:val="14"/>
                <w:szCs w:val="14"/>
                <w:color w:val="auto"/>
              </w:rPr>
            </w:pPr>
          </w:p>
        </w:tc>
        <w:tc>
          <w:tcPr>
            <w:tcW w:w="2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58"/>
        </w:trPr>
        <w:tc>
          <w:tcPr>
            <w:tcW w:w="3200" w:type="dxa"/>
            <w:vAlign w:val="bottom"/>
            <w:gridSpan w:val="2"/>
            <w:vMerge w:val="continue"/>
          </w:tcPr>
          <w:p>
            <w:pPr>
              <w:spacing w:after="0"/>
              <w:rPr>
                <w:sz w:val="13"/>
                <w:szCs w:val="13"/>
                <w:color w:val="auto"/>
              </w:rPr>
            </w:pPr>
          </w:p>
        </w:tc>
        <w:tc>
          <w:tcPr>
            <w:tcW w:w="15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Ordinary Share</w:t>
            </w:r>
          </w:p>
        </w:tc>
        <w:tc>
          <w:tcPr>
            <w:tcW w:w="288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30, 2014</w:t>
            </w: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0.155</w:t>
            </w:r>
          </w:p>
        </w:tc>
        <w:tc>
          <w:tcPr>
            <w:tcW w:w="5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June 30, 2014</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24,576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January 29,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0.155</w:t>
            </w:r>
          </w:p>
        </w:tc>
        <w:tc>
          <w:tcPr>
            <w:tcW w:w="2880" w:type="dxa"/>
            <w:vAlign w:val="bottom"/>
            <w:gridSpan w:val="2"/>
          </w:tcPr>
          <w:p>
            <w:pPr>
              <w:spacing w:after="0"/>
              <w:rPr>
                <w:sz w:val="20"/>
                <w:szCs w:val="20"/>
                <w:color w:val="auto"/>
              </w:rPr>
            </w:pPr>
            <w:r>
              <w:rPr>
                <w:rFonts w:ascii="Arial" w:cs="Arial" w:eastAsia="Arial" w:hAnsi="Arial"/>
                <w:sz w:val="18"/>
                <w:szCs w:val="18"/>
                <w:color w:val="auto"/>
              </w:rPr>
              <w:t>March 31, 2014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24,799</w:t>
            </w:r>
          </w:p>
        </w:tc>
        <w:tc>
          <w:tcPr>
            <w:tcW w:w="2740" w:type="dxa"/>
            <w:vAlign w:val="bottom"/>
            <w:gridSpan w:val="2"/>
          </w:tcPr>
          <w:p>
            <w:pPr>
              <w:ind w:left="24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0.130</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20,752</w:t>
            </w:r>
          </w:p>
        </w:tc>
        <w:tc>
          <w:tcPr>
            <w:tcW w:w="2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0.130</w:t>
            </w:r>
          </w:p>
        </w:tc>
        <w:tc>
          <w:tcPr>
            <w:tcW w:w="2880" w:type="dxa"/>
            <w:vAlign w:val="bottom"/>
            <w:gridSpan w:val="2"/>
          </w:tcPr>
          <w:p>
            <w:pPr>
              <w:spacing w:after="0"/>
              <w:rPr>
                <w:sz w:val="20"/>
                <w:szCs w:val="20"/>
                <w:color w:val="auto"/>
              </w:rPr>
            </w:pPr>
            <w:r>
              <w:rPr>
                <w:rFonts w:ascii="Arial" w:cs="Arial" w:eastAsia="Arial" w:hAnsi="Arial"/>
                <w:sz w:val="18"/>
                <w:szCs w:val="18"/>
                <w:color w:val="auto"/>
              </w:rPr>
              <w:t>June 28,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20,929</w:t>
            </w:r>
          </w:p>
        </w:tc>
        <w:tc>
          <w:tcPr>
            <w:tcW w:w="2740" w:type="dxa"/>
            <w:vAlign w:val="bottom"/>
            <w:gridSpan w:val="2"/>
          </w:tcPr>
          <w:p>
            <w:pPr>
              <w:ind w:left="240"/>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0.130</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28, 2013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20,927</w:t>
            </w:r>
          </w:p>
        </w:tc>
        <w:tc>
          <w:tcPr>
            <w:tcW w:w="2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0.130</w:t>
            </w:r>
          </w:p>
        </w:tc>
        <w:tc>
          <w:tcPr>
            <w:tcW w:w="288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21,032</w:t>
            </w:r>
          </w:p>
        </w:tc>
        <w:tc>
          <w:tcPr>
            <w:tcW w:w="2740" w:type="dxa"/>
            <w:vAlign w:val="bottom"/>
            <w:gridSpan w:val="2"/>
          </w:tcPr>
          <w:p>
            <w:pPr>
              <w:ind w:left="240"/>
              <w:spacing w:after="0"/>
              <w:rPr>
                <w:sz w:val="20"/>
                <w:szCs w:val="20"/>
                <w:color w:val="auto"/>
              </w:rPr>
            </w:pPr>
            <w:r>
              <w:rPr>
                <w:rFonts w:ascii="Arial" w:cs="Arial" w:eastAsia="Arial" w:hAnsi="Arial"/>
                <w:sz w:val="18"/>
                <w:szCs w:val="18"/>
                <w:color w:val="auto"/>
              </w:rPr>
              <w:t>January 18, 2013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April 30, 2014 declaration was included in other current liabilities as of June 30, 2014.</w:t>
      </w:r>
    </w:p>
    <w:p>
      <w:pPr>
        <w:spacing w:after="0" w:line="225" w:lineRule="exact"/>
        <w:rPr>
          <w:sz w:val="20"/>
          <w:szCs w:val="20"/>
          <w:color w:val="auto"/>
        </w:rPr>
      </w:pPr>
    </w:p>
    <w:p>
      <w:pPr>
        <w:ind w:right="1020" w:firstLine="456"/>
        <w:spacing w:after="0" w:line="342" w:lineRule="auto"/>
        <w:rPr>
          <w:sz w:val="20"/>
          <w:szCs w:val="20"/>
          <w:color w:val="auto"/>
        </w:rPr>
      </w:pPr>
      <w:r>
        <w:rPr>
          <w:rFonts w:ascii="Arial" w:cs="Arial" w:eastAsia="Arial" w:hAnsi="Arial"/>
          <w:sz w:val="16"/>
          <w:szCs w:val="16"/>
          <w:color w:val="auto"/>
        </w:rPr>
        <w:t>On July 29, 2014, the Company’s board of directors approved the next quarterly dividend payment, at the rate of $0.155 per share, and set September 30, 2014 as the record date for determining the shareholders entitled to receive the dividend, which is payable on October 17, 2014.</w:t>
      </w:r>
    </w:p>
    <w:p>
      <w:pPr>
        <w:spacing w:after="0" w:line="228" w:lineRule="exact"/>
        <w:rPr>
          <w:sz w:val="20"/>
          <w:szCs w:val="20"/>
          <w:color w:val="auto"/>
        </w:rPr>
      </w:pPr>
    </w:p>
    <w:p>
      <w:pPr>
        <w:ind w:left="460" w:right="9600" w:hanging="452"/>
        <w:spacing w:after="0" w:line="425" w:lineRule="auto"/>
        <w:tabs>
          <w:tab w:leader="none" w:pos="27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2014 and 2013.</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2013, filed on December 9, 2013 with the U.S. Securities and Exchange Commission.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Amdocs is a leading provider of software and services for communications, media and entertainment industry service providers in developed countries and in emerging markets, such as those in the Commonwealth of Independent States, India, Latin America and Southeast Asia.</w:t>
      </w:r>
    </w:p>
    <w:p>
      <w:pPr>
        <w:spacing w:after="0" w:line="14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and optimization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154"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believe the demand for our customer experience systems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In January 2014, we released Amdocs CES (Customer Experience Systems) 9.1, which introduces new functionality to engage customers through social media channels, features to help support the complete lifecycle of small and medium-sized business customers and support for multi-play, which enables customer-facing activities across multiple systems and channels. These solutions enable service providers to personalize customer experiences based on real-time insight and capitalize on new opportunities. Our acquisitions of Actix and Celcite provide mobile network optimization solutions and services, enabling us to advance our strategy to deliver an integrated, holistic customer experience from the device to the network. Our goal is to supply scalable products and services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themselves by delivering a customer experience that is simple, personal and valuable at every point of interaction.</w:t>
      </w:r>
    </w:p>
    <w:p>
      <w:pPr>
        <w:spacing w:after="0" w:line="18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also offer advertising and media products and services for local marketing service providers, including directory publishers. These offerings enable the management of media selling, fulfillment, operations, consumer experiences and financial processes across digital and print media.</w:t>
      </w:r>
    </w:p>
    <w:p>
      <w:pPr>
        <w:spacing w:after="0" w:line="14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media and entertainment industry. In the nine months ended June 30, 2014, customers in North America accounted for 72.3% of our revenue, while customers in Europe and the rest of the world accounted for 13.0% and 14.7%, respectively. Customers in emerging markets accounted for</w:t>
      </w:r>
    </w:p>
    <w:p>
      <w:pPr>
        <w:ind w:right="280"/>
        <w:spacing w:after="0" w:line="261" w:lineRule="auto"/>
        <w:rPr>
          <w:sz w:val="20"/>
          <w:szCs w:val="20"/>
          <w:color w:val="auto"/>
        </w:rPr>
      </w:pPr>
      <w:r>
        <w:rPr>
          <w:rFonts w:ascii="Arial" w:cs="Arial" w:eastAsia="Arial" w:hAnsi="Arial"/>
          <w:sz w:val="18"/>
          <w:szCs w:val="18"/>
          <w:color w:val="auto"/>
        </w:rPr>
        <w:t>12.1% of our revenue in the nine months ended June 30, 2014. We maintain development facilities in Brazil, Canada, Cyprus, India, Ireland, Israel and the United States.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53" w:lineRule="exact"/>
        <w:rPr>
          <w:rFonts w:ascii="Arial" w:cs="Arial" w:eastAsia="Arial" w:hAnsi="Arial"/>
          <w:sz w:val="16"/>
          <w:szCs w:val="16"/>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440" w:right="16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8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 from managed services arrangements (for customer experience systems and advertising and media products, including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$438.0 million and $417.1 million in the three months ended June 30, 2014 and 2013, respectively, and $1,293.6 million and $1,286.7 million in the nine months ended June 30, 2014 and 2013, respectively.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May 2014, the Financial Accounting Standards Board, or FASB, issued an Accounting Standard Update, or ASU, on revenue from contracts with customers, which outlines a single comprehensive model for entities to use in accounting for revenue arising from contracts with customers and supersedes most current revenue recognition guidance. This ASU, which will be effective for us beginning October 1, 2017, allows for either full or modified retrospective methods of adoption and its early adoption is not permitted. We are currently evaluating the method of the adoption, as well as the effect that the adoption of this ASU will have on our consolidated financial statements.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July 2013, the FASB issued an ASU,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ASU will be effective for us on October 1, 2014, and may result in changes in our financial statements presentation but will not affect the substantive content of our consolidated financial statements.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February 2013, the FASB issued an ASU to require reclassification adjustments from other comprehensive income to be presented either in the financial statements or in the notes to the financial statements. This ASU became effective for us in the first quarter of fiscal 2014 and its adoption did not have a material impact on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2014 and 2013, certain items in our consolidated statements of income reflected as a percentage of total revenue: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Three months</w:t>
            </w: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35"/>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33"/>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License</w:t>
            </w:r>
          </w:p>
        </w:tc>
        <w:tc>
          <w:tcPr>
            <w:tcW w:w="3320" w:type="dxa"/>
            <w:vAlign w:val="bottom"/>
            <w:gridSpan w:val="3"/>
          </w:tcPr>
          <w:p>
            <w:pPr>
              <w:jc w:val="right"/>
              <w:ind w:right="288"/>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2.4%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332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98.7</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97.8</w:t>
            </w: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97.6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5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5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448"/>
              <w:spacing w:after="0"/>
              <w:rPr>
                <w:sz w:val="20"/>
                <w:szCs w:val="20"/>
                <w:color w:val="auto"/>
              </w:rPr>
            </w:pPr>
            <w:r>
              <w:rPr>
                <w:rFonts w:ascii="Arial" w:cs="Arial" w:eastAsia="Arial" w:hAnsi="Arial"/>
                <w:sz w:val="18"/>
                <w:szCs w:val="18"/>
                <w:color w:val="auto"/>
              </w:rPr>
              <w:t>0.1</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332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64.7</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w:t>
            </w: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64.7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7.1</w:t>
            </w:r>
          </w:p>
        </w:tc>
        <w:tc>
          <w:tcPr>
            <w:tcW w:w="980" w:type="dxa"/>
            <w:vAlign w:val="bottom"/>
            <w:gridSpan w:val="2"/>
          </w:tcPr>
          <w:p>
            <w:pPr>
              <w:jc w:val="right"/>
              <w:ind w:right="448"/>
              <w:spacing w:after="0"/>
              <w:rPr>
                <w:sz w:val="20"/>
                <w:szCs w:val="20"/>
                <w:color w:val="auto"/>
              </w:rPr>
            </w:pPr>
            <w:r>
              <w:rPr>
                <w:rFonts w:ascii="Arial" w:cs="Arial" w:eastAsia="Arial" w:hAnsi="Arial"/>
                <w:sz w:val="18"/>
                <w:szCs w:val="18"/>
                <w:color w:val="auto"/>
              </w:rPr>
              <w:t>7.1</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32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12.4</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w:t>
            </w: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980" w:type="dxa"/>
            <w:vAlign w:val="bottom"/>
            <w:gridSpan w:val="2"/>
          </w:tcPr>
          <w:p>
            <w:pPr>
              <w:jc w:val="right"/>
              <w:ind w:right="448"/>
              <w:spacing w:after="0"/>
              <w:rPr>
                <w:sz w:val="20"/>
                <w:szCs w:val="20"/>
                <w:color w:val="auto"/>
              </w:rPr>
            </w:pPr>
            <w:r>
              <w:rPr>
                <w:rFonts w:ascii="Arial" w:cs="Arial" w:eastAsia="Arial" w:hAnsi="Arial"/>
                <w:sz w:val="18"/>
                <w:szCs w:val="18"/>
                <w:color w:val="auto"/>
              </w:rPr>
              <w:t>1.6</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86.1</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85.4</w:t>
            </w: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86.1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net</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2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Net income</w:t>
            </w:r>
          </w:p>
        </w:tc>
        <w:tc>
          <w:tcPr>
            <w:tcW w:w="2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12.2%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12.1%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vMerge w:val="restart"/>
          </w:tcPr>
          <w:p>
            <w:pPr>
              <w:jc w:val="right"/>
              <w:ind w:right="1610"/>
              <w:spacing w:after="0"/>
              <w:rPr>
                <w:sz w:val="20"/>
                <w:szCs w:val="20"/>
                <w:color w:val="auto"/>
              </w:rPr>
            </w:pPr>
            <w:r>
              <w:rPr>
                <w:rFonts w:ascii="Arial" w:cs="Arial" w:eastAsia="Arial" w:hAnsi="Arial"/>
                <w:sz w:val="18"/>
                <w:szCs w:val="18"/>
                <w:color w:val="auto"/>
              </w:rPr>
              <w:t>19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2014 and 2013</w:t>
      </w:r>
    </w:p>
    <w:p>
      <w:pPr>
        <w:spacing w:after="0" w:line="12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2014 compared to the nine months ended June 30, 2013.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65,247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59,433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5,814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2,598,129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2,441,196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156,933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2,663,376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2,500,629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162,747</w:t>
            </w:r>
          </w:p>
        </w:tc>
        <w:tc>
          <w:tcPr>
            <w:tcW w:w="4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396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1,723,056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1,619,215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103,841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190,292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179,002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11,290</w:t>
            </w:r>
          </w:p>
        </w:tc>
        <w:tc>
          <w:tcPr>
            <w:tcW w:w="4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21,539</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43,174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28,358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14,816</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2,293,835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2,141,953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151,882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369,541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4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(11.6)</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365,481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354,085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46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13,262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321,619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revenue increased by $162.7 million, or 6.5%, to $2,663.4 million in the nine months ended June 30, 2014, from $2,500.6 million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June 30, 2013. The increase in revenue was primarily attributable to increased activity in North America and Europe. The increase in revenue was also positively affected by network optimization activity related to our recent acquisitions of Actix and Celcite.</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Total revenue attributable to the sale of customer experience systems increased by $187.7 million, or 7.9%, to $2,564.0 million in the nine months ended June 30, 2014, from $2,376.3 million in the nine months ended June 30, 2013. The increase in revenue was primarily attributable to our increased activity in North America and Europe. The increase in revenue was also positively affected by network optimization activity. Revenue resulting from the sale of customer experience systems represented 96.3% and 95.0% of our total revenue in the nine months ended June 30, 2014 and 2013, respectively.</w:t>
      </w:r>
    </w:p>
    <w:p>
      <w:pPr>
        <w:spacing w:after="0" w:line="15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Total revenue attributable to the sale of directory systems decreased by $24.9 million, or 20.0%, to $99.4 million in the nine months ended June 30, 2014, from $124.3 million in the nine months ended June 30, 2013. The decrease in revenue was primarily attributable to continued slowness in the directory systems market leading to lower revenue from discretionary spending under managed services arrangements for directory systems. Revenue from the sale of directory systems represented 3.7% and 5.0% of our total revenue in the nine months ended June 30, 2014 and 2013, respectively.</w:t>
      </w:r>
    </w:p>
    <w:p>
      <w:pPr>
        <w:spacing w:after="0" w:line="15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nine months ended June 30, 2014, revenue from customers in North America, Europe and the rest of the world accounted for 72.3%, 13.0% and 14.7%, respectively, of total revenue, compared to 72.5%, 11.9% and 15.6%, respectively, in the nine months ended June 30, 2013. Revenue from customers in North America increased in absolute amounts during the nine months ended June 30, 2014. This increase, however, was lower than the 6.5% increase in our total revenue, which resulted in a decrease in revenue from North American customers as a percentage of total revenue. The increase in revenue in absolute amounts from customers in North America was primarily attributable to the positive momentum in our relationship with AT&amp;T. The increase in revenue as a percentage of total revenue from customers in Europe was attributable to higher revenue from managed services arrangements. Revenue from customers in the rest of the world decreased as a percentage of total revenue during the nine months ended June 30, 2014 as a result of a slight increase in absolute amounts in revenue from customers in the rest of the world, while total revenue increased at a higher rate.</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fees and royalty payments to software suppliers. Cost of service consists primarily of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providing services to customers, including compensation expense and costs of third-party products. Cost of license and service increased by $104.2 million, or 6.4%, to $1,725.3 million in the nine months ended June 30, 2014, from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$1,621.1 million in the nine months ended June 30, 2013. As a percentage of revenue, cost of license and service was 64.8% in each of the nine-month periods ended June 30, 2014 and 2013. In the nine months ended June 30, 2014, gross margin was positively affected because a larger portion of revenue and expense was attributable to customers in developed markets, where we are well-established and generally realize higher margins, which was fully offset by our activities in Asia Pacific and Central and Latin America, where we incurred costs while continuing our penetration efforts in order to expand our business into those markets.</w:t>
      </w:r>
    </w:p>
    <w:p>
      <w:pPr>
        <w:spacing w:after="0" w:line="18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$11.3 million, or 6.3%, to $190.3 million in the nine months ended June 30, 2014, from $179.0 million in the nine months ended June 30, 2013. The increase in research and development expense was primarily attributable to network optimization research and development activity. Research and development expense decreased as a percentage of revenue from 7.2% in the nine months ended June 30, 2013, to 7.1% in the nine months ended June 30, 2014.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$21.5 million, or 6.9%, to $335.1 million in the nine months ended June 30, 2014, from $313.5 million in the nine months ended June 30, 2013. The increase in selling, general and administrative expense was primarily attributable to network optimization activities. Selling, general and administrative expense as a percentage of revenue was 12.5% in the nine months ended June 30, 2013 and 12.6% in the nine months ended June 30, 2014. Selling, general and administrative expense may fluctuate from time to time, depending upon such factors as changes in our workforce and sales efforts and the results of any operational efficiency programs that we may undertake.</w:t>
      </w:r>
    </w:p>
    <w:p>
      <w:pPr>
        <w:spacing w:after="0" w:line="1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nine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increased by $14.8 million to $43.2 million from $28.4 million in the nine months ended June 30, 2013. The increase in amortization of purchased intangible assets and other was primarily attributable to an increase in amortization of intangible assets due to amortization charges related to the acquisitions of Actix and Celcite, partially offset by timing of amortization charges of previously purchased intangible assets.</w:t>
      </w:r>
    </w:p>
    <w:p>
      <w:pPr>
        <w:spacing w:after="0" w:line="17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$10.9 million, or 3.0%, in the nine months ended June 30, 2014, to $369.5 million, or 13.9%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$358.7 million, or 14.3% of revenue, in the nine months ended June 30, 2013. The decrease in operating income as a percentage of revenue was primarily attributable to the increase in amortization of purchased intangible assets and other.</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2014 were $43.9 million on pre-tax income of $365.5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12.0%, compared to 8.6% in the nine months ended June 30, 2013. The increase in the tax rate was primarily attributable to the geographical distribution of earnings from global operations. Our effective tax rate may fluctuate between periods as a result of discrete items that may affect a particular period. Please see Note 9 to our consolidated financial statements.</w:t>
      </w:r>
    </w:p>
    <w:p>
      <w:pPr>
        <w:spacing w:after="0" w:line="18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decreased by $1.9 million, or 0.6%, to $321.6 million in the nine months ended June 30, 2014, from $323.5 million in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2013. The decrease in net income was attributable to the increase in income taxes, partially offset by the increase in operating income.</w:t>
      </w:r>
    </w:p>
    <w:p>
      <w:pPr>
        <w:spacing w:after="0" w:line="12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increased by $0.01, or 0.5%, to $1.99 in the nine months ended June 30, 2014, from $1.98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June 30, 2013. The increase in diluted earnings per share was mainly attributable to the decrease in the diluted weighted average number of shares outstanding resulting from our repurchase of ordinary shares, partially offset by stock option exercises.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and 2013</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2014 compared to the three months ended June 30, 2013.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License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11,861</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18,616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 (6,755)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890,616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822,716</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67,900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902,477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841,332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61,145</w:t>
            </w:r>
          </w:p>
        </w:tc>
        <w:tc>
          <w:tcPr>
            <w:tcW w:w="3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583,965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546,108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37,857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64,863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59,583</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5,280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112,681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103,396</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9,285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8,520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6,806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777,474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718,168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59,306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123,164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3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124,255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120,438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3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13,548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1,539.5</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119,558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(9,731</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revenue increased by $61.1 million, or 7.3%, to $902.5 million in the three months ended June 30, 2014, from $841.3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2013. The increase in revenue was primarily attributable to increased activity in North America and to a lesser extent also to our increased activity in Europe and in the rest of the world. The increase in revenue was also positively affected by network optimization activity.</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Total revenue attributable to the sale of customer experience systems increased by $67.6 million, or 8.4%, to $870.8 million in the three months ended June 30, 2014, from $803.2 million in the three months ended June 30, 2013. The increase in revenue was primarily attributable to increased activity in North America and to a lesser extent also to our increased activity in Europe and in the rest of the world. The increase in revenue was also positively affected by network optimization activity. Revenue resulting from the sale of customer experience systems represented 96.5% and 95.5% of our total revenue in the three months ended June 30, 2014 and 2013, respectively.</w:t>
      </w:r>
    </w:p>
    <w:p>
      <w:pPr>
        <w:spacing w:after="0" w:line="18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Total revenue attributable to the sale of directory systems decreased by $6.4 million, or 16.8%, to $31.7 million in the three months ended June 30, 2014, from $38.1 million in the three months ended June 30, 2013. The decrease in revenue was primarily attributable to continued slowness in the directory systems market leading to lower revenue from discretionary spending under managed services arrangements for directory systems. Revenue from the sale of directory systems represented 3.5% and 4.5% of our total revenue in the three months ended June 30, 2014 and 2013, respectively.</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the three months ended June 30, 2014, revenue from customers in North America, Europe and the rest of the world accounted for 71.7%, 12.7% and 15.6%, respectively, of total revenue, compared to 73.6%, 11.6% and 14.8%, respectively, in the three months ended June 30, 2013. Revenue from customers in North America increased in absolute amounts during the three months ended June 30, 2014. This increase, however, was lower than the 7.3% increase in our total revenue, which resulted in a decrease in revenue from North American customers as a percentage of total revenue. The increase in revenue in absolute amounts from customers in North America was primarily attributable to the positive momentum in our relationship with AT&amp;T. The increase in revenue as a percentage of total revenue from customers in Europe was attributable to higher revenue from managed services arrangements. The increase in revenue from customers in the rest of the world as a percentage of total revenue during the three months ended June 30, 2014 was primarily attributable to our increased activity in emerging markets.</w:t>
      </w:r>
    </w:p>
    <w:p>
      <w:pPr>
        <w:spacing w:after="0" w:line="17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and service increased by $37.9 million, or 6.9%, to $584.6 million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from $546.7 million in the three months ended June 30, 2013. As a percentage of revenue, cost of license and service decreased to 64.8% in the three months ended June 30, 2014, from 65.0% in the three months ended June 30, 2013. While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continuing to incur costs in relation to our penetration efforts in order to expand our business into Asia Pacific and Central and Latin America, the increase in our gross margin in the three months ended June 30, 2014 was primarily attributable to a slightly higher level of investment during the three months ended June 30, 2013 related to our activities in those markets.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 Research and development expense increased by $5.3 million, or 8.9%, to $64.9 million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2014, from $59.6 million in the three months ended June 30, 2013. The increase in research and development expense was primarily attributable to network optimization research and development activity. Research and development expense increased as a percentage of revenue from 7.1% in the three months ended June 30, 2013, to 7.2% in the three months ended June 30, 2014.</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increased by $9.3 million, or 9.0%, to $112.7 million in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2014, from $103.4 million in the three months ended June 30, 2013. The increase in selling, general and administrative expense was primarily attributable to network optimization activities. Selling, general and administrative expense as a percentage of revenue was 12.3% in the three months ended June 30, 2013 and 12.4% in the three months ended June 30, 2014. Selling, general and administrative expense may fluctuate from time to time, depending upon such factors as changes in our workforce and sales efforts and the results of any operational efficiency programs that we may undertake.</w:t>
      </w:r>
    </w:p>
    <w:p>
      <w:pPr>
        <w:spacing w:after="0" w:line="15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increased by $6.8 million to $15.3 million from $8.5 million in the three months ended June 30, 2013. The increase in amortization of purchased intangible assets and other was primarily attributable to an increase in amortization of intangible assets due to amortization charges related to the acquisitions of Actix and Celcite, partially offset by timing of amortization charges of previously purchased intangible assets.</w:t>
      </w:r>
    </w:p>
    <w:p>
      <w:pPr>
        <w:spacing w:after="0" w:line="17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$1.8 million, or 1.5%, in the three months ended June 30, 2014, to $125.0 million, or 13.9%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$123.2 million, or 14.6% of revenue, in the three months ended June 30, 2013. The decrease in operating income as a percentage of revenue was primarily attributable to the increase in amortization of purchased intangible assets and other.</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$2.0 million to $0.7 million in the three months ended June 30,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$2.7 million in the three months ended June 30, 2013. The decrease in interest and other expense, net, was primarily attributable to foreign exchange impacts.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June 30, 2014 were $14.4 million on pre-tax income of $124.3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11.6%, compared to 0.7% in the three months ended June 30, 2013. The increase in the tax rate was primarily attributable to changes in our provision for unrecognized tax benefits. Please see Note 9 to our consolidated financial statements. Our effective tax rate may fluctuate between periods as a result of discrete items that may affect a particular period.</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$9.7 million, or 8.1%, to $109.8 million in the three months ended June 30, 2014, from $119.6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2013. The decrease in net income was attributable to the increase in income taxes, partially offset by the decrease in interest and other expense, net, and the increase in operating income.</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Diluted Earnings Per Share. </w:t>
      </w:r>
      <w:r>
        <w:rPr>
          <w:rFonts w:ascii="Arial" w:cs="Arial" w:eastAsia="Arial" w:hAnsi="Arial"/>
          <w:sz w:val="17"/>
          <w:szCs w:val="17"/>
          <w:color w:val="auto"/>
        </w:rPr>
        <w:t>Diluted earnings per share decreased by $0.05, or 6.8%, to $0.68 in the three months ended June 30, 2014, from $0.73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June 30, 2013. The decrease in diluted earnings per share was primarily attributable to the decrease in net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net of short-term debt, totaled $1.17 billion as of June 30, 2014, compared to $1.13 billion as of September 30, 2013. The increase was mainly attributable to $516.4 million in positive cash flow from operations and $116.0 million of proceeds from stock option exercises, partially offset by $261.9 million used to repurchase our ordinary shares, $180.5 million in net cash paid for acquisitions, $77.9 million for capital expenditures, net and $66.4 million of cash dividend payments. Net cash provided by operating activities amounted to $516.4 million and $438.8 million in the nine months ended June 30, 2014 and 2013,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1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net of tax, unless a security is other than temporarily impaired, in which case the loss is recorded in the income statement.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2014 and 2013, we recognized immaterial credit losses. Please see Notes 5 and 6 to the consolidated financial statements.</w:t>
      </w:r>
    </w:p>
    <w:p>
      <w:pPr>
        <w:spacing w:after="0" w:line="17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September 2013, we borrowed an aggregate of $200.0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five-year revolving credit facility with a syndicate of banks and repaid it in October 2013. As of June 30, 2014, we were in compliance with the financial covenants under the revolving credit facility and had no outstanding borrowings under this facility.</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of June 30, 2014, we had additional uncommitted lines of credit available for general corporate and other specific purposes and had outstanding letters of credit and bank guarantees from various banks totaling $70.5 million.</w:t>
      </w:r>
    </w:p>
    <w:p>
      <w:pPr>
        <w:spacing w:after="0" w:line="170"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pension funding, purchase obligations and unrecognized tax benefits summarized in the disclosure of contractual obligations set forth in our Annual Report on Form 20-F for the fiscal year ended September 30, 2013, filed on December 9, 2013 with the SEC. Since September 30, 2013,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$77.9 million in the nine months ended June 30, 2014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From time to time, our board of directors has adopted share repurchase plans authorizing the repurchase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Our current share repurchase plan authorizes the repurchase of up to $500.0 million of our outstanding ordinary shares with no expiration date. In the nine months ended June 30, 2014, we repurchased 6.1 million ordinary shares at an average price of $43.23 per share (excluding broker and transaction fees). As of June 30, 2014, we had remaining authority to repurchase up to $74.0 million of our outstanding ordinary shares. In April 2014, our board of directors adopted another share repurchase plan authorizing the repurchase of up to $750.0 million of our outstanding ordinary shares. The April 2014 plan has no expiration date. Each one of the share repurchase plans permits us to purchase our ordinary shares in open market or privately negotiated transactions at times and prices that we consider appropriate.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2014 and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Dividends Per</w:t>
            </w:r>
          </w:p>
        </w:tc>
        <w:tc>
          <w:tcPr>
            <w:tcW w:w="480" w:type="dxa"/>
            <w:vAlign w:val="bottom"/>
          </w:tcPr>
          <w:p>
            <w:pPr>
              <w:spacing w:after="0"/>
              <w:rPr>
                <w:sz w:val="14"/>
                <w:szCs w:val="14"/>
                <w:color w:val="auto"/>
              </w:rPr>
            </w:pPr>
          </w:p>
        </w:tc>
        <w:tc>
          <w:tcPr>
            <w:tcW w:w="284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Ordinary Share</w:t>
            </w:r>
          </w:p>
        </w:tc>
        <w:tc>
          <w:tcPr>
            <w:tcW w:w="48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April 30, 2014</w:t>
            </w:r>
          </w:p>
        </w:tc>
        <w:tc>
          <w:tcPr>
            <w:tcW w:w="2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48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2014</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18, 2014</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January 29, 2014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0.155</w:t>
            </w:r>
          </w:p>
        </w:tc>
        <w:tc>
          <w:tcPr>
            <w:tcW w:w="3320" w:type="dxa"/>
            <w:vAlign w:val="bottom"/>
            <w:gridSpan w:val="3"/>
          </w:tcPr>
          <w:p>
            <w:pPr>
              <w:ind w:left="480"/>
              <w:spacing w:after="0"/>
              <w:rPr>
                <w:sz w:val="20"/>
                <w:szCs w:val="20"/>
                <w:color w:val="auto"/>
              </w:rPr>
            </w:pPr>
            <w:r>
              <w:rPr>
                <w:rFonts w:ascii="Arial" w:cs="Arial" w:eastAsia="Arial" w:hAnsi="Arial"/>
                <w:sz w:val="18"/>
                <w:szCs w:val="18"/>
                <w:color w:val="auto"/>
              </w:rPr>
              <w:t>March 31, 2014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April 17, 2014</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0.130</w:t>
            </w:r>
          </w:p>
        </w:tc>
        <w:tc>
          <w:tcPr>
            <w:tcW w:w="3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December 31, 2013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17, 2014</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April 30, 2013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0.130</w:t>
            </w:r>
          </w:p>
        </w:tc>
        <w:tc>
          <w:tcPr>
            <w:tcW w:w="3320" w:type="dxa"/>
            <w:vAlign w:val="bottom"/>
            <w:gridSpan w:val="3"/>
          </w:tcPr>
          <w:p>
            <w:pPr>
              <w:ind w:left="480"/>
              <w:spacing w:after="0"/>
              <w:rPr>
                <w:sz w:val="20"/>
                <w:szCs w:val="20"/>
                <w:color w:val="auto"/>
              </w:rPr>
            </w:pPr>
            <w:r>
              <w:rPr>
                <w:rFonts w:ascii="Arial" w:cs="Arial" w:eastAsia="Arial" w:hAnsi="Arial"/>
                <w:sz w:val="18"/>
                <w:szCs w:val="18"/>
                <w:color w:val="auto"/>
              </w:rPr>
              <w:t>June 28, 2014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0.130</w:t>
            </w:r>
          </w:p>
        </w:tc>
        <w:tc>
          <w:tcPr>
            <w:tcW w:w="3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March 28, 2013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2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0.130</w:t>
            </w:r>
          </w:p>
        </w:tc>
        <w:tc>
          <w:tcPr>
            <w:tcW w:w="3320" w:type="dxa"/>
            <w:vAlign w:val="bottom"/>
            <w:gridSpan w:val="3"/>
          </w:tcPr>
          <w:p>
            <w:pPr>
              <w:ind w:left="480"/>
              <w:spacing w:after="0"/>
              <w:rPr>
                <w:sz w:val="20"/>
                <w:szCs w:val="20"/>
                <w:color w:val="auto"/>
              </w:rPr>
            </w:pPr>
            <w:r>
              <w:rPr>
                <w:rFonts w:ascii="Arial" w:cs="Arial" w:eastAsia="Arial" w:hAnsi="Arial"/>
                <w:sz w:val="18"/>
                <w:szCs w:val="18"/>
                <w:color w:val="auto"/>
              </w:rPr>
              <w:t>December 31, 2012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2660" w:type="dxa"/>
            <w:vAlign w:val="bottom"/>
            <w:gridSpan w:val="2"/>
          </w:tcPr>
          <w:p>
            <w:pPr>
              <w:ind w:left="260"/>
              <w:spacing w:after="0"/>
              <w:rPr>
                <w:sz w:val="20"/>
                <w:szCs w:val="20"/>
                <w:color w:val="auto"/>
              </w:rPr>
            </w:pPr>
            <w:r>
              <w:rPr>
                <w:rFonts w:ascii="Arial" w:cs="Arial" w:eastAsia="Arial" w:hAnsi="Arial"/>
                <w:sz w:val="18"/>
                <w:szCs w:val="18"/>
                <w:color w:val="auto"/>
              </w:rPr>
              <w:t>January 18, 2013</w:t>
            </w:r>
          </w:p>
        </w:tc>
        <w:tc>
          <w:tcPr>
            <w:tcW w:w="0" w:type="dxa"/>
            <w:vAlign w:val="bottom"/>
          </w:tcPr>
          <w:p>
            <w:pPr>
              <w:spacing w:after="0"/>
              <w:rPr>
                <w:sz w:val="1"/>
                <w:szCs w:val="1"/>
                <w:color w:val="auto"/>
              </w:rPr>
            </w:pPr>
          </w:p>
        </w:tc>
      </w:tr>
      <w:tr>
        <w:trPr>
          <w:trHeight w:val="350"/>
        </w:trPr>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2"/>
          </w:tcPr>
          <w:p>
            <w:pPr>
              <w:jc w:val="right"/>
              <w:ind w:right="1379"/>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On July 29, 2014, our board of directors approved the next quarterly dividend payment, at the rate of $0.155 per share, and set September 30, 2014 as the record date for determining the shareholders entitled to receive the dividend, which is payable on October 17, 2014.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During the nine months ended June 30, 2014 and 2013,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2014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940" w:type="dxa"/>
            <w:vAlign w:val="bottom"/>
            <w:gridSpan w:val="2"/>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60" w:type="dxa"/>
            <w:vAlign w:val="bottom"/>
          </w:tcPr>
          <w:p>
            <w:pPr>
              <w:spacing w:after="0"/>
              <w:rPr>
                <w:sz w:val="12"/>
                <w:szCs w:val="12"/>
                <w:color w:val="auto"/>
              </w:rPr>
            </w:pPr>
          </w:p>
        </w:tc>
        <w:tc>
          <w:tcPr>
            <w:tcW w:w="148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Average Price</w:t>
            </w: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940" w:type="dxa"/>
            <w:vAlign w:val="bottom"/>
            <w:tcBorders>
              <w:bottom w:val="single" w:sz="8" w:color="CCEEFF"/>
            </w:tcBorders>
            <w:gridSpan w:val="2"/>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Paid per Share</w:t>
            </w:r>
          </w:p>
        </w:tc>
        <w:tc>
          <w:tcPr>
            <w:tcW w:w="5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or Programs(1)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04/01/14-04/30/14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446,204</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446,204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896,441,833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color w:val="auto"/>
              </w:rPr>
              <w:t>05/01/14-05/31/14</w:t>
            </w:r>
          </w:p>
        </w:tc>
        <w:tc>
          <w:tcPr>
            <w:tcW w:w="1040" w:type="dxa"/>
            <w:vAlign w:val="bottom"/>
          </w:tcPr>
          <w:p>
            <w:pPr>
              <w:jc w:val="right"/>
              <w:spacing w:after="0"/>
              <w:rPr>
                <w:sz w:val="20"/>
                <w:szCs w:val="20"/>
                <w:color w:val="auto"/>
              </w:rPr>
            </w:pPr>
            <w:r>
              <w:rPr>
                <w:rFonts w:ascii="Arial" w:cs="Arial" w:eastAsia="Arial" w:hAnsi="Arial"/>
                <w:sz w:val="18"/>
                <w:szCs w:val="18"/>
                <w:color w:val="auto"/>
              </w:rPr>
              <w:t>794,100</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47.14</w:t>
            </w:r>
          </w:p>
        </w:tc>
        <w:tc>
          <w:tcPr>
            <w:tcW w:w="1700" w:type="dxa"/>
            <w:vAlign w:val="bottom"/>
            <w:gridSpan w:val="2"/>
          </w:tcPr>
          <w:p>
            <w:pPr>
              <w:ind w:left="540"/>
              <w:spacing w:after="0"/>
              <w:rPr>
                <w:sz w:val="20"/>
                <w:szCs w:val="20"/>
                <w:color w:val="auto"/>
              </w:rPr>
            </w:pPr>
            <w:r>
              <w:rPr>
                <w:rFonts w:ascii="Arial" w:cs="Arial" w:eastAsia="Arial" w:hAnsi="Arial"/>
                <w:sz w:val="18"/>
                <w:szCs w:val="18"/>
                <w:color w:val="auto"/>
              </w:rPr>
              <w:t>794,100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859,006,173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06/01/14-06/30/14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726,640</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48.12</w:t>
            </w: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726,640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824,041,039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1,966,944</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47.26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1,966,944</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824,041,039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November 2012, our board of directors adopted a share repurchase plan authorizing the repurchase of up to $500.0 million of our outstanding ordinary shares, which has no expiration date. In April 2014, our board of directors adopted another share repurchase plan authorizing the repurchase of up to $750.0 million of our outstanding ordinary shares. The April 2014 plan has no expiration date. Each one of the share repurchase plans permits us to purchase our ordinary shares in open market or privately negotiated transactions at times and prices we consider appropriate.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April 2014, the holders of our 0.50% senior convertible notes due 2024 tendered to us for repurchase $0.4 million principal amount of the $1.0 million aggregate principal amount then outstanding and we repurchased the tendered notes for cash. We funded these repurchases using cash on hand. As of June 30, 2014, $0.6 million principal amount of the notes remained as our obligations in accordance with their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on Form 6-K</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furnished or filed the following reports on Form 6-K during the three months ended June 30, 2014:</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Form 6-K dated May 1, 2014</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Form 6-K dated May 15,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5"/>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2019-12-06T19:36:16Z</dcterms:created>
  <dcterms:modified xsi:type="dcterms:W3CDTF">2019-12-06T19:36:16Z</dcterms:modified>
</cp:coreProperties>
</file>