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0"/>
        <w:spacing w:after="0"/>
        <w:rPr>
          <w:sz w:val="20"/>
          <w:szCs w:val="20"/>
          <w:color w:val="auto"/>
        </w:rPr>
      </w:pPr>
      <w:r>
        <w:rPr>
          <w:rFonts w:ascii="Courier New" w:cs="Courier New" w:eastAsia="Courier New" w:hAnsi="Courier New"/>
          <w:sz w:val="14"/>
          <w:szCs w:val="14"/>
          <w:color w:val="auto"/>
        </w:rPr>
        <w:t>As filed with the Securities and Exchange Commission on October 13, 2004</w:t>
      </w:r>
    </w:p>
    <w:p>
      <w:pPr>
        <w:spacing w:after="0" w:line="175" w:lineRule="exact"/>
        <w:rPr>
          <w:sz w:val="24"/>
          <w:szCs w:val="24"/>
          <w:color w:val="auto"/>
        </w:rPr>
      </w:pPr>
    </w:p>
    <w:p>
      <w:pPr>
        <w:jc w:val="right"/>
        <w:ind w:right="3279"/>
        <w:spacing w:after="0"/>
        <w:rPr>
          <w:sz w:val="20"/>
          <w:szCs w:val="20"/>
          <w:color w:val="auto"/>
        </w:rPr>
      </w:pPr>
      <w:r>
        <w:rPr>
          <w:rFonts w:ascii="Courier New" w:cs="Courier New" w:eastAsia="Courier New" w:hAnsi="Courier New"/>
          <w:sz w:val="14"/>
          <w:szCs w:val="14"/>
          <w:color w:val="auto"/>
        </w:rPr>
        <w:t>Registration Statement No. 333-114344</w:t>
      </w:r>
    </w:p>
    <w:p>
      <w:pPr>
        <w:spacing w:after="0" w:line="8" w:lineRule="exact"/>
        <w:rPr>
          <w:sz w:val="24"/>
          <w:szCs w:val="24"/>
          <w:color w:val="auto"/>
        </w:rPr>
      </w:pPr>
    </w:p>
    <w:p>
      <w:pPr>
        <w:jc w:val="right"/>
        <w:ind w:right="32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Post-Effective Amendment No. 1 to</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FORM F-3</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REGISTRATION STATEMENT UNDER</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SECURITIES ACT OF 1933</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ISLAND OF GUERNSEY</w:t>
            </w:r>
          </w:p>
        </w:tc>
        <w:tc>
          <w:tcPr>
            <w:tcW w:w="21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NOT APPLICABLE</w:t>
            </w:r>
          </w:p>
        </w:tc>
      </w:tr>
      <w:tr>
        <w:trPr>
          <w:trHeight w:val="167"/>
        </w:trPr>
        <w:tc>
          <w:tcPr>
            <w:tcW w:w="47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(State or other jurisdiction of incorporation or</w:t>
            </w:r>
          </w:p>
        </w:tc>
        <w:tc>
          <w:tcPr>
            <w:tcW w:w="21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4700" w:type="dxa"/>
            <w:vAlign w:val="bottom"/>
          </w:tcPr>
          <w:p>
            <w:pPr>
              <w:ind w:left="1480"/>
              <w:spacing w:after="0"/>
              <w:rPr>
                <w:sz w:val="20"/>
                <w:szCs w:val="20"/>
                <w:color w:val="auto"/>
              </w:rPr>
            </w:pPr>
            <w:r>
              <w:rPr>
                <w:rFonts w:ascii="Courier New" w:cs="Courier New" w:eastAsia="Courier New" w:hAnsi="Courier New"/>
                <w:sz w:val="14"/>
                <w:szCs w:val="14"/>
                <w:color w:val="auto"/>
              </w:rPr>
              <w:t>organization)</w:t>
            </w:r>
          </w:p>
        </w:tc>
        <w:tc>
          <w:tcPr>
            <w:tcW w:w="2160" w:type="dxa"/>
            <w:vAlign w:val="bottom"/>
          </w:tcPr>
          <w:p>
            <w:pPr>
              <w:ind w:left="520"/>
              <w:spacing w:after="0"/>
              <w:rPr>
                <w:sz w:val="20"/>
                <w:szCs w:val="20"/>
                <w:color w:val="auto"/>
              </w:rPr>
            </w:pPr>
            <w:r>
              <w:rPr>
                <w:rFonts w:ascii="Courier New" w:cs="Courier New" w:eastAsia="Courier New" w:hAnsi="Courier New"/>
                <w:sz w:val="14"/>
                <w:szCs w:val="14"/>
                <w:color w:val="auto"/>
              </w:rPr>
              <w:t>Identification No.)</w:t>
            </w:r>
          </w:p>
        </w:tc>
      </w:tr>
    </w:tbl>
    <w:p>
      <w:pPr>
        <w:spacing w:after="0" w:line="171"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SUITE 5, TOWER HILL HOUSE LE BORDAGE</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ST. PETER PORT, ISLAND OF GUERNSEY, GY1 3QT CHANNEL ISLANDS</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011-44-1481-728444</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(Address and telephone number of registrant's principal executive offices)</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AMDOCS, INC.</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1390 TIMBERLAKE MANOR PARKWAY, CHESTERFIELD, MISSOURI 63017</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ATTENTION: THOMAS G. O'BRIEN, TREASURER</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(314) 212-8328</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(Name, address and telephone number of agent for service)</w:t>
      </w:r>
    </w:p>
    <w:p>
      <w:pPr>
        <w:spacing w:after="0" w:line="175"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COMMISSION IS REQUESTED TO SEND COPIES OF ALL COMMUNICATIONS TO:</w:t>
      </w:r>
    </w:p>
    <w:p>
      <w:pPr>
        <w:spacing w:after="0" w:line="175"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ROBERT A. SCHWED, ESQ.</w:t>
      </w:r>
    </w:p>
    <w:p>
      <w:pPr>
        <w:spacing w:after="0" w:line="8" w:lineRule="exact"/>
        <w:rPr>
          <w:sz w:val="24"/>
          <w:szCs w:val="24"/>
          <w:color w:val="auto"/>
        </w:rPr>
      </w:pPr>
    </w:p>
    <w:p>
      <w:pPr>
        <w:ind w:left="1660"/>
        <w:spacing w:after="0"/>
        <w:rPr>
          <w:sz w:val="20"/>
          <w:szCs w:val="20"/>
          <w:color w:val="auto"/>
        </w:rPr>
      </w:pPr>
      <w:r>
        <w:rPr>
          <w:rFonts w:ascii="Courier New" w:cs="Courier New" w:eastAsia="Courier New" w:hAnsi="Courier New"/>
          <w:sz w:val="14"/>
          <w:szCs w:val="14"/>
          <w:color w:val="auto"/>
        </w:rPr>
        <w:t>WILMER CUTLER PICKERING HALE AND DORR LLP</w:t>
      </w:r>
    </w:p>
    <w:p>
      <w:pPr>
        <w:spacing w:after="0" w:line="8"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300 PARK AVENUE</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NEW YORK, NEW YORK 10022</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(212) 937-7200</w:t>
      </w:r>
    </w:p>
    <w:p>
      <w:pPr>
        <w:spacing w:after="0" w:line="175" w:lineRule="exact"/>
        <w:rPr>
          <w:sz w:val="24"/>
          <w:szCs w:val="24"/>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APPROXIMATE DATE OF COMMENCEMENT OF PROPOSED SALE TO PUBLIC: From time to time after this Registration Statement becomes effective.</w:t>
      </w:r>
    </w:p>
    <w:p>
      <w:pPr>
        <w:spacing w:after="0" w:line="160" w:lineRule="exact"/>
        <w:rPr>
          <w:sz w:val="24"/>
          <w:szCs w:val="24"/>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If the only securities being registered on this Form are being offered pursuant to dividend or interest reinvestment plans, please check the following box. [ ]</w:t>
      </w:r>
    </w:p>
    <w:p>
      <w:pPr>
        <w:spacing w:after="0" w:line="162" w:lineRule="exact"/>
        <w:rPr>
          <w:sz w:val="24"/>
          <w:szCs w:val="24"/>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63" w:lineRule="exact"/>
        <w:rPr>
          <w:sz w:val="24"/>
          <w:szCs w:val="24"/>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_________________</w:t>
      </w:r>
    </w:p>
    <w:p>
      <w:pPr>
        <w:spacing w:after="0" w:line="163" w:lineRule="exact"/>
        <w:rPr>
          <w:sz w:val="24"/>
          <w:szCs w:val="24"/>
          <w:color w:val="auto"/>
        </w:rPr>
      </w:pPr>
    </w:p>
    <w:p>
      <w:pPr>
        <w:jc w:val="both"/>
        <w:ind w:right="3539" w:firstLine="434"/>
        <w:spacing w:after="0" w:line="254" w:lineRule="auto"/>
        <w:rPr>
          <w:sz w:val="20"/>
          <w:szCs w:val="20"/>
          <w:color w:val="auto"/>
        </w:rPr>
      </w:pPr>
      <w:r>
        <w:rPr>
          <w:rFonts w:ascii="Courier New" w:cs="Courier New" w:eastAsia="Courier New" w:hAnsi="Courier New"/>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_________________</w:t>
      </w:r>
    </w:p>
    <w:p>
      <w:pPr>
        <w:spacing w:after="0" w:line="163" w:lineRule="exact"/>
        <w:rPr>
          <w:sz w:val="24"/>
          <w:szCs w:val="24"/>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If delivery of the prospectus is expected to be made pursuant to Rule 434, please check the following box. [ ]</w:t>
      </w:r>
    </w:p>
    <w:p>
      <w:pPr>
        <w:spacing w:after="0" w:line="160"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4"/>
          <w:szCs w:val="24"/>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HEREBY AMENDS THIS REGISTRATION STATEMENT ON SUCH DATE OR DATES AS MAY BE NECESSARY TO DELAY ITS EFFECTIVE DATE UNTIL THE COMPANY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33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64" w:right="1440" w:bottom="1440" w:gutter="0" w:footer="0" w:header="0"/>
        </w:sectPr>
      </w:pPr>
    </w:p>
    <w:bookmarkStart w:id="1" w:name="page2"/>
    <w:bookmarkEnd w:id="1"/>
    <w:p>
      <w:pPr>
        <w:ind w:left="2780"/>
        <w:spacing w:after="0"/>
        <w:rPr>
          <w:sz w:val="20"/>
          <w:szCs w:val="20"/>
          <w:color w:val="auto"/>
        </w:rPr>
      </w:pPr>
      <w:r>
        <w:rPr>
          <w:rFonts w:ascii="Courier New" w:cs="Courier New" w:eastAsia="Courier New" w:hAnsi="Courier New"/>
          <w:sz w:val="14"/>
          <w:szCs w:val="14"/>
          <w:color w:val="auto"/>
        </w:rPr>
        <w:t>EXPLANATORY NOTE</w:t>
      </w:r>
    </w:p>
    <w:p>
      <w:pPr>
        <w:spacing w:after="0" w:line="200" w:lineRule="exact"/>
        <w:rPr>
          <w:sz w:val="20"/>
          <w:szCs w:val="20"/>
          <w:color w:val="auto"/>
        </w:rPr>
      </w:pPr>
    </w:p>
    <w:p>
      <w:pPr>
        <w:spacing w:after="0" w:line="309"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This Post-Effective Amendment No. 1 to Form F-3 is being filed to add the names and respective holdings of certain selling securityholders in the table under the caption "Selling Securityholders". Certain other information included herein has also been updated.</w:t>
      </w:r>
    </w:p>
    <w:p>
      <w:pPr>
        <w:sectPr>
          <w:pgSz w:w="11900" w:h="16838" w:orient="portrait"/>
          <w:cols w:equalWidth="0" w:num="1">
            <w:col w:w="10239"/>
          </w:cols>
          <w:pgMar w:left="220" w:top="62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PROSPECTUS (Subject to completion)</w:t>
      </w:r>
    </w:p>
    <w:p>
      <w:pPr>
        <w:spacing w:after="0" w:line="34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$450,000,000</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0.50% CONVERTIBLE SENIOR NOTES DUE 2024</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10,435,995 ORDINARY SHARES ISSUABLE UPON CONVERSION OF THE NOTES</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Amdocs Limited, a company organized under the laws of the Island of Guernsey, issued $450,000,000 aggregate principal amount of its 0.50% Convertible Senior Notes due 2024 in a private placement on March 5, 2004 to the initial purchasers. The initial purchasers resold the notes to qualified institutional buyers in accordance with Rule 144A under the Securities Act of 1933, as amended. This prospectus will be used by the selling securityholders from time to time to resell their notes and any ordinary shares issuable upon conversion of the notes. We will not receive any proceeds from the sale of the notes or any ordinary shares issuable upon conversion of the notes offered by this prospectus.</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notes bear regular interest at 0.50% per annum on the principal amount from March 5, 2004. Regular interest is payable semi-annually on March 15 and September 15 of each year, beginning September 15, 2004. The notes are unsecured and unsubordinated obligations of Amdocs Limited and will rank equal in priority with all of its other existing and future unsecured and unsubordinated indebtedness and senior in right of payment to all of its existing and future subordinated indebtedness.</w:t>
      </w:r>
    </w:p>
    <w:p>
      <w:pPr>
        <w:spacing w:after="0" w:line="16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Holders may convert each note for a number of ordinary shares, which we refer to as the conversion rate, as follows:</w:t>
      </w:r>
    </w:p>
    <w:p>
      <w:pPr>
        <w:spacing w:after="0" w:line="160" w:lineRule="exact"/>
        <w:rPr>
          <w:sz w:val="20"/>
          <w:szCs w:val="20"/>
          <w:color w:val="auto"/>
        </w:rPr>
      </w:pPr>
    </w:p>
    <w:p>
      <w:pPr>
        <w:ind w:left="1220" w:right="3279" w:hanging="430"/>
        <w:spacing w:after="0" w:line="254"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fiscal quarter commencing after March 31, 2004, and only during that quarter if the closing sale price of our ordinary shares exceeds 130% of the conversion price for at least 20 trading days in the 30 consecutive trading days ending on the last trading day of the preceding fiscal quarter (initially 130% of $43.12, or $56.06),</w:t>
      </w:r>
    </w:p>
    <w:p>
      <w:pPr>
        <w:spacing w:after="0" w:line="329" w:lineRule="exact"/>
        <w:rPr>
          <w:rFonts w:ascii="Courier New" w:cs="Courier New" w:eastAsia="Courier New" w:hAnsi="Courier New"/>
          <w:sz w:val="14"/>
          <w:szCs w:val="14"/>
          <w:color w:val="auto"/>
        </w:rPr>
      </w:pPr>
    </w:p>
    <w:p>
      <w:pPr>
        <w:ind w:left="1220" w:right="3279" w:hanging="430"/>
        <w:spacing w:after="0" w:line="258"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credit rating events with respect to the notes;</w:t>
      </w:r>
    </w:p>
    <w:p>
      <w:pPr>
        <w:spacing w:after="0" w:line="159" w:lineRule="exact"/>
        <w:rPr>
          <w:rFonts w:ascii="Courier New" w:cs="Courier New" w:eastAsia="Courier New" w:hAnsi="Courier New"/>
          <w:sz w:val="14"/>
          <w:szCs w:val="14"/>
          <w:color w:val="auto"/>
        </w:rPr>
      </w:pPr>
    </w:p>
    <w:p>
      <w:pPr>
        <w:ind w:left="1220" w:right="3279" w:hanging="430"/>
        <w:spacing w:after="0" w:line="253"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certain exceptions, during the five business day period after any five consecutive trading day period (the "measurement period") in which the trading price per note for each day of that measurement period was less than 98% of the product of the closing sale price of our ordinary shares and the conversion rate; provided, however, holders may not convert their notes (in reliance on this subsection) if on any trading day during such measurement period the closing sale price of our ordinary shares was between 100% and 130% of the then current conversion price of the notes (initially, between $43.12 and $56.06),</w:t>
      </w:r>
    </w:p>
    <w:p>
      <w:pPr>
        <w:spacing w:after="0" w:line="164"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notes have been called for redemption, or</w:t>
      </w:r>
    </w:p>
    <w:p>
      <w:pPr>
        <w:spacing w:after="0" w:line="175" w:lineRule="exact"/>
        <w:rPr>
          <w:rFonts w:ascii="Courier New" w:cs="Courier New" w:eastAsia="Courier New" w:hAnsi="Courier New"/>
          <w:sz w:val="14"/>
          <w:szCs w:val="14"/>
          <w:color w:val="auto"/>
        </w:rPr>
      </w:pPr>
    </w:p>
    <w:p>
      <w:pPr>
        <w:ind w:left="1220" w:right="3379" w:hanging="430"/>
        <w:spacing w:after="0" w:line="255"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corporate events described under "Description of Notes--Conversion of Notes--Conversion Upon Specified Corporate Transactions."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Beginning March 20, 2009, we may redeem any of the notes at a redemption price equal to 100% of their principal amount, plus accrued and unpaid interest. Holders may require us to repurchase some or all of their notes at a repurchase price equal to 100% of their principal amount plus accrued and unpaid interest and liquidated damages, if any, on March 15 of 2009, 2014 and 2019 or at any time prior to their maturity following a designated event, as defined herein.</w:t>
      </w:r>
    </w:p>
    <w:p>
      <w:pPr>
        <w:sectPr>
          <w:pgSz w:w="11900" w:h="16838" w:orient="portrait"/>
          <w:cols w:equalWidth="0" w:num="1">
            <w:col w:w="10239"/>
          </w:cols>
          <w:pgMar w:left="220" w:top="1121" w:right="1440" w:bottom="1440" w:gutter="0" w:footer="0" w:header="0"/>
        </w:sectPr>
      </w:pPr>
    </w:p>
    <w:bookmarkStart w:id="3" w:name="page4"/>
    <w:bookmarkEnd w:id="3"/>
    <w:p>
      <w:pPr>
        <w:ind w:right="3279" w:firstLine="781"/>
        <w:spacing w:after="0" w:line="254" w:lineRule="auto"/>
        <w:rPr>
          <w:sz w:val="20"/>
          <w:szCs w:val="20"/>
          <w:color w:val="auto"/>
        </w:rPr>
      </w:pPr>
      <w:r>
        <w:rPr>
          <w:rFonts w:ascii="Courier New" w:cs="Courier New" w:eastAsia="Courier New" w:hAnsi="Courier New"/>
          <w:sz w:val="14"/>
          <w:szCs w:val="14"/>
          <w:color w:val="auto"/>
        </w:rPr>
        <w:t>The initial conversion rate for the notes is 23.1911 ordinary shares per $1,000 principal amount of notes, subject to adjustment as described in this prospectus, which represents an initial conversion price of approximately $43.12 per share.</w:t>
      </w:r>
    </w:p>
    <w:p>
      <w:pPr>
        <w:spacing w:after="0" w:line="33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Our ordinary shares are traded on the New York Stock Exchange under the symbol "DOX." On October 12, 2004, the closing sale price of our ordinary shares on the New York Stock Exchange was $21.38 per share. You are urged to obtain current market quotations for our ordinary shares.</w:t>
      </w:r>
    </w:p>
    <w:p>
      <w:pPr>
        <w:spacing w:after="0" w:line="330"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For a more detailed description of the notes, see "Description of Notes" beginning on page 25.</w:t>
      </w:r>
    </w:p>
    <w:p>
      <w:pPr>
        <w:spacing w:after="0" w:line="160"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SEE "RISK FACTORS" BEGINNING ON PAGE 9 TO READ ABOUT FACTORS YOU SHOULD CONSIDER</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BEFORE INVESTING IN THE NOTES OR OUR ORDINARY SHARES.</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NEITHER THE SECURITIES AND EXCHANGE COMMISSION NOR ANY STATE SECURITIES</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501"/>
        </w:trPr>
        <w:tc>
          <w:tcPr>
            <w:tcW w:w="36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THE DATE OF THIS PROSPECTUS IS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 2004.</w:t>
            </w:r>
          </w:p>
        </w:tc>
      </w:tr>
    </w:tbl>
    <w:p>
      <w:pPr>
        <w:sectPr>
          <w:pgSz w:w="11900" w:h="16838" w:orient="portrait"/>
          <w:cols w:equalWidth="0" w:num="1">
            <w:col w:w="10239"/>
          </w:cols>
          <w:pgMar w:left="220" w:top="620" w:right="1440" w:bottom="1440" w:gutter="0" w:footer="0" w:header="0"/>
        </w:sectPr>
      </w:pPr>
    </w:p>
    <w:bookmarkStart w:id="4" w:name="page5"/>
    <w:bookmarkEnd w:id="4"/>
    <w:p>
      <w:pPr>
        <w:ind w:left="27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9"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4"/>
          <w:szCs w:val="14"/>
          <w:color w:val="auto"/>
        </w:rPr>
        <w:t>PAGE</w:t>
      </w:r>
    </w:p>
    <w:p>
      <w:pPr>
        <w:spacing w:after="0" w:line="8"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PROSPECTUS SUMMARY</w:t>
      </w:r>
      <w:r>
        <w:rPr>
          <w:sz w:val="20"/>
          <w:szCs w:val="20"/>
          <w:color w:val="auto"/>
        </w:rPr>
        <w:tab/>
      </w:r>
      <w:r>
        <w:rPr>
          <w:rFonts w:ascii="Courier New" w:cs="Courier New" w:eastAsia="Courier New" w:hAnsi="Courier New"/>
          <w:sz w:val="13"/>
          <w:szCs w:val="13"/>
          <w:color w:val="auto"/>
        </w:rPr>
        <w:t>1</w:t>
      </w:r>
    </w:p>
    <w:p>
      <w:pPr>
        <w:spacing w:after="0" w:line="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THE OFFERING</w:t>
      </w:r>
      <w:r>
        <w:rPr>
          <w:sz w:val="20"/>
          <w:szCs w:val="20"/>
          <w:color w:val="auto"/>
        </w:rPr>
        <w:tab/>
      </w:r>
      <w:r>
        <w:rPr>
          <w:rFonts w:ascii="Courier New" w:cs="Courier New" w:eastAsia="Courier New" w:hAnsi="Courier New"/>
          <w:sz w:val="13"/>
          <w:szCs w:val="13"/>
          <w:color w:val="auto"/>
        </w:rPr>
        <w:t>3</w:t>
      </w:r>
    </w:p>
    <w:p>
      <w:pPr>
        <w:spacing w:after="0" w:line="8"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SUMMARY HISTORICAL CONSOLIDATED FINANCIAL INFORMATION</w:t>
        <w:tab/>
        <w:t>..................</w:t>
      </w:r>
    </w:p>
    <w:p>
      <w:pPr>
        <w:spacing w:after="0" w:line="8"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4"/>
          <w:szCs w:val="14"/>
          <w:color w:val="auto"/>
        </w:rPr>
        <w:t>RATIO OF EARNINGS TO FIXED CHARGES</w:t>
        <w:tab/>
        <w:t>.....................................</w:t>
      </w:r>
    </w:p>
    <w:p>
      <w:pPr>
        <w:spacing w:after="0" w:line="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RISK FACTORS</w:t>
        <w:tab/>
        <w:t>...........................................................</w:t>
      </w:r>
    </w:p>
    <w:p>
      <w:pPr>
        <w:spacing w:after="0" w:line="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SPECIAL NOTE REGARDING FORWARD-LOOKING INFORMATION</w:t>
      </w:r>
      <w:r>
        <w:rPr>
          <w:sz w:val="20"/>
          <w:szCs w:val="20"/>
          <w:color w:val="auto"/>
        </w:rPr>
        <w:tab/>
      </w:r>
      <w:r>
        <w:rPr>
          <w:rFonts w:ascii="Courier New" w:cs="Courier New" w:eastAsia="Courier New" w:hAnsi="Courier New"/>
          <w:sz w:val="13"/>
          <w:szCs w:val="13"/>
          <w:color w:val="auto"/>
        </w:rPr>
        <w:t>8</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OFFERING STATISTICS AND TIMETABLE</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REASONS FOR THE OFFER AND USE OF PROCEEDS</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DIVIDEND POLICY</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THE OFFER AND LISTING</w:t>
      </w:r>
      <w:r>
        <w:rPr>
          <w:sz w:val="20"/>
          <w:szCs w:val="20"/>
          <w:color w:val="auto"/>
        </w:rPr>
        <w:tab/>
      </w:r>
      <w:r>
        <w:rPr>
          <w:rFonts w:ascii="Courier New" w:cs="Courier New" w:eastAsia="Courier New" w:hAnsi="Courier New"/>
          <w:sz w:val="14"/>
          <w:szCs w:val="14"/>
          <w:color w:val="auto"/>
        </w:rPr>
        <w:t>22</w:t>
      </w:r>
    </w:p>
    <w:p>
      <w:pPr>
        <w:spacing w:after="0" w:line="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MATERIAL CHANGES</w:t>
        <w:tab/>
        <w:t>.......................................................</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CAPITALIZATION</w:t>
      </w:r>
      <w:r>
        <w:rPr>
          <w:sz w:val="20"/>
          <w:szCs w:val="20"/>
          <w:color w:val="auto"/>
        </w:rPr>
        <w:tab/>
      </w:r>
      <w:r>
        <w:rPr>
          <w:rFonts w:ascii="Courier New" w:cs="Courier New" w:eastAsia="Courier New" w:hAnsi="Courier New"/>
          <w:sz w:val="14"/>
          <w:szCs w:val="14"/>
          <w:color w:val="auto"/>
        </w:rPr>
        <w:t>24</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DESCRIPTION OF NOTES</w:t>
      </w:r>
      <w:r>
        <w:rPr>
          <w:sz w:val="20"/>
          <w:szCs w:val="20"/>
          <w:color w:val="auto"/>
        </w:rPr>
        <w:tab/>
      </w:r>
      <w:r>
        <w:rPr>
          <w:rFonts w:ascii="Courier New" w:cs="Courier New" w:eastAsia="Courier New" w:hAnsi="Courier New"/>
          <w:sz w:val="14"/>
          <w:szCs w:val="14"/>
          <w:color w:val="auto"/>
        </w:rPr>
        <w:t>25</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DESCRIPTION OF SHARE CAPITAL</w:t>
      </w:r>
      <w:r>
        <w:rPr>
          <w:sz w:val="20"/>
          <w:szCs w:val="20"/>
          <w:color w:val="auto"/>
        </w:rPr>
        <w:tab/>
      </w:r>
      <w:r>
        <w:rPr>
          <w:rFonts w:ascii="Courier New" w:cs="Courier New" w:eastAsia="Courier New" w:hAnsi="Courier New"/>
          <w:sz w:val="14"/>
          <w:szCs w:val="14"/>
          <w:color w:val="auto"/>
        </w:rPr>
        <w:t>43</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COMPARISON OF UNITED STATES AND GUERNSEY CORPORATE LAW</w:t>
      </w:r>
      <w:r>
        <w:rPr>
          <w:sz w:val="20"/>
          <w:szCs w:val="20"/>
          <w:color w:val="auto"/>
        </w:rPr>
        <w:tab/>
      </w:r>
      <w:r>
        <w:rPr>
          <w:rFonts w:ascii="Courier New" w:cs="Courier New" w:eastAsia="Courier New" w:hAnsi="Courier New"/>
          <w:sz w:val="14"/>
          <w:szCs w:val="14"/>
          <w:color w:val="auto"/>
        </w:rPr>
        <w:t>45</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CERTAIN UNITED STATES FEDERAL INCOME TAX CONSIDERATIONS</w:t>
      </w:r>
      <w:r>
        <w:rPr>
          <w:sz w:val="20"/>
          <w:szCs w:val="20"/>
          <w:color w:val="auto"/>
        </w:rPr>
        <w:tab/>
      </w:r>
      <w:r>
        <w:rPr>
          <w:rFonts w:ascii="Courier New" w:cs="Courier New" w:eastAsia="Courier New" w:hAnsi="Courier New"/>
          <w:sz w:val="14"/>
          <w:szCs w:val="14"/>
          <w:color w:val="auto"/>
        </w:rPr>
        <w:t>47</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CERTAIN GUERNSEY TAX CONSIDERATIONS</w:t>
      </w:r>
      <w:r>
        <w:rPr>
          <w:sz w:val="20"/>
          <w:szCs w:val="20"/>
          <w:color w:val="auto"/>
        </w:rPr>
        <w:tab/>
      </w:r>
      <w:r>
        <w:rPr>
          <w:rFonts w:ascii="Courier New" w:cs="Courier New" w:eastAsia="Courier New" w:hAnsi="Courier New"/>
          <w:sz w:val="14"/>
          <w:szCs w:val="14"/>
          <w:color w:val="auto"/>
        </w:rPr>
        <w:t>51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SELLING SECURITYHOLDERS</w:t>
      </w:r>
      <w:r>
        <w:rPr>
          <w:sz w:val="20"/>
          <w:szCs w:val="20"/>
          <w:color w:val="auto"/>
        </w:rPr>
        <w:tab/>
      </w:r>
      <w:r>
        <w:rPr>
          <w:rFonts w:ascii="Courier New" w:cs="Courier New" w:eastAsia="Courier New" w:hAnsi="Courier New"/>
          <w:sz w:val="14"/>
          <w:szCs w:val="14"/>
          <w:color w:val="auto"/>
        </w:rPr>
        <w:t>52</w:t>
      </w:r>
    </w:p>
    <w:p>
      <w:pPr>
        <w:spacing w:after="0" w:line="8" w:lineRule="exact"/>
        <w:rPr>
          <w:sz w:val="20"/>
          <w:szCs w:val="20"/>
          <w:color w:val="auto"/>
        </w:rPr>
      </w:pPr>
    </w:p>
    <w:p>
      <w:pPr>
        <w:spacing w:after="0"/>
        <w:tabs>
          <w:tab w:leader="none" w:pos="2680" w:val="left"/>
        </w:tabs>
        <w:rPr>
          <w:sz w:val="20"/>
          <w:szCs w:val="20"/>
          <w:color w:val="auto"/>
        </w:rPr>
      </w:pPr>
      <w:r>
        <w:rPr>
          <w:rFonts w:ascii="Courier New" w:cs="Courier New" w:eastAsia="Courier New" w:hAnsi="Courier New"/>
          <w:sz w:val="14"/>
          <w:szCs w:val="14"/>
          <w:color w:val="auto"/>
        </w:rPr>
        <w:t>VOTING/INVESTMENT CONTROL TABLE</w:t>
        <w:tab/>
        <w:t>........................................</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PLAN OF DISTRIBUTION</w:t>
      </w:r>
      <w:r>
        <w:rPr>
          <w:sz w:val="20"/>
          <w:szCs w:val="20"/>
          <w:color w:val="auto"/>
        </w:rPr>
        <w:tab/>
      </w:r>
      <w:r>
        <w:rPr>
          <w:rFonts w:ascii="Courier New" w:cs="Courier New" w:eastAsia="Courier New" w:hAnsi="Courier New"/>
          <w:sz w:val="14"/>
          <w:szCs w:val="14"/>
          <w:color w:val="auto"/>
        </w:rPr>
        <w:t>55</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LEGAL MATTERS</w:t>
      </w:r>
      <w:r>
        <w:rPr>
          <w:sz w:val="20"/>
          <w:szCs w:val="20"/>
          <w:color w:val="auto"/>
        </w:rPr>
        <w:tab/>
      </w:r>
      <w:r>
        <w:rPr>
          <w:rFonts w:ascii="Courier New" w:cs="Courier New" w:eastAsia="Courier New" w:hAnsi="Courier New"/>
          <w:sz w:val="14"/>
          <w:szCs w:val="14"/>
          <w:color w:val="auto"/>
        </w:rPr>
        <w:t>57</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EXPERTS</w:t>
      </w:r>
      <w:r>
        <w:rPr>
          <w:sz w:val="20"/>
          <w:szCs w:val="20"/>
          <w:color w:val="auto"/>
        </w:rPr>
        <w:tab/>
      </w:r>
      <w:r>
        <w:rPr>
          <w:rFonts w:ascii="Courier New" w:cs="Courier New" w:eastAsia="Courier New" w:hAnsi="Courier New"/>
          <w:sz w:val="14"/>
          <w:szCs w:val="14"/>
          <w:color w:val="auto"/>
        </w:rPr>
        <w:t>57</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ENFORCEABILITY OF CIVIL LIABILITIES</w:t>
      </w:r>
      <w:r>
        <w:rPr>
          <w:sz w:val="20"/>
          <w:szCs w:val="20"/>
          <w:color w:val="auto"/>
        </w:rPr>
        <w:tab/>
      </w:r>
      <w:r>
        <w:rPr>
          <w:rFonts w:ascii="Courier New" w:cs="Courier New" w:eastAsia="Courier New" w:hAnsi="Courier New"/>
          <w:sz w:val="14"/>
          <w:szCs w:val="14"/>
          <w:color w:val="auto"/>
        </w:rPr>
        <w:t>57</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INCORPORATION OF DOCUMENTS BY REFERENCE</w:t>
      </w:r>
      <w:r>
        <w:rPr>
          <w:sz w:val="20"/>
          <w:szCs w:val="20"/>
          <w:color w:val="auto"/>
        </w:rPr>
        <w:tab/>
      </w:r>
      <w:r>
        <w:rPr>
          <w:rFonts w:ascii="Courier New" w:cs="Courier New" w:eastAsia="Courier New" w:hAnsi="Courier New"/>
          <w:sz w:val="14"/>
          <w:szCs w:val="14"/>
          <w:color w:val="auto"/>
        </w:rPr>
        <w:t>58</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WHERE YOU CAN FIND MORE INFORMATION</w:t>
      </w:r>
      <w:r>
        <w:rPr>
          <w:sz w:val="20"/>
          <w:szCs w:val="20"/>
          <w:color w:val="auto"/>
        </w:rPr>
        <w:tab/>
      </w:r>
      <w:r>
        <w:rPr>
          <w:rFonts w:ascii="Courier New" w:cs="Courier New" w:eastAsia="Courier New" w:hAnsi="Courier New"/>
          <w:sz w:val="14"/>
          <w:szCs w:val="14"/>
          <w:color w:val="auto"/>
        </w:rPr>
        <w:t>58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UNAUDITED CONSOLIDATED FINANCIAL STATEMENTS FOR THE THREE AND NINE</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MONTH PERIODS ENDED JUNE 30, 2004</w:t>
      </w:r>
      <w:r>
        <w:rPr>
          <w:sz w:val="20"/>
          <w:szCs w:val="20"/>
          <w:color w:val="auto"/>
        </w:rPr>
        <w:tab/>
      </w:r>
      <w:r>
        <w:rPr>
          <w:rFonts w:ascii="Courier New" w:cs="Courier New" w:eastAsia="Courier New" w:hAnsi="Courier New"/>
          <w:sz w:val="14"/>
          <w:szCs w:val="14"/>
          <w:color w:val="auto"/>
        </w:rPr>
        <w:t>59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AND FINANCIAL REVIEW AND PROSPECTS FOR THE THREE AND NINE</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MONTH PERIODS ENDED JUNE 30, 2004</w:t>
      </w:r>
      <w:r>
        <w:rPr>
          <w:sz w:val="20"/>
          <w:szCs w:val="20"/>
          <w:color w:val="auto"/>
        </w:rPr>
        <w:tab/>
      </w:r>
      <w:r>
        <w:rPr>
          <w:rFonts w:ascii="Courier New" w:cs="Courier New" w:eastAsia="Courier New" w:hAnsi="Courier New"/>
          <w:sz w:val="14"/>
          <w:szCs w:val="14"/>
          <w:color w:val="auto"/>
        </w:rPr>
        <w:t>76</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not authorized anyone to provide you with information different from that contained or incorporated by reference in this prospectus. The selling securityholders are offering to sell, and seeking offers to buy, the securities only in jurisdictions where offers and sales are permitted. The information contained in this prospectus is accurate only as of the date of this prospectus, regardless of the time of delivery of this prospectus or of any sale of the securities.</w:t>
      </w:r>
    </w:p>
    <w:p>
      <w:pPr>
        <w:spacing w:after="0" w:line="33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620" w:right="1440" w:bottom="1440"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ind w:left="2700"/>
        <w:spacing w:after="0"/>
        <w:rPr>
          <w:sz w:val="20"/>
          <w:szCs w:val="20"/>
          <w:color w:val="auto"/>
        </w:rPr>
      </w:pPr>
      <w:r>
        <w:rPr>
          <w:rFonts w:ascii="Courier New" w:cs="Courier New" w:eastAsia="Courier New" w:hAnsi="Courier New"/>
          <w:sz w:val="14"/>
          <w:szCs w:val="14"/>
          <w:color w:val="auto"/>
        </w:rPr>
        <w:t>PROSPECTUS SUMMARY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This summary highlights selected information about us and the notes and is not intended to be complete. It does not contain all the information that you should consider before investing in the notes. You should read carefully this entire prospectus, including "Risk Factors" and our consolidated financial statements and related notes and the other documents that we incorporate by reference into this prospectus before making an investment decision.</w:t>
      </w:r>
    </w:p>
    <w:p>
      <w:pPr>
        <w:spacing w:after="0" w:line="16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market focus is primarily the communications industry, and we are a leading provider of software products and services to major communications companies in North America, Europe and the rest of the world. Our products and services provide an integrated approach to customer management, which we refer to as Integrated Customer Management. Our Integrated Customer Management product offerings consist primarily of billing and customer relationship management systems, which we refer to, collectively, as CC&amp;B Systems. Our portfolio also includes a full range of directory sales and publishing systems for publishers of both traditional printed yellow page and white page directories and electronic Internet directories.</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Integrated Customer Management systems are designed to meet the mission-critical needs of leading communications service providers, which include customer relationship management, order management, call rating, invoice calculation and preparation, bill formatting, collections, partner relationship management and directory publishing services. We support a wide range of communications services, including wireline, wireless, voice, data, broadband, content, electronic and mobile commerce and Internet Protocol based services. We also support companies that offer multiple service packages, commonly referred to as bundled or convergent services. Due to the complexity of our customers' projects and the expertise required for system support, we also provide extensive system implementation, integration, modification, ongoing support,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w:t>
      </w:r>
    </w:p>
    <w:p>
      <w:pPr>
        <w:spacing w:after="0" w:line="17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companies and wireless companies.</w:t>
      </w:r>
    </w:p>
    <w:p>
      <w:pPr>
        <w:spacing w:after="0" w:line="331" w:lineRule="exact"/>
        <w:rPr>
          <w:sz w:val="20"/>
          <w:szCs w:val="20"/>
          <w:color w:val="auto"/>
        </w:rPr>
      </w:pPr>
    </w:p>
    <w:p>
      <w:pPr>
        <w:jc w:val="both"/>
        <w:ind w:right="3979" w:firstLine="781"/>
        <w:spacing w:after="0" w:line="254" w:lineRule="auto"/>
        <w:rPr>
          <w:sz w:val="20"/>
          <w:szCs w:val="20"/>
          <w:color w:val="auto"/>
        </w:rPr>
      </w:pPr>
      <w:r>
        <w:rPr>
          <w:rFonts w:ascii="Courier New" w:cs="Courier New" w:eastAsia="Courier New" w:hAnsi="Courier New"/>
          <w:sz w:val="14"/>
          <w:szCs w:val="14"/>
          <w:color w:val="auto"/>
        </w:rPr>
        <w:t>Our goal is to provide advanced information technology software products and related customer service and support to the world's leading communications companies. We seek to accomplish our goal by pursuing the strategies described below.</w:t>
      </w:r>
    </w:p>
    <w:p>
      <w:pPr>
        <w:spacing w:after="0" w:line="330" w:lineRule="exact"/>
        <w:rPr>
          <w:sz w:val="20"/>
          <w:szCs w:val="20"/>
          <w:color w:val="auto"/>
        </w:rPr>
      </w:pPr>
    </w:p>
    <w:p>
      <w:pPr>
        <w:ind w:left="1220" w:right="3379" w:hanging="430"/>
        <w:spacing w:after="0" w:line="253" w:lineRule="auto"/>
        <w:tabs>
          <w:tab w:leader="none" w:pos="12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Focus on the Communications Industry. We intend to continue to concentrate our main resources and efforts on providing strategic information systems to the communications industry. This strategy has enabled us to develop the specialized industry know-how and capability necessary to deliver the technologically advanced, large-scale, specifications-intensive information systems solutions required by the leading communications companies in the wireless, wireline and convergent service sectors.</w:t>
      </w:r>
    </w:p>
    <w:p>
      <w:pPr>
        <w:spacing w:after="0" w:line="331" w:lineRule="exact"/>
        <w:rPr>
          <w:rFonts w:ascii="Courier New" w:cs="Courier New" w:eastAsia="Courier New" w:hAnsi="Courier New"/>
          <w:sz w:val="14"/>
          <w:szCs w:val="14"/>
          <w:color w:val="auto"/>
        </w:rPr>
      </w:pPr>
    </w:p>
    <w:p>
      <w:pPr>
        <w:ind w:left="1220" w:right="3539" w:hanging="430"/>
        <w:spacing w:after="0" w:line="254" w:lineRule="auto"/>
        <w:tabs>
          <w:tab w:leader="none" w:pos="12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Industry Leaders. We intend to continue to direct our marketing efforts principally towards the major communications companies. We derive a significant portion of our revenues from our customer base of major communications companies in North America, Europe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20" w:right="1440" w:bottom="1440" w:gutter="0" w:footer="0" w:header="0"/>
        </w:sectPr>
      </w:pPr>
    </w:p>
    <w:bookmarkStart w:id="7" w:name="page8"/>
    <w:bookmarkEnd w:id="7"/>
    <w:p>
      <w:pPr>
        <w:ind w:left="1220" w:right="3279"/>
        <w:spacing w:after="0" w:line="253" w:lineRule="auto"/>
        <w:rPr>
          <w:sz w:val="20"/>
          <w:szCs w:val="20"/>
          <w:color w:val="auto"/>
        </w:rPr>
      </w:pPr>
      <w:r>
        <w:rPr>
          <w:rFonts w:ascii="Courier New" w:cs="Courier New" w:eastAsia="Courier New" w:hAnsi="Courier New"/>
          <w:sz w:val="14"/>
          <w:szCs w:val="14"/>
          <w:color w:val="auto"/>
        </w:rPr>
        <w:t>and the Asia-Pacific region. We believe that the development of this premier customer base has helped position us as a market leader, while contributing to the core strength of our business. By targeting industry leaders that require the most sophisticated information systems solutions, we believe that we are best able to ensure that we remain at the forefront of developments in the industry.</w:t>
      </w:r>
    </w:p>
    <w:p>
      <w:pPr>
        <w:spacing w:after="0" w:line="165" w:lineRule="exact"/>
        <w:rPr>
          <w:sz w:val="20"/>
          <w:szCs w:val="20"/>
          <w:color w:val="auto"/>
        </w:rPr>
      </w:pPr>
    </w:p>
    <w:p>
      <w:pPr>
        <w:ind w:left="1220" w:right="3279" w:hanging="430"/>
        <w:spacing w:after="0" w:line="253"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Integrated Products and Services Solutions. Our strategy is to provide customers with total systems solutions consisting of our Integrated Customer Management products and our specialized services. By leveraging our product and industry knowledge, we believe that we can provide effective system integration and implementation services as well as Managed Services to our customers.</w:t>
      </w:r>
    </w:p>
    <w:p>
      <w:pPr>
        <w:spacing w:after="0" w:line="164" w:lineRule="exact"/>
        <w:rPr>
          <w:rFonts w:ascii="Courier New" w:cs="Courier New" w:eastAsia="Courier New" w:hAnsi="Courier New"/>
          <w:sz w:val="14"/>
          <w:szCs w:val="14"/>
          <w:color w:val="auto"/>
        </w:rPr>
      </w:pPr>
    </w:p>
    <w:p>
      <w:pPr>
        <w:ind w:left="1220" w:right="3279" w:hanging="430"/>
        <w:spacing w:after="0" w:line="253"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Customers with a Broad, Integrated Suite of Products. We seek to provide our customers with a broad suite of products to meet all their Integrated Customer Management needs.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163" w:lineRule="exact"/>
        <w:rPr>
          <w:rFonts w:ascii="Courier New" w:cs="Courier New" w:eastAsia="Courier New" w:hAnsi="Courier New"/>
          <w:sz w:val="14"/>
          <w:szCs w:val="14"/>
          <w:color w:val="auto"/>
        </w:rPr>
      </w:pPr>
    </w:p>
    <w:p>
      <w:pPr>
        <w:ind w:left="1220" w:right="3379" w:hanging="430"/>
        <w:spacing w:after="0" w:line="253"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164"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were organized under the laws of the Island of Guernsey in 1988. Since 1995, Amdocs Limited has been a holding company for the various subsidiaries that conduct our business on a worldwide basis. Our registered office is located in Suite 5, Tower Hill House Le Bordage, St. Peter Port, Island of Guernsey, GY1 3QT Channel Islands, and the telephone number at that location is 011-44-1481-728444. The executive offices of our principal subsidiary in the United States are located at 1390 Timberlake Manor Parkway, Chesterfield, Missouri 63017, and the telephone number at that location is (314) 212-8328. We maintain a website at www.amdocs.com. We are not incorporating the information contained in our website as part of, or incorporating it by reference into, this prospectus.</w:t>
      </w:r>
    </w:p>
    <w:p>
      <w:pPr>
        <w:spacing w:after="0" w:line="331"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RECENT DEVELOPMENTS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May 3, 2004, we announced a cash offer for our 2% Convertible Notes Due June 1, 2008, which we refer to as the 2% Notes. Pursuant to the indenture for the 2% Notes, each holder of the 2% Notes had the right to require us to repurchase on June 1, 2004 all or any part of such holder's 2% Notes at a price equal to 100% of the principal amount plus accrued and unpaid interest. Under the terms of the 2% Notes, we had the option to pay for the 2% Notes with cash, ordinary shares, or a combination of cash and ordinary shares, and we elected to pay for the 2% Notes solely with cash. As of April 30, 2004, there was $395.5 million aggregate principal amount of notes outstanding.</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June 1, 2004, we announced that the offer had expired and that we had accepted for purchase $395,110,000 in aggregate principal amount of the 2% Notes, which constituted all of the 2% Notes validly tendered and not withdrawn, at a purchase price of $1,000 per $1,000 of principal amount of the 2% Notes. Payment for the 2% Notes was made with available cash. The untendered principal amount of 2% Notes remain as obligations of the Company, due June 1, 2008, in accordance with their terms.</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July 28, 2004, we announced that our Board of Directors had extended our share repurchase program for the additional repurchase of up to $100 million of our ordinary shares in open market or privately negotiated transactions and at times and prices we deem appropriate. In accordance with this extension, as of October 12, 2004, we had repurchased approximately 4.9 million ordinary shares, at an average price of $20.40 per share.</w:t>
      </w:r>
    </w:p>
    <w:p>
      <w:pPr>
        <w:spacing w:after="0" w:line="33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Unless the context otherwise requires, references in this prospectus to "Amdocs," "we," "us," and "our" refer to Amdocs Limited and its subsidiaries.</w:t>
      </w:r>
    </w:p>
    <w:p>
      <w:pPr>
        <w:spacing w:after="0" w:line="160"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0" w:gutter="0" w:footer="0" w:header="0"/>
        </w:sectPr>
      </w:pPr>
    </w:p>
    <w:bookmarkStart w:id="8" w:name="page9"/>
    <w:bookmarkEnd w:id="8"/>
    <w:p>
      <w:pPr>
        <w:jc w:val="center"/>
        <w:ind w:right="3279"/>
        <w:spacing w:after="0"/>
        <w:rPr>
          <w:sz w:val="20"/>
          <w:szCs w:val="20"/>
          <w:color w:val="auto"/>
        </w:rPr>
      </w:pPr>
      <w:r>
        <w:rPr>
          <w:rFonts w:ascii="Courier New" w:cs="Courier New" w:eastAsia="Courier New" w:hAnsi="Courier New"/>
          <w:sz w:val="14"/>
          <w:szCs w:val="14"/>
          <w:color w:val="auto"/>
        </w:rPr>
        <w:t>THE OFFERING</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Issuer ................</w:t>
      </w:r>
      <w:r>
        <w:rPr>
          <w:sz w:val="20"/>
          <w:szCs w:val="20"/>
          <w:color w:val="auto"/>
        </w:rPr>
        <w:tab/>
      </w:r>
      <w:r>
        <w:rPr>
          <w:rFonts w:ascii="Courier New" w:cs="Courier New" w:eastAsia="Courier New" w:hAnsi="Courier New"/>
          <w:sz w:val="14"/>
          <w:szCs w:val="14"/>
          <w:color w:val="auto"/>
        </w:rPr>
        <w:t>Amdocs Limited, a company organized under the laws of</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the Island of Guernsey.</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Securities Offered ....</w:t>
      </w:r>
      <w:r>
        <w:rPr>
          <w:sz w:val="20"/>
          <w:szCs w:val="20"/>
          <w:color w:val="auto"/>
        </w:rPr>
        <w:tab/>
      </w:r>
      <w:r>
        <w:rPr>
          <w:rFonts w:ascii="Courier New" w:cs="Courier New" w:eastAsia="Courier New" w:hAnsi="Courier New"/>
          <w:sz w:val="14"/>
          <w:szCs w:val="14"/>
          <w:color w:val="auto"/>
        </w:rPr>
        <w:t>$450.0 million principal amount of 0.50% Convertible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Senior Notes due 2024 and 10,435,995 ordinary shares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issuable upon conversion of the notes.</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Maturity Date .........</w:t>
      </w:r>
      <w:r>
        <w:rPr>
          <w:sz w:val="20"/>
          <w:szCs w:val="20"/>
          <w:color w:val="auto"/>
        </w:rPr>
        <w:tab/>
      </w:r>
      <w:r>
        <w:rPr>
          <w:rFonts w:ascii="Courier New" w:cs="Courier New" w:eastAsia="Courier New" w:hAnsi="Courier New"/>
          <w:sz w:val="14"/>
          <w:szCs w:val="14"/>
          <w:color w:val="auto"/>
        </w:rPr>
        <w:t>March 15, 2024, unless earlier converted, redeemed or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repurchased.</w:t>
      </w:r>
    </w:p>
    <w:p>
      <w:pPr>
        <w:spacing w:after="0" w:line="342"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Ranking ...............</w:t>
      </w:r>
      <w:r>
        <w:rPr>
          <w:sz w:val="20"/>
          <w:szCs w:val="20"/>
          <w:color w:val="auto"/>
        </w:rPr>
        <w:tab/>
      </w:r>
      <w:r>
        <w:rPr>
          <w:rFonts w:ascii="Courier New" w:cs="Courier New" w:eastAsia="Courier New" w:hAnsi="Courier New"/>
          <w:sz w:val="14"/>
          <w:szCs w:val="14"/>
          <w:color w:val="auto"/>
        </w:rPr>
        <w:t>The notes are our direct, unsecured and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unsubordinated obligations and rank equal in priority</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with all of our other existing and future unsecured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and unsubordinated indebtedness, including our 2%</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Convertible Notes due June 1, 2008, which we refer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as the 2% Notes, and senior in right of payment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all of our existing and future subordinated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indebtedness. The notes are unsecured and, therefore,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are effectively subordinated to any of our secured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debt, to the extent of the assets securing such</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indebtedness. The notes are also structurally</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subordinated to the debt and other liabilities of our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subsidiaries. With the exception of the 2% Notes,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substantially all of the liabilities reflected on our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balance sheet as of June 30, 2003 are liabilities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our subsidiaries.</w:t>
      </w:r>
    </w:p>
    <w:p>
      <w:pPr>
        <w:spacing w:after="0" w:line="342"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Interest ..............</w:t>
      </w:r>
      <w:r>
        <w:rPr>
          <w:sz w:val="20"/>
          <w:szCs w:val="20"/>
          <w:color w:val="auto"/>
        </w:rPr>
        <w:tab/>
      </w:r>
      <w:r>
        <w:rPr>
          <w:rFonts w:ascii="Courier New" w:cs="Courier New" w:eastAsia="Courier New" w:hAnsi="Courier New"/>
          <w:sz w:val="14"/>
          <w:szCs w:val="14"/>
          <w:color w:val="auto"/>
        </w:rPr>
        <w:t>0.50% per annum on the principal amount of the notes,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payable semi-annually in arrears in cash on March 15</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and September 15 of each year, beginning on September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15, 2004.</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Conversion Rights .....</w:t>
      </w:r>
      <w:r>
        <w:rPr>
          <w:sz w:val="20"/>
          <w:szCs w:val="20"/>
          <w:color w:val="auto"/>
        </w:rPr>
        <w:tab/>
      </w:r>
      <w:r>
        <w:rPr>
          <w:rFonts w:ascii="Courier New" w:cs="Courier New" w:eastAsia="Courier New" w:hAnsi="Courier New"/>
          <w:sz w:val="14"/>
          <w:szCs w:val="14"/>
          <w:color w:val="auto"/>
        </w:rPr>
        <w:t>You may convert the notes into our ordinary shares,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par value(pound)0.01 per share, which we refer to as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our ordinary shares, at a conversion rate of 23.1911</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shares per $1,000 principal amount of notes (a</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conversion price of $43.12 per share), subject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adjustment, prior to the close of business on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final maturity date under any of the following</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circumstances:</w:t>
      </w:r>
    </w:p>
    <w:p>
      <w:pPr>
        <w:spacing w:after="0" w:line="175" w:lineRule="exact"/>
        <w:rPr>
          <w:sz w:val="20"/>
          <w:szCs w:val="20"/>
          <w:color w:val="auto"/>
        </w:rPr>
      </w:pPr>
    </w:p>
    <w:p>
      <w:pPr>
        <w:ind w:left="2360"/>
        <w:spacing w:after="0"/>
        <w:tabs>
          <w:tab w:leader="none" w:pos="3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during any fiscal quarter commencing after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March 31, 2004, and only during that fiscal</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quarter if the closing sale price of our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ordinary shares exceeds 130% of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conversion price for at least 20 trading</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days in the 30 consecutive trading days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ending on the last trading day of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preceding fiscal quarter; or</w:t>
      </w:r>
    </w:p>
    <w:p>
      <w:pPr>
        <w:spacing w:after="0" w:line="175" w:lineRule="exact"/>
        <w:rPr>
          <w:sz w:val="20"/>
          <w:szCs w:val="20"/>
          <w:color w:val="auto"/>
        </w:rPr>
      </w:pPr>
    </w:p>
    <w:p>
      <w:pPr>
        <w:ind w:left="2360"/>
        <w:spacing w:after="0"/>
        <w:tabs>
          <w:tab w:leader="none" w:pos="3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after the earlier of (a) the date the notes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are rated by both Standard &amp; Poor's Ratings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Services, a division of The McGraw-Hill</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Companies, Inc., and its successors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("Standard &amp; Poor's") and Moody's Investor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Services and its successors ("Moody's") and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 five business days from the date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notes are issued, during any period in which</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the credit rating assigned to the notes by</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Standard &amp; Poor's or Moody's is "BB-" 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"Ba3," respectively, or lower, or if either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of these rating agencies no longer rates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notes, or if either of these rating agencies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suspends or withdraws the rating assigned to</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the notes, or if the notes are not assigned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 rating by both rating agencies; or</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9" w:name="page10"/>
    <w:bookmarkEnd w:id="9"/>
    <w:p>
      <w:pPr>
        <w:ind w:left="3140" w:right="3279" w:hanging="788"/>
        <w:spacing w:after="0" w:line="252" w:lineRule="auto"/>
        <w:tabs>
          <w:tab w:leader="none" w:pos="3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five business day period after any five consecutive trading day period (the "measurement period") in which the trading price per note for each day of that measurement period was less than 98% of the product of the closing sale price of our ordinary shares and the number of shares issuable upon conversion of $1,000 principal amount of the notes; provided, however, you may not convert your notes (in reliance on this subsection) if on any trading day during such measurement period the closing sale price of our ordinary shares was between 100% and 130% of the then current conversion price of the notes; or</w:t>
      </w:r>
    </w:p>
    <w:p>
      <w:pPr>
        <w:spacing w:after="0" w:line="172" w:lineRule="exact"/>
        <w:rPr>
          <w:rFonts w:ascii="Courier New" w:cs="Courier New" w:eastAsia="Courier New" w:hAnsi="Courier New"/>
          <w:sz w:val="14"/>
          <w:szCs w:val="14"/>
          <w:color w:val="auto"/>
        </w:rPr>
      </w:pPr>
    </w:p>
    <w:p>
      <w:pPr>
        <w:ind w:left="3140" w:right="4239" w:hanging="788"/>
        <w:spacing w:after="0" w:line="258" w:lineRule="auto"/>
        <w:tabs>
          <w:tab w:leader="none" w:pos="3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notes have been called for redemption; or</w:t>
      </w:r>
    </w:p>
    <w:p>
      <w:pPr>
        <w:spacing w:after="0" w:line="159" w:lineRule="exact"/>
        <w:rPr>
          <w:rFonts w:ascii="Courier New" w:cs="Courier New" w:eastAsia="Courier New" w:hAnsi="Courier New"/>
          <w:sz w:val="14"/>
          <w:szCs w:val="14"/>
          <w:color w:val="auto"/>
        </w:rPr>
      </w:pPr>
    </w:p>
    <w:p>
      <w:pPr>
        <w:ind w:left="3140" w:right="3379" w:hanging="788"/>
        <w:spacing w:after="0" w:line="254" w:lineRule="auto"/>
        <w:tabs>
          <w:tab w:leader="none" w:pos="3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corporate events described under "Description of Notes--Conversion of Notes--Conversion Upon Specified Corporate Transactions."</w:t>
      </w:r>
    </w:p>
    <w:p>
      <w:pPr>
        <w:spacing w:after="0" w:line="163"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You will not receive any cash payment or additional</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shares representing accrued and unpaid interest upon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conversion of a note, except in limited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circumstances. Instead, such interest, if any, will</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be forfeited upon conversion. Notes called for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redemption may be converted until the close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business on the business day immediately preceding</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 redemption date, after which time your right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convert will expire unless we default in the payment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of the redemption price.</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Sinking Fund ..........</w:t>
      </w:r>
      <w:r>
        <w:rPr>
          <w:sz w:val="20"/>
          <w:szCs w:val="20"/>
          <w:color w:val="auto"/>
        </w:rPr>
        <w:tab/>
      </w:r>
      <w:r>
        <w:rPr>
          <w:rFonts w:ascii="Courier New" w:cs="Courier New" w:eastAsia="Courier New" w:hAnsi="Courier New"/>
          <w:sz w:val="14"/>
          <w:szCs w:val="14"/>
          <w:color w:val="auto"/>
        </w:rPr>
        <w:t>None.</w:t>
      </w:r>
    </w:p>
    <w:p>
      <w:pPr>
        <w:spacing w:after="0" w:line="175" w:lineRule="exact"/>
        <w:rPr>
          <w:sz w:val="20"/>
          <w:szCs w:val="20"/>
          <w:color w:val="auto"/>
        </w:rPr>
      </w:pPr>
    </w:p>
    <w:p>
      <w:pPr>
        <w:ind w:left="2360" w:right="3279" w:hanging="2342"/>
        <w:spacing w:after="0" w:line="253" w:lineRule="auto"/>
        <w:tabs>
          <w:tab w:leader="none" w:pos="2340" w:val="left"/>
        </w:tabs>
        <w:rPr>
          <w:sz w:val="20"/>
          <w:szCs w:val="20"/>
          <w:color w:val="auto"/>
        </w:rPr>
      </w:pPr>
      <w:r>
        <w:rPr>
          <w:rFonts w:ascii="Courier New" w:cs="Courier New" w:eastAsia="Courier New" w:hAnsi="Courier New"/>
          <w:sz w:val="14"/>
          <w:szCs w:val="14"/>
          <w:color w:val="auto"/>
        </w:rPr>
        <w:t>Optional Redemption ...</w:t>
      </w:r>
      <w:r>
        <w:rPr>
          <w:sz w:val="20"/>
          <w:szCs w:val="20"/>
          <w:color w:val="auto"/>
        </w:rPr>
        <w:tab/>
      </w:r>
      <w:r>
        <w:rPr>
          <w:rFonts w:ascii="Courier New" w:cs="Courier New" w:eastAsia="Courier New" w:hAnsi="Courier New"/>
          <w:sz w:val="14"/>
          <w:szCs w:val="14"/>
          <w:color w:val="auto"/>
        </w:rPr>
        <w:t>Prior to March 20, 2009, the notes will not be redeemable, except as described under "Description of Notes - Tax Redemption." On or after March 20, 2009, we may redeem any of the notes by giving you at least 30 days' notice. We may redeem the notes either in whole or in part at a redemption price equal to 100% of their principal amount, plus accrued and unpaid interest and liquidated damages, if any, to, but excluding, the date of repurchase.</w:t>
      </w:r>
    </w:p>
    <w:p>
      <w:pPr>
        <w:spacing w:after="0" w:line="164"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Designated Event ......</w:t>
      </w:r>
      <w:r>
        <w:rPr>
          <w:sz w:val="20"/>
          <w:szCs w:val="20"/>
          <w:color w:val="auto"/>
        </w:rPr>
        <w:tab/>
      </w:r>
      <w:r>
        <w:rPr>
          <w:rFonts w:ascii="Courier New" w:cs="Courier New" w:eastAsia="Courier New" w:hAnsi="Courier New"/>
          <w:sz w:val="14"/>
          <w:szCs w:val="14"/>
          <w:color w:val="auto"/>
        </w:rPr>
        <w:t>If a designated event (as described under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"Description of Notes--Repurchase at Option of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Holder Upon a Designated Event") occurs prior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maturity, you may require us to purchase all or part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of your notes at a repurchase price equal to 100%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their principal amount, plus accrued and unpaid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interest and liquidated damages, if any, to, but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excluding, the date of repurchase.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at the Option</w:t>
      </w:r>
    </w:p>
    <w:p>
      <w:pPr>
        <w:spacing w:after="0" w:line="8" w:lineRule="exact"/>
        <w:rPr>
          <w:sz w:val="20"/>
          <w:szCs w:val="20"/>
          <w:color w:val="auto"/>
        </w:rPr>
      </w:pPr>
    </w:p>
    <w:p>
      <w:pPr>
        <w:ind w:left="360"/>
        <w:spacing w:after="0"/>
        <w:tabs>
          <w:tab w:leader="none" w:pos="2340" w:val="left"/>
        </w:tabs>
        <w:rPr>
          <w:sz w:val="20"/>
          <w:szCs w:val="20"/>
          <w:color w:val="auto"/>
        </w:rPr>
      </w:pPr>
      <w:r>
        <w:rPr>
          <w:rFonts w:ascii="Courier New" w:cs="Courier New" w:eastAsia="Courier New" w:hAnsi="Courier New"/>
          <w:sz w:val="14"/>
          <w:szCs w:val="14"/>
          <w:color w:val="auto"/>
        </w:rPr>
        <w:t>of the Holder .....</w:t>
      </w:r>
      <w:r>
        <w:rPr>
          <w:sz w:val="20"/>
          <w:szCs w:val="20"/>
          <w:color w:val="auto"/>
        </w:rPr>
        <w:tab/>
      </w:r>
      <w:r>
        <w:rPr>
          <w:rFonts w:ascii="Courier New" w:cs="Courier New" w:eastAsia="Courier New" w:hAnsi="Courier New"/>
          <w:sz w:val="14"/>
          <w:szCs w:val="14"/>
          <w:color w:val="auto"/>
        </w:rPr>
        <w:t>You may require us to repurchase some or all of your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notes on March 15 of 2009, 2014 and 2019, at a</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repurchase price equal to 100% of the principal</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amount, plus accrued and unpaid interest and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liquidated damages, if any, to, but excluding,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applicable repurchase date. We may choose to pay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repurchase price in cash or ordinary shares (valued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using the method set forth in "Description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Notes--Repurchase at Option of the Holder") or a</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combination of cash and ordinary shares, provided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that we will pay any accrued and unpaid interest in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cash.</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3"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2"/>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Use of Proceeds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We will not receive any proceeds from the sale by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selling securityholders of the notes or the ordinary</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shares issuable upon conversion of the notes.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Registration Rights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Pursuant to a registration rights agreement, we have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agreed to register the resale of the notes and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ordinary shares issuable upon conversion of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notes. If we fail to comply with certain of our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obligations under the registration rights agreement,</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liquidated damages will be payable on the notes and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ordinary shares issuable upon conversion of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notes. See "Description of Notes--Registration</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Rights."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Book-entry Form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notes have been issued in book-entry form and are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represented by global certificates deposited with, or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on behalf of, The Depository Trust Company, or DTC,</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and registered in the name of a nominee of DTC.</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Beneficial interests in any of the notes will be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shown on, and transfers will be effected only</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through, records maintained by DTC or its nominee and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any such interest may not be exchanged for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certificated securities, except in limited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circumstances.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Trading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notes are new securities for which no market</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currently exists. While the initial purchasers have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informed us that they intend to make a market in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notes, they are under no obligation to do so and may</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discontinue such activities at any time without</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notice. The notes are listed on any securities</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exchange or included in any automated quotation</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system. While the notes are expected to be designated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for trading in The PORTAL Market, we cannot assure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you that any active or liquid market will develop for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notes.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New York Stock Exchange</w:t>
            </w:r>
          </w:p>
        </w:tc>
        <w:tc>
          <w:tcPr>
            <w:tcW w:w="4780" w:type="dxa"/>
            <w:vAlign w:val="bottom"/>
          </w:tcPr>
          <w:p>
            <w:pPr>
              <w:spacing w:after="0"/>
              <w:rPr>
                <w:sz w:val="24"/>
                <w:szCs w:val="24"/>
                <w:color w:val="auto"/>
              </w:rPr>
            </w:pPr>
          </w:p>
        </w:tc>
      </w:tr>
      <w:tr>
        <w:trPr>
          <w:trHeight w:val="167"/>
        </w:trPr>
        <w:tc>
          <w:tcPr>
            <w:tcW w:w="21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Symbol for Our</w:t>
            </w:r>
          </w:p>
        </w:tc>
        <w:tc>
          <w:tcPr>
            <w:tcW w:w="4780" w:type="dxa"/>
            <w:vAlign w:val="bottom"/>
          </w:tcPr>
          <w:p>
            <w:pPr>
              <w:spacing w:after="0"/>
              <w:rPr>
                <w:sz w:val="14"/>
                <w:szCs w:val="14"/>
                <w:color w:val="auto"/>
              </w:rPr>
            </w:pPr>
          </w:p>
        </w:tc>
      </w:tr>
      <w:tr>
        <w:trPr>
          <w:trHeight w:val="167"/>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Ordinary Shares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DOX.</w:t>
            </w:r>
          </w:p>
        </w:tc>
      </w:tr>
      <w:tr>
        <w:trPr>
          <w:trHeight w:val="334"/>
        </w:trPr>
        <w:tc>
          <w:tcPr>
            <w:tcW w:w="2180" w:type="dxa"/>
            <w:vAlign w:val="bottom"/>
          </w:tcPr>
          <w:p>
            <w:pPr>
              <w:spacing w:after="0"/>
              <w:rPr>
                <w:sz w:val="24"/>
                <w:szCs w:val="24"/>
                <w:color w:val="auto"/>
              </w:rPr>
            </w:pPr>
          </w:p>
        </w:tc>
        <w:tc>
          <w:tcPr>
            <w:tcW w:w="4780" w:type="dxa"/>
            <w:vAlign w:val="bottom"/>
          </w:tcPr>
          <w:p>
            <w:pPr>
              <w:ind w:left="1220"/>
              <w:spacing w:after="0"/>
              <w:rPr>
                <w:sz w:val="20"/>
                <w:szCs w:val="20"/>
                <w:color w:val="auto"/>
              </w:rPr>
            </w:pPr>
            <w:r>
              <w:rPr>
                <w:rFonts w:ascii="Courier New" w:cs="Courier New" w:eastAsia="Courier New" w:hAnsi="Courier New"/>
                <w:sz w:val="14"/>
                <w:szCs w:val="14"/>
                <w:color w:val="auto"/>
              </w:rPr>
              <w:t>5</w:t>
            </w:r>
          </w:p>
        </w:tc>
      </w:tr>
    </w:tbl>
    <w:p>
      <w:pPr>
        <w:sectPr>
          <w:pgSz w:w="11900" w:h="16838" w:orient="portrait"/>
          <w:cols w:equalWidth="0" w:num="1">
            <w:col w:w="10239"/>
          </w:cols>
          <w:pgMar w:left="220" w:top="620" w:right="1440" w:bottom="1440" w:gutter="0" w:footer="0" w:header="0"/>
        </w:sectPr>
      </w:pPr>
    </w:p>
    <w:bookmarkStart w:id="11" w:name="page12"/>
    <w:bookmarkEnd w:id="11"/>
    <w:p>
      <w:pPr>
        <w:ind w:left="1220"/>
        <w:spacing w:after="0"/>
        <w:rPr>
          <w:sz w:val="20"/>
          <w:szCs w:val="20"/>
          <w:color w:val="auto"/>
        </w:rPr>
      </w:pPr>
      <w:r>
        <w:rPr>
          <w:rFonts w:ascii="Courier New" w:cs="Courier New" w:eastAsia="Courier New" w:hAnsi="Courier New"/>
          <w:sz w:val="14"/>
          <w:szCs w:val="14"/>
          <w:color w:val="auto"/>
        </w:rPr>
        <w:t>SUMMARY HISTORICAL CONSOLIDATED FINANCIAL INFORMATION</w:t>
      </w:r>
    </w:p>
    <w:p>
      <w:pPr>
        <w:spacing w:after="0" w:line="175" w:lineRule="exact"/>
        <w:rPr>
          <w:sz w:val="20"/>
          <w:szCs w:val="20"/>
          <w:color w:val="auto"/>
        </w:rPr>
      </w:pPr>
    </w:p>
    <w:p>
      <w:pPr>
        <w:ind w:right="3980" w:firstLine="781"/>
        <w:spacing w:after="0" w:line="252" w:lineRule="auto"/>
        <w:rPr>
          <w:sz w:val="20"/>
          <w:szCs w:val="20"/>
          <w:color w:val="auto"/>
        </w:rPr>
      </w:pPr>
      <w:r>
        <w:rPr>
          <w:rFonts w:ascii="Courier New" w:cs="Courier New" w:eastAsia="Courier New" w:hAnsi="Courier New"/>
          <w:sz w:val="14"/>
          <w:szCs w:val="14"/>
          <w:color w:val="auto"/>
        </w:rPr>
        <w:t>Our consolidated financial statements are prepared in accordance with accounting principles generally accepted in the United States and presented in U.S. dollars. The summary historical consolidated financial information set forth below has been derived from our historical consolidated financial statements for the periods presented. Historical information as of and for the five years ended September 30, 2003 is derived from our consolidated financial statements, which have been audited by Ernst &amp; Young LLP, our independent auditors. The summary historical consolidated interim financial information as of and for the nine months ended June 30, 2004 and 2003 is derived from our unaudited historical consolidated interim financial statements. The unaudited historical consolidated interim financial information reflects all adjustments, consisting of normal recurring adjustments, that we consider necessary for a fair presentation of those statements. The results for an interim period are not necessarily indicative of the results for a full fiscal year. You should read the summary historical consolidated financial information set forth below in conjunction with "Operating and Financial Review and Prospects," our consolidated financial statements and related footnotes and the other financial information included in our reports filed with the Securities and Exchange Commission, referred to herein as the SEC, and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NINE MONTHS</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YEAR ENDED</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SEPTEMBER 30,</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3560" w:type="dxa"/>
            <w:vAlign w:val="bottom"/>
          </w:tcPr>
          <w:p>
            <w:pPr>
              <w:spacing w:after="0"/>
              <w:rPr>
                <w:sz w:val="14"/>
                <w:szCs w:val="14"/>
                <w:color w:val="auto"/>
              </w:rPr>
            </w:pPr>
          </w:p>
        </w:tc>
        <w:tc>
          <w:tcPr>
            <w:tcW w:w="2400" w:type="dxa"/>
            <w:vAlign w:val="bottom"/>
            <w:gridSpan w:val="2"/>
          </w:tcPr>
          <w:p>
            <w:pPr>
              <w:ind w:left="440"/>
              <w:spacing w:after="0"/>
              <w:rPr>
                <w:sz w:val="20"/>
                <w:szCs w:val="20"/>
                <w:color w:val="auto"/>
              </w:rPr>
            </w:pPr>
            <w:r>
              <w:rPr>
                <w:rFonts w:ascii="Courier New" w:cs="Courier New" w:eastAsia="Courier New" w:hAnsi="Courier New"/>
                <w:sz w:val="8"/>
                <w:szCs w:val="8"/>
                <w:color w:val="auto"/>
                <w:w w:val="73"/>
              </w:rPr>
              <w:t>-------------------------------------------------------</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2003</w:t>
            </w: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2002</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2001</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2004</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560" w:type="dxa"/>
            <w:vAlign w:val="bottom"/>
          </w:tcPr>
          <w:p>
            <w:pPr>
              <w:spacing w:after="0"/>
              <w:rPr>
                <w:sz w:val="14"/>
                <w:szCs w:val="1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(UNAUDITED)</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30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thousands, except per share data)</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$1,483,327</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$1,613,565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$1,533,910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$1,118,320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$626,855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$1,321,277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$1,071,568</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Operating income (1)(2)(3).............</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210,418</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49,161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159,281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74,124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146,998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219,252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154,251</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Net income (loss) (1)(2)(3)(4).........</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168,883</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(5,061)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66,386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5,978</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98,543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173,278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Basic earnings (loss) per share........</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0.78</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0.50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0.82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0.58</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0.77</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0.80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25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AS OF JUNE 30, 2004</w:t>
            </w:r>
          </w:p>
        </w:tc>
      </w:tr>
      <w:tr>
        <w:trPr>
          <w:trHeight w:val="167"/>
        </w:trPr>
        <w:tc>
          <w:tcPr>
            <w:tcW w:w="7700" w:type="dxa"/>
            <w:vAlign w:val="bottom"/>
          </w:tcPr>
          <w:p>
            <w:pPr>
              <w:spacing w:after="0"/>
              <w:rPr>
                <w:sz w:val="14"/>
                <w:szCs w:val="14"/>
                <w:color w:val="auto"/>
              </w:rPr>
            </w:pP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700" w:type="dxa"/>
            <w:vAlign w:val="bottom"/>
          </w:tcPr>
          <w:p>
            <w:pPr>
              <w:spacing w:after="0"/>
              <w:rPr>
                <w:sz w:val="14"/>
                <w:szCs w:val="14"/>
                <w:color w:val="auto"/>
              </w:rPr>
            </w:pPr>
          </w:p>
        </w:tc>
        <w:tc>
          <w:tcPr>
            <w:tcW w:w="25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(UNAUDITED)</w:t>
            </w:r>
          </w:p>
        </w:tc>
      </w:tr>
      <w:tr>
        <w:trPr>
          <w:trHeight w:val="167"/>
        </w:trPr>
        <w:tc>
          <w:tcPr>
            <w:tcW w:w="7700" w:type="dxa"/>
            <w:vAlign w:val="bottom"/>
          </w:tcPr>
          <w:p>
            <w:pPr>
              <w:spacing w:after="0"/>
              <w:rPr>
                <w:sz w:val="14"/>
                <w:szCs w:val="14"/>
                <w:color w:val="auto"/>
              </w:rPr>
            </w:pPr>
          </w:p>
        </w:tc>
        <w:tc>
          <w:tcPr>
            <w:tcW w:w="2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(IN THOUSANDS)</w:t>
            </w:r>
          </w:p>
        </w:tc>
      </w:tr>
      <w:tr>
        <w:trPr>
          <w:trHeight w:val="668"/>
        </w:trPr>
        <w:tc>
          <w:tcPr>
            <w:tcW w:w="770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2560" w:type="dxa"/>
            <w:vAlign w:val="bottom"/>
          </w:tcPr>
          <w:p>
            <w:pPr>
              <w:spacing w:after="0"/>
              <w:rPr>
                <w:sz w:val="24"/>
                <w:szCs w:val="24"/>
                <w:color w:val="auto"/>
              </w:rPr>
            </w:pP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$2,897,972</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2% Convertible Notes due 2008 ........................................................</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344</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0.50% Convertible Senior Notes due 2024...............................................</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450,000</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Long-term obligations, including current portion......................................</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31,107</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Shareholders' equity (4)..............................................................</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1,482,961</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800" w:right="4160" w:hanging="791"/>
        <w:spacing w:after="0" w:line="253" w:lineRule="auto"/>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fiscal 2000, we recorded acquisition-related charges of $75,617, relating to our acquisitions of International Telecommunication Data Systems, Inc. in November 1999 and Solect Technology Group Inc. in April 2000, in stock-for-stock transactions. These charges included write-offs of purchased in-process research and development and other indirect acquisition-related costs.</w:t>
      </w:r>
    </w:p>
    <w:p>
      <w:pPr>
        <w:spacing w:after="0" w:line="165" w:lineRule="exact"/>
        <w:rPr>
          <w:rFonts w:ascii="Courier New" w:cs="Courier New" w:eastAsia="Courier New" w:hAnsi="Courier New"/>
          <w:sz w:val="14"/>
          <w:szCs w:val="14"/>
          <w:color w:val="auto"/>
        </w:rPr>
      </w:pPr>
    </w:p>
    <w:p>
      <w:pPr>
        <w:ind w:left="800" w:right="4080" w:hanging="791"/>
        <w:spacing w:after="0" w:line="253" w:lineRule="auto"/>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fiscal 2002, we recorded acquisition-related charges for in-process research and development of $17,400, relating to our November 2001 acquisition from Nortel Networks Corporation of substantially all of the assets of its Clarify business for cash. We also recorded restructuring charges of $34,230 relating to the closure of our Stamford, Connecticut data center and our cost reduction program.</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940"/>
          </w:cols>
          <w:pgMar w:left="220" w:top="620" w:right="739" w:bottom="1440" w:gutter="0" w:footer="0" w:header="0"/>
        </w:sectPr>
      </w:pPr>
    </w:p>
    <w:bookmarkStart w:id="12" w:name="page13"/>
    <w:bookmarkEnd w:id="12"/>
    <w:p>
      <w:pPr>
        <w:ind w:left="800" w:right="3279" w:hanging="791"/>
        <w:spacing w:after="0" w:line="253"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first quarter of fiscal 2003, we recorded a restructuring charge of $9,956 related to our cost reduction program. In the fourth quarter of fiscal 2003, we recorded an acquisition-related charge of $4,133 related to our July 2003 acquisition from Bell Canada of its 90% ownership interest in Certen Inc. for cash. Prior to this acquisition, we had 10% ownership interest in Certen. This charge reflects our 10% share in Certen's pre-acquisition results.</w:t>
      </w:r>
    </w:p>
    <w:p>
      <w:pPr>
        <w:spacing w:after="0" w:line="200" w:lineRule="exact"/>
        <w:rPr>
          <w:rFonts w:ascii="Courier New" w:cs="Courier New" w:eastAsia="Courier New" w:hAnsi="Courier New"/>
          <w:sz w:val="14"/>
          <w:szCs w:val="14"/>
          <w:color w:val="auto"/>
        </w:rPr>
      </w:pPr>
    </w:p>
    <w:p>
      <w:pPr>
        <w:spacing w:after="0" w:line="298" w:lineRule="exact"/>
        <w:rPr>
          <w:rFonts w:ascii="Courier New" w:cs="Courier New" w:eastAsia="Courier New" w:hAnsi="Courier New"/>
          <w:sz w:val="14"/>
          <w:szCs w:val="14"/>
          <w:color w:val="auto"/>
        </w:rPr>
      </w:pPr>
    </w:p>
    <w:p>
      <w:pPr>
        <w:ind w:left="800" w:right="3279" w:hanging="791"/>
        <w:spacing w:after="0" w:line="252"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2001, our Board of Directors approved a twelve-month share repurchase program and authorized us to repurchase ordinary shares. During fiscal 2002, we repurchased 7,732 ordinary shares, at an average price of $14.13 per share. During fiscal 2003, we did not repurchase any ordinary shares. On November 5, 2003, our Board of Directors approved an additional twelve-month share repurchase program to purchase up to 5,000 ordinary shares. In accordance with this program, as of December 31, 2003, we had repurchased an additional 4,990 ordinary shares, at an average price of $24.82 per share. In connection with our acquisition of XACCT Technologies Ltd., our Board of Directors approved the repurchase of ordinary shares to offset the dilutive effect of share issuances in the acquisition. The closing of the acquisition occurred in February 2004, and we repurchased 485 ordinary shares in February 2004. On July 28, 2004, we announced that our Board of Directors had extended our share repurchase program for the additional repurchase of up to $100 million of our ordinary shares in open market or privately negotiated transactions and at times and prices we deem appropriate. In accordance with this extension, as of October 12, 2004, we had repurchased approximately 4.9 million ordinary shares, at an average price of $20.40 per share.</w:t>
      </w:r>
    </w:p>
    <w:p>
      <w:pPr>
        <w:spacing w:after="0" w:line="200" w:lineRule="exact"/>
        <w:rPr>
          <w:sz w:val="20"/>
          <w:szCs w:val="20"/>
          <w:color w:val="auto"/>
        </w:rPr>
      </w:pPr>
    </w:p>
    <w:p>
      <w:pPr>
        <w:spacing w:after="0" w:line="30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RATIO OF EARNINGS TO FIXED CHARGES</w:t>
      </w:r>
    </w:p>
    <w:p>
      <w:pPr>
        <w:spacing w:after="0" w:line="17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The following table presents our historical ratios of earnings to fixed charges for the periods indicated: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20" w:type="dxa"/>
            <w:vAlign w:val="bottom"/>
            <w:gridSpan w:val="3"/>
          </w:tcPr>
          <w:p>
            <w:pPr>
              <w:jc w:val="center"/>
              <w:ind w:right="188"/>
              <w:spacing w:after="0"/>
              <w:rPr>
                <w:sz w:val="20"/>
                <w:szCs w:val="20"/>
                <w:color w:val="auto"/>
              </w:rPr>
            </w:pPr>
            <w:r>
              <w:rPr>
                <w:rFonts w:ascii="Courier New" w:cs="Courier New" w:eastAsia="Courier New" w:hAnsi="Courier New"/>
                <w:sz w:val="14"/>
                <w:szCs w:val="14"/>
                <w:color w:val="auto"/>
              </w:rPr>
              <w:t>FISCAL YEARS ENDED SEPTEMBER 30,</w:t>
            </w:r>
          </w:p>
        </w:tc>
        <w:tc>
          <w:tcPr>
            <w:tcW w:w="78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3480" w:type="dxa"/>
            <w:vAlign w:val="bottom"/>
            <w:gridSpan w:val="3"/>
          </w:tcPr>
          <w:p>
            <w:pPr>
              <w:ind w:left="2480"/>
              <w:spacing w:after="0"/>
              <w:rPr>
                <w:sz w:val="20"/>
                <w:szCs w:val="20"/>
                <w:color w:val="auto"/>
              </w:rPr>
            </w:pPr>
            <w:r>
              <w:rPr>
                <w:rFonts w:ascii="Courier New" w:cs="Courier New" w:eastAsia="Courier New" w:hAnsi="Courier New"/>
                <w:sz w:val="14"/>
                <w:szCs w:val="14"/>
                <w:color w:val="auto"/>
              </w:rPr>
              <w:t>NINE MONTHS</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ENDED</w:t>
            </w:r>
          </w:p>
        </w:tc>
        <w:tc>
          <w:tcPr>
            <w:tcW w:w="2120" w:type="dxa"/>
            <w:vAlign w:val="bottom"/>
            <w:gridSpan w:val="2"/>
          </w:tcPr>
          <w:p>
            <w:pPr>
              <w:ind w:left="260"/>
              <w:spacing w:after="0"/>
              <w:rPr>
                <w:sz w:val="20"/>
                <w:szCs w:val="20"/>
                <w:color w:val="auto"/>
              </w:rPr>
            </w:pPr>
            <w:r>
              <w:rPr>
                <w:rFonts w:ascii="Courier New" w:cs="Courier New" w:eastAsia="Courier New" w:hAnsi="Courier New"/>
                <w:sz w:val="8"/>
                <w:szCs w:val="8"/>
                <w:color w:val="auto"/>
                <w:w w:val="70"/>
              </w:rPr>
              <w:t>------------------------------------------------------</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2920" w:type="dxa"/>
            <w:vAlign w:val="bottom"/>
          </w:tcPr>
          <w:p>
            <w:pPr>
              <w:ind w:left="2480"/>
              <w:spacing w:after="0"/>
              <w:rPr>
                <w:sz w:val="20"/>
                <w:szCs w:val="20"/>
                <w:color w:val="auto"/>
              </w:rPr>
            </w:pPr>
            <w:r>
              <w:rPr>
                <w:rFonts w:ascii="Courier New" w:cs="Courier New" w:eastAsia="Courier New" w:hAnsi="Courier New"/>
                <w:sz w:val="14"/>
                <w:szCs w:val="14"/>
                <w:color w:val="auto"/>
              </w:rPr>
              <w:t>JUNE</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30,</w:t>
            </w:r>
          </w:p>
        </w:tc>
        <w:tc>
          <w:tcPr>
            <w:tcW w:w="100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2004</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2002</w:t>
            </w:r>
          </w:p>
        </w:tc>
        <w:tc>
          <w:tcPr>
            <w:tcW w:w="10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2001</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80" w:type="dxa"/>
            <w:vAlign w:val="bottom"/>
          </w:tcPr>
          <w:p>
            <w:pPr>
              <w:spacing w:after="0"/>
              <w:rPr>
                <w:sz w:val="14"/>
                <w:szCs w:val="14"/>
                <w:color w:val="auto"/>
              </w:rPr>
            </w:pPr>
          </w:p>
        </w:tc>
        <w:tc>
          <w:tcPr>
            <w:tcW w:w="3220" w:type="dxa"/>
            <w:vAlign w:val="bottom"/>
            <w:gridSpan w:val="2"/>
          </w:tcPr>
          <w:p>
            <w:pPr>
              <w:ind w:left="2480"/>
              <w:spacing w:after="0"/>
              <w:rPr>
                <w:sz w:val="20"/>
                <w:szCs w:val="20"/>
                <w:color w:val="auto"/>
              </w:rPr>
            </w:pPr>
            <w:r>
              <w:rPr>
                <w:rFonts w:ascii="Courier New" w:cs="Courier New" w:eastAsia="Courier New" w:hAnsi="Courier New"/>
                <w:sz w:val="10"/>
                <w:szCs w:val="10"/>
                <w:color w:val="auto"/>
                <w:w w:val="70"/>
              </w:rPr>
              <w:t>-----------------</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Ratio</w:t>
            </w:r>
          </w:p>
        </w:tc>
        <w:tc>
          <w:tcPr>
            <w:tcW w:w="2920" w:type="dxa"/>
            <w:vAlign w:val="bottom"/>
          </w:tcPr>
          <w:p>
            <w:pPr>
              <w:jc w:val="right"/>
              <w:ind w:right="973"/>
              <w:spacing w:after="0"/>
              <w:rPr>
                <w:sz w:val="20"/>
                <w:szCs w:val="20"/>
                <w:color w:val="auto"/>
              </w:rPr>
            </w:pPr>
            <w:r>
              <w:rPr>
                <w:rFonts w:ascii="Courier New" w:cs="Courier New" w:eastAsia="Courier New" w:hAnsi="Courier New"/>
                <w:sz w:val="14"/>
                <w:szCs w:val="14"/>
                <w:color w:val="auto"/>
              </w:rPr>
              <w:t>(1)..................</w:t>
            </w:r>
          </w:p>
        </w:tc>
        <w:tc>
          <w:tcPr>
            <w:tcW w:w="560" w:type="dxa"/>
            <w:vAlign w:val="bottom"/>
            <w:gridSpan w:val="2"/>
          </w:tcPr>
          <w:p>
            <w:pPr>
              <w:spacing w:after="0"/>
              <w:rPr>
                <w:sz w:val="20"/>
                <w:szCs w:val="20"/>
                <w:color w:val="auto"/>
              </w:rPr>
            </w:pPr>
            <w:r>
              <w:rPr>
                <w:rFonts w:ascii="Courier New" w:cs="Courier New" w:eastAsia="Courier New" w:hAnsi="Courier New"/>
                <w:sz w:val="14"/>
                <w:szCs w:val="14"/>
                <w:color w:val="auto"/>
              </w:rPr>
              <w:t>14.99x</w:t>
            </w:r>
          </w:p>
        </w:tc>
        <w:tc>
          <w:tcPr>
            <w:tcW w:w="740" w:type="dxa"/>
            <w:vAlign w:val="bottom"/>
          </w:tcPr>
          <w:p>
            <w:pPr>
              <w:spacing w:after="0"/>
              <w:rPr>
                <w:sz w:val="24"/>
                <w:szCs w:val="2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13.49x</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3.87x</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9.19x</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10.10x</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w w:val="99"/>
              </w:rPr>
              <w:t>15.29x</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800" w:right="3459" w:hanging="791"/>
        <w:spacing w:after="0" w:line="253" w:lineRule="auto"/>
        <w:tabs>
          <w:tab w:leader="none" w:pos="8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 of earnings to fixed charges represents the number of times "fixed charges" are covered by "earnings." "Fixed charges" means interest expense, amortized premiums, discounts and capitalized expenses related to indebtedness, and an estimate of the interest within rental expense. "Earnings" consist of consolidated net income from continuing operations before income taxes and fixed charges.</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13" w:name="page14"/>
    <w:bookmarkEnd w:id="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ind w:left="2960"/>
        <w:spacing w:after="0"/>
        <w:rPr>
          <w:sz w:val="20"/>
          <w:szCs w:val="20"/>
          <w:color w:val="auto"/>
        </w:rPr>
      </w:pPr>
      <w:r>
        <w:rPr>
          <w:rFonts w:ascii="Courier New" w:cs="Courier New" w:eastAsia="Courier New" w:hAnsi="Courier New"/>
          <w:sz w:val="14"/>
          <w:szCs w:val="14"/>
          <w:color w:val="auto"/>
        </w:rPr>
        <w:t>RISK FACTORS</w:t>
      </w:r>
    </w:p>
    <w:p>
      <w:pPr>
        <w:spacing w:after="0" w:line="8"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You should carefully consider the following risk factors, in addition to the other information presented in this prospectus and the documents incorporated by reference in this prospectus, in evaluating our business and an investment in the notes and our ordinary shares. Any of the following risks, as well as other risks and uncertainties, could seriously harm our business and financial results and cause the value of the notes and ordinary shares issuable upon conversion of the notes to decline, which in turn could cause you to lose all or part of your investment.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OUR BUSINESS</w:t>
      </w:r>
    </w:p>
    <w:p>
      <w:pPr>
        <w:spacing w:after="0" w:line="175" w:lineRule="exact"/>
        <w:rPr>
          <w:sz w:val="20"/>
          <w:szCs w:val="20"/>
          <w:color w:val="auto"/>
        </w:rPr>
      </w:pPr>
    </w:p>
    <w:p>
      <w:pPr>
        <w:ind w:left="440" w:right="4239"/>
        <w:spacing w:after="0" w:line="258" w:lineRule="auto"/>
        <w:rPr>
          <w:sz w:val="20"/>
          <w:szCs w:val="20"/>
          <w:color w:val="auto"/>
        </w:rPr>
      </w:pPr>
      <w:r>
        <w:rPr>
          <w:rFonts w:ascii="Courier New" w:cs="Courier New" w:eastAsia="Courier New" w:hAnsi="Courier New"/>
          <w:sz w:val="14"/>
          <w:szCs w:val="14"/>
          <w:color w:val="auto"/>
        </w:rPr>
        <w:t>WE ARE EXPOSED TO GENERAL GLOBAL ECONOMIC AND MARKET CONDITIONS, PARTICULARLY THOSE IMPACTING THE COMMUNICATIONS INDUSTRY.</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In recent years, the communications industry has experienced significant financial pressures that have caused many in the industry to cut expenses and limit investment in capital intensive projects and have led to numerous restructurings and bankruptcies.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need for communications providers to control operating expenses and capital investment budgets has resulted in slowed customer buying decisions, as well as price pressures. Due to adverse conditions in the business environment for communications companies, our revenues declined in the second half of fiscal 2002 and continued to decline in the first quarter of fiscal 2003. As a result, we undertook restructuring programs in fiscal 2002 and fiscal 2003 to reduce costs. Adverse market conditions could continue to have a negative impact on our business by reducing the number of new contracts we are able to sign and the size of initial spending commitments, as well as decreasing the level of discretionary spending under contracts with existing customers. In addition, a further slowdown in the buying decisions of communications providers could extend our sales cycle period and limit our ability to forecast our flow of new contracts.</w:t>
      </w:r>
    </w:p>
    <w:p>
      <w:pPr>
        <w:spacing w:after="0" w:line="330" w:lineRule="exact"/>
        <w:rPr>
          <w:sz w:val="20"/>
          <w:szCs w:val="20"/>
          <w:color w:val="auto"/>
        </w:rPr>
      </w:pPr>
    </w:p>
    <w:p>
      <w:pPr>
        <w:jc w:val="both"/>
        <w:ind w:left="440" w:right="3899"/>
        <w:spacing w:after="0" w:line="255" w:lineRule="auto"/>
        <w:rPr>
          <w:sz w:val="20"/>
          <w:szCs w:val="20"/>
          <w:color w:val="auto"/>
        </w:rPr>
      </w:pPr>
      <w:r>
        <w:rPr>
          <w:rFonts w:ascii="Courier New" w:cs="Courier New" w:eastAsia="Courier New" w:hAnsi="Courier New"/>
          <w:sz w:val="14"/>
          <w:szCs w:val="14"/>
          <w:color w:val="auto"/>
        </w:rPr>
        <w:t>IF WE FAIL TO ADAPT TO CHANGING MARKET CONDITIONS AND CANNOT COMPETE SUCCESSFULLY WITH EXISTING OR NEW COMPETITORS, OUR BUSINESS COULD BE HARMED.</w:t>
      </w:r>
    </w:p>
    <w:p>
      <w:pPr>
        <w:spacing w:after="0" w:line="16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a combination of services, such as system modernization and consolidation, management and operation of data centers, purchase and management of related hardware assets, billing operations and application support.</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164"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We believe that our ability to compete depends on a number of factors, including:</w:t>
      </w:r>
    </w:p>
    <w:p>
      <w:pPr>
        <w:spacing w:after="0" w:line="160" w:lineRule="exact"/>
        <w:rPr>
          <w:sz w:val="20"/>
          <w:szCs w:val="20"/>
          <w:color w:val="auto"/>
        </w:rPr>
      </w:pPr>
    </w:p>
    <w:p>
      <w:pPr>
        <w:ind w:left="1320" w:right="3539" w:hanging="530"/>
        <w:spacing w:after="0" w:line="258" w:lineRule="auto"/>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development by others of software that is competitive with our products and services,</w:t>
      </w:r>
    </w:p>
    <w:p>
      <w:pPr>
        <w:spacing w:after="0" w:line="159" w:lineRule="exact"/>
        <w:rPr>
          <w:rFonts w:ascii="Courier New" w:cs="Courier New" w:eastAsia="Courier New" w:hAnsi="Courier New"/>
          <w:sz w:val="14"/>
          <w:szCs w:val="14"/>
          <w:color w:val="auto"/>
        </w:rPr>
      </w:pPr>
    </w:p>
    <w:p>
      <w:pPr>
        <w:ind w:left="1320" w:right="4059" w:hanging="530"/>
        <w:spacing w:after="0" w:line="258" w:lineRule="auto"/>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at which others offer competitive software and services,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responsiveness of our competitors to customer needs, and</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of our competitors to hire, retain and motivate key personnel.</w:t>
      </w:r>
    </w:p>
    <w:p>
      <w:pPr>
        <w:spacing w:after="0" w:line="160" w:lineRule="exact"/>
        <w:rPr>
          <w:sz w:val="20"/>
          <w:szCs w:val="20"/>
          <w:color w:val="auto"/>
        </w:rPr>
      </w:pPr>
    </w:p>
    <w:p>
      <w:pPr>
        <w:ind w:right="3639" w:firstLine="781"/>
        <w:spacing w:after="0" w:line="253" w:lineRule="auto"/>
        <w:rPr>
          <w:sz w:val="20"/>
          <w:szCs w:val="20"/>
          <w:color w:val="auto"/>
        </w:rPr>
      </w:pPr>
      <w:r>
        <w:rPr>
          <w:rFonts w:ascii="Courier New" w:cs="Courier New" w:eastAsia="Courier New" w:hAnsi="Courier New"/>
          <w:sz w:val="14"/>
          <w:szCs w:val="14"/>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640" w:gutter="0" w:footer="0" w:header="0"/>
        </w:sectPr>
      </w:pPr>
    </w:p>
    <w:bookmarkStart w:id="15" w:name="page16"/>
    <w:bookmarkEnd w:id="15"/>
    <w:p>
      <w:pPr>
        <w:ind w:right="3279"/>
        <w:spacing w:after="0" w:line="253" w:lineRule="auto"/>
        <w:rPr>
          <w:sz w:val="20"/>
          <w:szCs w:val="20"/>
          <w:color w:val="auto"/>
        </w:rPr>
      </w:pPr>
      <w:r>
        <w:rPr>
          <w:rFonts w:ascii="Courier New" w:cs="Courier New" w:eastAsia="Courier New" w:hAnsi="Courier New"/>
          <w:sz w:val="14"/>
          <w:szCs w:val="14"/>
          <w:color w:val="auto"/>
        </w:rPr>
        <w:t>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64" w:lineRule="exact"/>
        <w:rPr>
          <w:sz w:val="20"/>
          <w:szCs w:val="20"/>
          <w:color w:val="auto"/>
        </w:rPr>
      </w:pPr>
    </w:p>
    <w:p>
      <w:pPr>
        <w:ind w:left="440" w:right="3279"/>
        <w:spacing w:after="0" w:line="258" w:lineRule="auto"/>
        <w:rPr>
          <w:sz w:val="20"/>
          <w:szCs w:val="20"/>
          <w:color w:val="auto"/>
        </w:rPr>
      </w:pPr>
      <w:r>
        <w:rPr>
          <w:rFonts w:ascii="Courier New" w:cs="Courier New" w:eastAsia="Courier New" w:hAnsi="Courier New"/>
          <w:sz w:val="14"/>
          <w:szCs w:val="14"/>
          <w:color w:val="auto"/>
        </w:rPr>
        <w:t>IF WE DO NOT CONTINUALLY ENHANCE OUR PRODUCTS AND SERVICE OFFERINGS, WE MAY HAVE DIFFICULTY RETAINING EXISTING CUSTOMERS AND ATTRACTING NEW CUSTOMERS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164"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WE MAY SEEK TO ACQUIRE COMPANIES OR TECHNOLOGIES, WHICH COULD DISRUPT OUR ONGOING BUSINESS, DISTRACT OUR MANAGEMENT AND EMPLOYEES AND ADVERSELY AFFECT OUR RESULTS OF OPERATIONS.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163" w:lineRule="exact"/>
        <w:rPr>
          <w:sz w:val="20"/>
          <w:szCs w:val="20"/>
          <w:color w:val="auto"/>
        </w:rPr>
      </w:pPr>
    </w:p>
    <w:p>
      <w:pPr>
        <w:ind w:left="440" w:right="3279"/>
        <w:spacing w:after="0" w:line="255" w:lineRule="auto"/>
        <w:rPr>
          <w:sz w:val="20"/>
          <w:szCs w:val="20"/>
          <w:color w:val="auto"/>
        </w:rPr>
      </w:pPr>
      <w:r>
        <w:rPr>
          <w:rFonts w:ascii="Courier New" w:cs="Courier New" w:eastAsia="Courier New" w:hAnsi="Courier New"/>
          <w:sz w:val="14"/>
          <w:szCs w:val="14"/>
          <w:color w:val="auto"/>
        </w:rPr>
        <w:t>OUR BUSINESS IS DEPENDENT ON A LIMITED NUMBER OF SIGNIFICANT CUSTOMERS, AND THE LOSS OF ANY ONE OF OUR SIGNIFICANT CUSTOMERS COULD HARM OUR RESULTS OF OPERATIONS.</w:t>
      </w:r>
    </w:p>
    <w:p>
      <w:pPr>
        <w:spacing w:after="0" w:line="329"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Our business is highly dependent on a limited number of significant customers. Our three largest groups of customers are comprised of Bell Canada, Nextel Communications, Inc. ("Nextel") and SBC Communications Inc. ("SBC") and certain of their subsidiaries, each of which accounted for more than 10% of our revenue in fiscal 2003. Aggregate revenue derived from the multiple business arrangements we have with our five largest customer groups accounted for approximately 55% of our revenue in fiscal 2003. SBC has historically been one of our largest shareholders, and, as of September 30, 2004, it beneficially owned approximately 6.3% of our outstanding ordinary shares. The loss of any significant customer or a significant decrease in business from any such customer could harm our results of operations and financial condition.</w:t>
      </w:r>
    </w:p>
    <w:p>
      <w:pPr>
        <w:spacing w:after="0" w:line="200" w:lineRule="exact"/>
        <w:rPr>
          <w:sz w:val="20"/>
          <w:szCs w:val="20"/>
          <w:color w:val="auto"/>
        </w:rPr>
      </w:pPr>
    </w:p>
    <w:p>
      <w:pPr>
        <w:spacing w:after="0" w:line="298"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revenues and profits.</w:t>
      </w:r>
    </w:p>
    <w:p>
      <w:pPr>
        <w:spacing w:after="0" w:line="332" w:lineRule="exact"/>
        <w:rPr>
          <w:sz w:val="20"/>
          <w:szCs w:val="20"/>
          <w:color w:val="auto"/>
        </w:rPr>
      </w:pPr>
    </w:p>
    <w:p>
      <w:pPr>
        <w:jc w:val="both"/>
        <w:ind w:left="440" w:right="4059"/>
        <w:spacing w:after="0" w:line="255" w:lineRule="auto"/>
        <w:rPr>
          <w:sz w:val="20"/>
          <w:szCs w:val="20"/>
          <w:color w:val="auto"/>
        </w:rPr>
      </w:pPr>
      <w:r>
        <w:rPr>
          <w:rFonts w:ascii="Courier New" w:cs="Courier New" w:eastAsia="Courier New" w:hAnsi="Courier New"/>
          <w:sz w:val="14"/>
          <w:szCs w:val="14"/>
          <w:color w:val="auto"/>
        </w:rPr>
        <w:t>OUR FUTURE SUCCESS WILL DEPEND ON OUR ABILITY TO DEVELOP LONG-TERM RELATIONSHIPS WITH OUR CUSTOMERS AND TO MEET THEIR EXPECTATIONS IN PROVIDING PRODUCTS AND PERFORMING SERVICES.</w:t>
      </w:r>
    </w:p>
    <w:p>
      <w:pPr>
        <w:spacing w:after="0" w:line="162"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We believe that our future success will depend to a significant extent on our ability to develop long-term relationships with successful network operators and service providers with the financial and</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16" w:name="page17"/>
    <w:bookmarkEnd w:id="16"/>
    <w:p>
      <w:pPr>
        <w:ind w:right="3279"/>
        <w:spacing w:after="0" w:line="253" w:lineRule="auto"/>
        <w:rPr>
          <w:sz w:val="20"/>
          <w:szCs w:val="20"/>
          <w:color w:val="auto"/>
        </w:rPr>
      </w:pPr>
      <w:r>
        <w:rPr>
          <w:rFonts w:ascii="Courier New" w:cs="Courier New" w:eastAsia="Courier New" w:hAnsi="Courier New"/>
          <w:sz w:val="14"/>
          <w:szCs w:val="14"/>
          <w:color w:val="auto"/>
        </w:rPr>
        <w:t>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165" w:lineRule="exact"/>
        <w:rPr>
          <w:sz w:val="20"/>
          <w:szCs w:val="20"/>
          <w:color w:val="auto"/>
        </w:rPr>
      </w:pPr>
    </w:p>
    <w:p>
      <w:pPr>
        <w:ind w:left="440" w:right="3379"/>
        <w:spacing w:after="0" w:line="258" w:lineRule="auto"/>
        <w:rPr>
          <w:sz w:val="20"/>
          <w:szCs w:val="20"/>
          <w:color w:val="auto"/>
        </w:rPr>
      </w:pPr>
      <w:r>
        <w:rPr>
          <w:rFonts w:ascii="Courier New" w:cs="Courier New" w:eastAsia="Courier New" w:hAnsi="Courier New"/>
          <w:sz w:val="14"/>
          <w:szCs w:val="14"/>
          <w:color w:val="auto"/>
        </w:rPr>
        <w:t>WE MAY BE EXPOSED TO THE CREDIT RISK OF CUSTOMERS THAT HAVE BEEN ADVERSELY AFFECTED BY WEAKENED MARKETS.</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329" w:lineRule="exact"/>
        <w:rPr>
          <w:sz w:val="20"/>
          <w:szCs w:val="20"/>
          <w:color w:val="auto"/>
        </w:rPr>
      </w:pPr>
    </w:p>
    <w:p>
      <w:pPr>
        <w:ind w:left="440" w:right="3279"/>
        <w:spacing w:after="0" w:line="254" w:lineRule="auto"/>
        <w:rPr>
          <w:sz w:val="20"/>
          <w:szCs w:val="20"/>
          <w:color w:val="auto"/>
        </w:rPr>
      </w:pPr>
      <w:r>
        <w:rPr>
          <w:rFonts w:ascii="Courier New" w:cs="Courier New" w:eastAsia="Courier New" w:hAnsi="Courier New"/>
          <w:sz w:val="14"/>
          <w:szCs w:val="14"/>
          <w:color w:val="auto"/>
        </w:rPr>
        <w:t>THE SKILLED AND HIGHLY QUALIFIED EMPLOYEES THAT WE NEED TO DEVELOP, IMPLEMENT AND MODIFY OUR SOLUTIONS MAY BE DIFFICULT TO HIRE AND RETAIN, AND IF WE ARE UNABLE TO HIRE AND RETAIN SUCH PERSONNEL, WE COULD FACE INCREASED COSTS TO RETAIN OUR SKILLED EMPLOYEES.</w:t>
      </w:r>
    </w:p>
    <w:p>
      <w:pPr>
        <w:spacing w:after="0" w:line="163"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Although we made reductions in our workforce in fiscal 2002 and in the first quarter of fiscal 2003, we continually need to hire sales, support, technical and other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employees at a rapid rate. We may face difficulties identifying and hiring qualified personnel. Our inability to hire and retain the appropriate personnel could increase our costs of retaining skilled employees and make it difficult for us to manage our operations, to meet our commitments and to compete for new customer contracts.</w:t>
      </w:r>
    </w:p>
    <w:p>
      <w:pPr>
        <w:spacing w:after="0" w:line="17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163" w:lineRule="exact"/>
        <w:rPr>
          <w:sz w:val="20"/>
          <w:szCs w:val="20"/>
          <w:color w:val="auto"/>
        </w:rPr>
      </w:pPr>
    </w:p>
    <w:p>
      <w:pPr>
        <w:ind w:left="440" w:right="3379"/>
        <w:spacing w:after="0" w:line="255" w:lineRule="auto"/>
        <w:rPr>
          <w:sz w:val="20"/>
          <w:szCs w:val="20"/>
          <w:color w:val="auto"/>
        </w:rPr>
      </w:pPr>
      <w:r>
        <w:rPr>
          <w:rFonts w:ascii="Courier New" w:cs="Courier New" w:eastAsia="Courier New" w:hAnsi="Courier New"/>
          <w:sz w:val="14"/>
          <w:szCs w:val="14"/>
          <w:color w:val="auto"/>
        </w:rPr>
        <w:t>OUR QUARTERLY OPERATING RESULTS MAY FLUCTUATE, AND A DECLINE IN REVENUE IN ANY QUARTER COULD RESULT IN LOWER PROFITABILITY FOR THAT QUARTER AND FLUCTUATIONS IN THE MARKET PRICE OF OUR ORDINARY SHARES.</w:t>
      </w:r>
    </w:p>
    <w:p>
      <w:pPr>
        <w:spacing w:after="0" w:line="162" w:lineRule="exact"/>
        <w:rPr>
          <w:sz w:val="20"/>
          <w:szCs w:val="20"/>
          <w:color w:val="auto"/>
        </w:rPr>
      </w:pPr>
    </w:p>
    <w:p>
      <w:pPr>
        <w:jc w:val="both"/>
        <w:ind w:right="3279" w:firstLine="781"/>
        <w:spacing w:after="0" w:line="255" w:lineRule="auto"/>
        <w:rPr>
          <w:sz w:val="20"/>
          <w:szCs w:val="20"/>
          <w:color w:val="auto"/>
        </w:rPr>
      </w:pPr>
      <w:r>
        <w:rPr>
          <w:rFonts w:ascii="Courier New" w:cs="Courier New" w:eastAsia="Courier New" w:hAnsi="Courier New"/>
          <w:sz w:val="14"/>
          <w:szCs w:val="14"/>
          <w:color w:val="auto"/>
        </w:rPr>
        <w:t>We have experienced fluctuations in our quarterly operating results and anticipate that such movement may continue and could intensify. Fluctuations may result from many factors, including:</w:t>
      </w:r>
    </w:p>
    <w:p>
      <w:pPr>
        <w:spacing w:after="0" w:line="162" w:lineRule="exact"/>
        <w:rPr>
          <w:sz w:val="20"/>
          <w:szCs w:val="20"/>
          <w:color w:val="auto"/>
        </w:rPr>
      </w:pPr>
    </w:p>
    <w:p>
      <w:pPr>
        <w:ind w:left="1320" w:right="3379" w:hanging="530"/>
        <w:spacing w:after="0" w:line="258" w:lineRule="auto"/>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size and timing of significant customer projects and license fees,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delays in or cancellations of significant projects by customers,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operating expenses,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competition,</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our strategy,</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personnel changes,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currency exchange rate fluctuations, and</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economic and political conditions.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Generally, our license fee revenue and our service fee revenue relating to customization and modification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329"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974" w:gutter="0" w:footer="0" w:header="0"/>
        </w:sectPr>
      </w:pPr>
    </w:p>
    <w:bookmarkStart w:id="17" w:name="page18"/>
    <w:bookmarkEnd w:id="17"/>
    <w:p>
      <w:pPr>
        <w:ind w:right="3379"/>
        <w:spacing w:after="0" w:line="254" w:lineRule="auto"/>
        <w:rPr>
          <w:sz w:val="20"/>
          <w:szCs w:val="20"/>
          <w:color w:val="auto"/>
        </w:rPr>
      </w:pPr>
      <w:r>
        <w:rPr>
          <w:rFonts w:ascii="Courier New" w:cs="Courier New" w:eastAsia="Courier New" w:hAnsi="Courier New"/>
          <w:sz w:val="14"/>
          <w:szCs w:val="14"/>
          <w:color w:val="auto"/>
        </w:rPr>
        <w:t>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163" w:lineRule="exact"/>
        <w:rPr>
          <w:sz w:val="20"/>
          <w:szCs w:val="20"/>
          <w:color w:val="auto"/>
        </w:rPr>
      </w:pPr>
    </w:p>
    <w:p>
      <w:pPr>
        <w:ind w:left="440" w:right="3279"/>
        <w:spacing w:after="0" w:line="255" w:lineRule="auto"/>
        <w:rPr>
          <w:sz w:val="20"/>
          <w:szCs w:val="20"/>
          <w:color w:val="auto"/>
        </w:rPr>
      </w:pPr>
      <w:r>
        <w:rPr>
          <w:rFonts w:ascii="Courier New" w:cs="Courier New" w:eastAsia="Courier New" w:hAnsi="Courier New"/>
          <w:sz w:val="14"/>
          <w:szCs w:val="14"/>
          <w:color w:val="auto"/>
        </w:rPr>
        <w:t>OUR REVENUE, EARNINGS AND PROFITABILITY ARE IMPACTED BY THE LENGTH OF OUR SALES CYCLE, AND A LONGER SALES CYCLE COULD ADVERSELY AFFECT OUR RESULTS OF OPERATIONS AND FINANCIAL CONDITION.</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Beginning in the second half of fiscal 2002, buying decisions of communications providers were often delayed due to adverse conditions in the business environment, and our sales cycle period lengthened as a result. The lengthening of our sales cycle could reduce growth in our revenue in the future. In addition, the lengthening of our sales cycle contributes to an increased cost of sales, thereby reducing our profitability.</w:t>
      </w:r>
    </w:p>
    <w:p>
      <w:pPr>
        <w:spacing w:after="0" w:line="173" w:lineRule="exact"/>
        <w:rPr>
          <w:sz w:val="20"/>
          <w:szCs w:val="20"/>
          <w:color w:val="auto"/>
        </w:rPr>
      </w:pPr>
    </w:p>
    <w:p>
      <w:pPr>
        <w:ind w:left="440" w:right="3899"/>
        <w:spacing w:after="0" w:line="258" w:lineRule="auto"/>
        <w:rPr>
          <w:sz w:val="20"/>
          <w:szCs w:val="20"/>
          <w:color w:val="auto"/>
        </w:rPr>
      </w:pPr>
      <w:r>
        <w:rPr>
          <w:rFonts w:ascii="Courier New" w:cs="Courier New" w:eastAsia="Courier New" w:hAnsi="Courier New"/>
          <w:sz w:val="14"/>
          <w:szCs w:val="14"/>
          <w:color w:val="auto"/>
        </w:rPr>
        <w:t>IF THE MARKET FOR OUR PRODUCTS DETERIORATES, WE MAY INCUR ADDITIONAL RESTRUCTURING CHARGES.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 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164" w:lineRule="exact"/>
        <w:rPr>
          <w:sz w:val="20"/>
          <w:szCs w:val="20"/>
          <w:color w:val="auto"/>
        </w:rPr>
      </w:pPr>
    </w:p>
    <w:p>
      <w:pPr>
        <w:ind w:left="440" w:right="3799"/>
        <w:spacing w:after="0" w:line="258" w:lineRule="auto"/>
        <w:rPr>
          <w:sz w:val="20"/>
          <w:szCs w:val="20"/>
          <w:color w:val="auto"/>
        </w:rPr>
      </w:pPr>
      <w:r>
        <w:rPr>
          <w:rFonts w:ascii="Courier New" w:cs="Courier New" w:eastAsia="Courier New" w:hAnsi="Courier New"/>
          <w:sz w:val="14"/>
          <w:szCs w:val="14"/>
          <w:color w:val="auto"/>
        </w:rPr>
        <w:t>IF WE FAIL TO SUCCESSFULLY PLAN AND MANAGE CHANGES IN THE SIZE OF OUR OPERATIONS OUR BUSINESS WILL SUFFER.</w:t>
      </w:r>
    </w:p>
    <w:p>
      <w:pPr>
        <w:spacing w:after="0" w:line="160"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restructurings and cost reduction measures reduced the size of our operations. On February 29, 2004, we employed approximately 9,000 individuals in software and information technology positions, compared to approximately 7,800 on January 31, 2003 and 9,100 on November 30, 2001. Our software and information technology workforce increased in the fourth quarter of fiscal 2003 and first quarter of fiscal 2004, primarily as a result of the Certen acquisition in July 2003 and a Managed Services agreement signed in January 2003. During periods of contraction, we disposed of office space and related obligations in an effort to keep pace with the changing size of our operations. Our recent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173"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OUR INTERNATIONAL PRESENCE EXPOSES US TO RISKS ASSOCIATED WITH VARIED AND CHANGING POLITICAL, CULTURAL AND ECONOMIC CONDITIONS WORLDWIDE.</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are affected by risks associated with conducting business internationally. We maintain development facilities in Israel, the United States, Cyprus, Ireland and Canada, operate a support center in Brazil and have operations in North America, Europe, Latin America and the Asia-Pacific region. Although a majority of our revenue is derived from customers in North America and Europe, we obtain</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18" w:name="page19"/>
    <w:bookmarkEnd w:id="18"/>
    <w:p>
      <w:pPr>
        <w:ind w:right="3279"/>
        <w:spacing w:after="0" w:line="254" w:lineRule="auto"/>
        <w:rPr>
          <w:sz w:val="20"/>
          <w:szCs w:val="20"/>
          <w:color w:val="auto"/>
        </w:rPr>
      </w:pPr>
      <w:r>
        <w:rPr>
          <w:rFonts w:ascii="Courier New" w:cs="Courier New" w:eastAsia="Courier New" w:hAnsi="Courier New"/>
          <w:sz w:val="14"/>
          <w:szCs w:val="14"/>
          <w:color w:val="auto"/>
        </w:rPr>
        <w:t>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162" w:lineRule="exact"/>
        <w:rPr>
          <w:sz w:val="20"/>
          <w:szCs w:val="20"/>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lack of acceptance of non-localized products,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and cultural differences in the conduct of business,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in staffing and managing foreign operations,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longer payment cycles,</w:t>
      </w:r>
    </w:p>
    <w:p>
      <w:pPr>
        <w:spacing w:after="0" w:line="175"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in collecting accounts receivable and withholding taxes that limit the repatriation of earnings,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 barriers,</w:t>
      </w:r>
    </w:p>
    <w:p>
      <w:pPr>
        <w:spacing w:after="0" w:line="175"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immigration regulations that limit our ability to deploy our employees,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political instability, and</w:t>
      </w:r>
    </w:p>
    <w:p>
      <w:pPr>
        <w:spacing w:after="0" w:line="175"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variations in effective income tax rates among countries where we conduct business.</w:t>
      </w:r>
    </w:p>
    <w:p>
      <w:pPr>
        <w:spacing w:after="0" w:line="160"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One or more of these factors could have a material adverse effect on our international operations, which could harm our results of operations and financial condition.</w:t>
      </w:r>
    </w:p>
    <w:p>
      <w:pPr>
        <w:spacing w:after="0" w:line="162"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POLITICAL AND ECONOMIC CONDITIONS IN THE MIDDLE EAST MAY ADVERSELY AFFECT OUR BUSINESS AND OUR DEVELOPMENT FACILITY IN CYPRUS MAY BE ADVERSELY AFFECTED BY POLITICAL CONDITIONS IN THAT COUNTRY.</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Of the five development centers we maintain worldwide, our largest development center is located in five different sites throughout Israel. Approximately half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While Israel has entered into peace agreements with both Egypt and Jordan, Israel has not entered into peace arrangements with any other neighboring countries. Over the past three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recently joined the European Union, intensive discussions facilitated by the United Nations, the European Union and the United States have not resulted in an agreed-upon plan of reunification for Cyprus. Any major hostilities between Cyprus and Turkey or the failure of the parties to finalize a peaceful resolution may have a material adverse effect on our development facility in Cyprus.</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19" w:name="page20"/>
    <w:bookmarkEnd w:id="19"/>
    <w:p>
      <w:pPr>
        <w:ind w:left="440" w:right="3279"/>
        <w:spacing w:after="0" w:line="260" w:lineRule="auto"/>
        <w:rPr>
          <w:sz w:val="20"/>
          <w:szCs w:val="20"/>
          <w:color w:val="auto"/>
        </w:rPr>
      </w:pPr>
      <w:r>
        <w:rPr>
          <w:rFonts w:ascii="Courier New" w:cs="Courier New" w:eastAsia="Courier New" w:hAnsi="Courier New"/>
          <w:sz w:val="14"/>
          <w:szCs w:val="14"/>
          <w:color w:val="auto"/>
        </w:rPr>
        <w:t>OUR INTERNATIONAL OPERATIONS EXPOSE US TO RISKS ASSOCIATED WITH FLUCTUATIONS IN FOREIGN CURRENCY EXCHANGE RATES THAT COULD ADVERSELY AFFECT OUR BUSINESS.</w:t>
      </w:r>
    </w:p>
    <w:p>
      <w:pPr>
        <w:spacing w:after="0" w:line="32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Although approximately half of our employees are located in Israel and we have operations throughout the world, the majority of our revenues and costs are denominated in, or linked to, the U.S. dollar. Accordingly, we consider the U.S. dollar to be our functional currency. However, a significant portion of our operating costs is incurred outside the United States in other currencies.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17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 addition, a portion of our revenue (approximately 20% in fiscal 2003)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165"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The imposition of exchange or price controls or other restrictions on the conversion of foreign currencies could also have a material adverse effect on our business, results of operations and financial condition.</w:t>
      </w:r>
    </w:p>
    <w:p>
      <w:pPr>
        <w:spacing w:after="0" w:line="162" w:lineRule="exact"/>
        <w:rPr>
          <w:sz w:val="20"/>
          <w:szCs w:val="20"/>
          <w:color w:val="auto"/>
        </w:rPr>
      </w:pPr>
    </w:p>
    <w:p>
      <w:pPr>
        <w:ind w:left="440" w:right="4679"/>
        <w:spacing w:after="0" w:line="258" w:lineRule="auto"/>
        <w:rPr>
          <w:sz w:val="20"/>
          <w:szCs w:val="20"/>
          <w:color w:val="auto"/>
        </w:rPr>
      </w:pPr>
      <w:r>
        <w:rPr>
          <w:rFonts w:ascii="Courier New" w:cs="Courier New" w:eastAsia="Courier New" w:hAnsi="Courier New"/>
          <w:sz w:val="14"/>
          <w:szCs w:val="14"/>
          <w:color w:val="auto"/>
        </w:rPr>
        <w:t>IF WE ARE UNABLE TO PROTECT OUR PROPRIETARY TECHNOLOGY FROM MISAPPROPRIATION, OUR BUSINESS MAY BE HARMED.</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subcontractors, customers and potential customers and limit access to, and distribution of, our proprietary information.</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165"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If we have to resort to legal proceedings to enforce our intellectual property rights, the proceedings could be burdensome, protracted and expensive and could involve a high degree of risk.</w:t>
      </w:r>
    </w:p>
    <w:p>
      <w:pPr>
        <w:spacing w:after="0" w:line="162"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CLAIMS BY OTHERS THAT WE INFRINGE THEIR PROPRIETARY TECHNOLOGY COULD HARM OUR BUSINESS.</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20" w:name="page21"/>
    <w:bookmarkEnd w:id="20"/>
    <w:p>
      <w:pPr>
        <w:ind w:right="3379"/>
        <w:spacing w:after="0" w:line="253" w:lineRule="auto"/>
        <w:rPr>
          <w:sz w:val="20"/>
          <w:szCs w:val="20"/>
          <w:color w:val="auto"/>
        </w:rPr>
      </w:pPr>
      <w:r>
        <w:rPr>
          <w:rFonts w:ascii="Courier New" w:cs="Courier New" w:eastAsia="Courier New" w:hAnsi="Courier New"/>
          <w:sz w:val="14"/>
          <w:szCs w:val="14"/>
          <w:color w:val="auto"/>
        </w:rPr>
        <w:t>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PRODUCT DEFECTS OR SOFTWARE ERRORS COULD ADVERSELY AFFECT OUR BUSINESS.</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173" w:lineRule="exact"/>
        <w:rPr>
          <w:sz w:val="20"/>
          <w:szCs w:val="20"/>
          <w:color w:val="auto"/>
        </w:rPr>
      </w:pPr>
    </w:p>
    <w:p>
      <w:pPr>
        <w:ind w:left="440" w:right="3639"/>
        <w:spacing w:after="0" w:line="255" w:lineRule="auto"/>
        <w:rPr>
          <w:sz w:val="20"/>
          <w:szCs w:val="20"/>
          <w:color w:val="auto"/>
        </w:rPr>
      </w:pPr>
      <w:r>
        <w:rPr>
          <w:rFonts w:ascii="Courier New" w:cs="Courier New" w:eastAsia="Courier New" w:hAnsi="Courier New"/>
          <w:sz w:val="14"/>
          <w:szCs w:val="14"/>
          <w:color w:val="auto"/>
        </w:rPr>
        <w:t>SYSTEM DISRUPTIONS AND FAILURES MAY RESULT IN CUSTOMER DISSATISFACTION, CUSTOMER LOSS OR BOTH, WHICH COULD MATERIALLY AND ADVERSELY AFFECT OUR REPUTATION AND BUSINESS.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Our Integrated Customer Management systems are an integral part of our customers' business operations. The continued and uninterrupted performance of these systems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Managed Services include a combination of services, such as system modernization and consolidation, management and operation of data centers, purchase and management of related hardware assets, billing operations and application support. 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21" w:name="page22"/>
    <w:bookmarkEnd w:id="21"/>
    <w:p>
      <w:pPr>
        <w:spacing w:after="0" w:line="7"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from an outage or interruption. Any damage or failure that interrupts or delays our operations could result in material harm to our business and expose us to material liabilities.</w:t>
      </w:r>
    </w:p>
    <w:p>
      <w:pPr>
        <w:spacing w:after="0" w:line="162" w:lineRule="exact"/>
        <w:rPr>
          <w:sz w:val="20"/>
          <w:szCs w:val="20"/>
          <w:color w:val="auto"/>
        </w:rPr>
      </w:pPr>
    </w:p>
    <w:p>
      <w:pPr>
        <w:ind w:left="440" w:right="3979"/>
        <w:spacing w:after="0" w:line="258" w:lineRule="auto"/>
        <w:rPr>
          <w:sz w:val="20"/>
          <w:szCs w:val="20"/>
          <w:color w:val="auto"/>
        </w:rPr>
      </w:pPr>
      <w:r>
        <w:rPr>
          <w:rFonts w:ascii="Courier New" w:cs="Courier New" w:eastAsia="Courier New" w:hAnsi="Courier New"/>
          <w:sz w:val="14"/>
          <w:szCs w:val="14"/>
          <w:color w:val="auto"/>
        </w:rPr>
        <w:t>THE TERMINATION OR REDUCTION OF CERTAIN GOVERNMENT PROGRAMS AND TAX BENEFITS COULD ADVERSELY AFFECT OUR OVERALL EFFECTIVE TAX RATE.</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There can be no assurance that our effective tax rate of 25% for the year ended September 30, 2003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For example, the government of Cyprus has issued a permit to our Cypriot subsidiary pursuant to which its activities are deemed to be offshore activities for Cypriot tax purposes, resulting in an effective tax rate in Cyprus of 4.25%. Our Irish subsidiary entered into an agreement with the Irish Industrial Development Agency by which it qualified for certain job creation grants and, consequently, certain of its activities were deemed to be manufacturing activities for Irish tax purposes, resulting in a corporation tax rate of 10% until December 31, 2002 with respect to such manufacturing activities. Beginning January 1, 2003, our Irish subsidiary became subject to a single corporation tax rate of 12.5%. Israeli companies are generally subject to a company tax of 36% of taxable income, however, certain production and development facilities of our Israeli subsidiary have been granted a status that allows for taxation at a rate of 25% or lower. The status by which these facilities enjoy reduced taxation is subject to certain time limitations.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If we fail to meet the conditions upon which certain favorable tax treatment are based, we could be required to refund tax benefits already received. Additionally, some of these programs and the related tax benefits are available to us for a limited number of years, and these benefits expire from time to time.</w:t>
      </w:r>
    </w:p>
    <w:p>
      <w:pPr>
        <w:spacing w:after="0" w:line="162"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Any of the following could have a material effect on our overall effective tax rate:</w:t>
      </w:r>
    </w:p>
    <w:p>
      <w:pPr>
        <w:spacing w:after="0" w:line="160" w:lineRule="exact"/>
        <w:rPr>
          <w:sz w:val="20"/>
          <w:szCs w:val="20"/>
          <w:color w:val="auto"/>
        </w:rPr>
      </w:pPr>
    </w:p>
    <w:p>
      <w:pPr>
        <w:ind w:left="1320" w:hanging="530"/>
        <w:spacing w:after="0"/>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some programs may be discontinued,</w:t>
      </w:r>
    </w:p>
    <w:p>
      <w:pPr>
        <w:spacing w:after="0" w:line="175" w:lineRule="exact"/>
        <w:rPr>
          <w:rFonts w:ascii="Courier New" w:cs="Courier New" w:eastAsia="Courier New" w:hAnsi="Courier New"/>
          <w:sz w:val="14"/>
          <w:szCs w:val="14"/>
          <w:color w:val="auto"/>
        </w:rPr>
      </w:pPr>
    </w:p>
    <w:p>
      <w:pPr>
        <w:ind w:left="1320" w:right="3799" w:hanging="530"/>
        <w:spacing w:after="0" w:line="258"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be unable to meet the requirements for continuing to qualify for some programs,</w:t>
      </w:r>
    </w:p>
    <w:p>
      <w:pPr>
        <w:spacing w:after="0" w:line="159" w:lineRule="exact"/>
        <w:rPr>
          <w:rFonts w:ascii="Courier New" w:cs="Courier New" w:eastAsia="Courier New" w:hAnsi="Courier New"/>
          <w:sz w:val="14"/>
          <w:szCs w:val="14"/>
          <w:color w:val="auto"/>
        </w:rPr>
      </w:pPr>
    </w:p>
    <w:p>
      <w:pPr>
        <w:ind w:left="1320" w:right="3799" w:hanging="530"/>
        <w:spacing w:after="0" w:line="258"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programs and tax benefits may be unavailable at their current levels,</w:t>
      </w:r>
    </w:p>
    <w:p>
      <w:pPr>
        <w:spacing w:after="0" w:line="159" w:lineRule="exact"/>
        <w:rPr>
          <w:rFonts w:ascii="Courier New" w:cs="Courier New" w:eastAsia="Courier New" w:hAnsi="Courier New"/>
          <w:sz w:val="14"/>
          <w:szCs w:val="14"/>
          <w:color w:val="auto"/>
        </w:rPr>
      </w:pPr>
    </w:p>
    <w:p>
      <w:pPr>
        <w:ind w:left="1320" w:right="3379" w:hanging="530"/>
        <w:spacing w:after="0" w:line="255"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expiration of a particular benefit, we may not be eligible to participate in a new program or qualify for a new tax benefit that would offset the loss of the expiring tax benefit, or</w:t>
      </w:r>
    </w:p>
    <w:p>
      <w:pPr>
        <w:spacing w:after="0" w:line="162"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be required to refund previously recognized tax benefits if we are found to be in violation of the stipulated conditions.</w:t>
      </w:r>
    </w:p>
    <w:p>
      <w:pPr>
        <w:spacing w:after="0" w:line="160" w:lineRule="exact"/>
        <w:rPr>
          <w:sz w:val="20"/>
          <w:szCs w:val="20"/>
          <w:color w:val="auto"/>
        </w:rPr>
      </w:pPr>
    </w:p>
    <w:p>
      <w:pPr>
        <w:ind w:left="440" w:right="3279"/>
        <w:spacing w:after="0" w:line="255" w:lineRule="auto"/>
        <w:rPr>
          <w:sz w:val="20"/>
          <w:szCs w:val="20"/>
          <w:color w:val="auto"/>
        </w:rPr>
      </w:pPr>
      <w:r>
        <w:rPr>
          <w:rFonts w:ascii="Courier New" w:cs="Courier New" w:eastAsia="Courier New" w:hAnsi="Courier New"/>
          <w:sz w:val="14"/>
          <w:szCs w:val="14"/>
          <w:color w:val="auto"/>
        </w:rPr>
        <w:t>WE ARE CURRENTLY A PARTY TO SECURITIES LITIGATION CLASS ACTION LAWSUITS AND A SECURITIES EXCHANGE COMMISSION INVESTIGATION, WHICH COULD NEGATIVELY AFFECT OUR BUSINESS AND RESULTS OF OPERATIONS.</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Beginning in June 2002, a number of complaints were filed by holders of our ordinary shares against Amdocs and certain of our officers and directors in the United States District Court for the Eastern District of Missouri and the Southern District of New York. The cases were transferred to and consolidated in the Eastern District of Missouri. The consolidated amended complaint filed in the action alleged that Amdocs and the individual defendants had made false or misleading statements about our business and future prospects during a putative class period between July 18, 2000 and June 20, 2002. On December 1, 2003, the court issued an order granting our motion to dismiss the securities class action lawsuits and directing that judgment be entered in favor of the defendants. On December 29, 2003, the lead plaintiffs appealed to the United States Court of Appeals for the Eighth Circuit from the final judgment entered on December 1, 2003. The litigation has been, and may continue to be, time-consuming and costly and could divert the attention of our management personnel. These lawsuits or any future lawsuits filed against us could harm our business.</w:t>
      </w:r>
    </w:p>
    <w:p>
      <w:pPr>
        <w:spacing w:after="0" w:line="17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addition, we have been informed that the Midwest Regional Office of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 At a minimum, this investigation may divert the attention of our management and other resources that would otherwise be engaged in operating our business.</w:t>
      </w:r>
    </w:p>
    <w:p>
      <w:pPr>
        <w:spacing w:after="0" w:line="164"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IT MAY BE DIFFICULT FOR OUR SHAREHOLDERS TO ENFORCE ANY JUDGMENT OBTAINED IN THE UNITED STATES AGAINST US, THE SELLING SECURITYHOLDERS OR OUR AFFILIATES.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incorporated under the laws of the Island of Guernsey and several of our directors and executive officers are not residents of the United States. A significant portion of our assets and the assets of those persons are located outside the United States. Additionally, we believe that some of the selling securityholders who are participating in this offering reside outside the United States. As a result, it may not be possible for investors to effect service of process upon us within the United States or upon such persons outside their jurisdiction of residence. Also, we have been advised that there is doubt</w:t>
      </w:r>
    </w:p>
    <w:p>
      <w:pPr>
        <w:sectPr>
          <w:pgSz w:w="11900" w:h="16846" w:orient="portrait"/>
          <w:cols w:equalWidth="0" w:num="1">
            <w:col w:w="10239"/>
          </w:cols>
          <w:pgMar w:left="220" w:top="620" w:right="1440" w:bottom="0" w:gutter="0" w:footer="0" w:header="0"/>
        </w:sectPr>
      </w:pPr>
    </w:p>
    <w:bookmarkStart w:id="22" w:name="page23"/>
    <w:bookmarkEnd w:id="22"/>
    <w:p>
      <w:pPr>
        <w:ind w:right="3379"/>
        <w:spacing w:after="0" w:line="254" w:lineRule="auto"/>
        <w:rPr>
          <w:sz w:val="20"/>
          <w:szCs w:val="20"/>
          <w:color w:val="auto"/>
        </w:rPr>
      </w:pPr>
      <w:r>
        <w:rPr>
          <w:rFonts w:ascii="Courier New" w:cs="Courier New" w:eastAsia="Courier New" w:hAnsi="Courier New"/>
          <w:sz w:val="14"/>
          <w:szCs w:val="14"/>
          <w:color w:val="auto"/>
        </w:rPr>
        <w:t>as to the enforceability in Guernsey of judgments of the U.S. courts of civil liabilities predicated solely upon the laws of the United States, including the federal securities laws. See the "Enforceability of Civil Liabilities" section of this prospectus.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OUR CAPITAL STRUCTURE</w:t>
      </w:r>
    </w:p>
    <w:p>
      <w:pPr>
        <w:spacing w:after="0" w:line="175"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THE MARKET PRICE OF OUR ORDINARY SHARES HAS AND MAY CONTINUE TO FLUCTUATE WIDELY.</w:t>
      </w:r>
    </w:p>
    <w:p>
      <w:pPr>
        <w:spacing w:after="0" w:line="327"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market price of our ordinary shares has fluctuated widely and may continue to do so. During fiscal year 2004, our ordinary shares traded as high as $30.69 per share and as low as $18.08 per share. During fiscal year 2003, our ordinary shares traded as high as $27.25 per share and as low as $5.85 per share.</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141" w:right="1440" w:bottom="1440" w:gutter="0" w:footer="0" w:header="0"/>
        </w:sectPr>
      </w:pPr>
    </w:p>
    <w:bookmarkStart w:id="23" w:name="page24"/>
    <w:bookmarkEnd w:id="23"/>
    <w:p>
      <w:pPr>
        <w:ind w:right="3379"/>
        <w:spacing w:after="0" w:line="254" w:lineRule="auto"/>
        <w:rPr>
          <w:sz w:val="20"/>
          <w:szCs w:val="20"/>
          <w:color w:val="auto"/>
        </w:rPr>
      </w:pPr>
      <w:r>
        <w:rPr>
          <w:rFonts w:ascii="Courier New" w:cs="Courier New" w:eastAsia="Courier New" w:hAnsi="Courier New"/>
          <w:sz w:val="14"/>
          <w:szCs w:val="14"/>
          <w:color w:val="auto"/>
        </w:rPr>
        <w:t>Our ordinary shares traded as high as $39.25 per share and as low as $6.10 per share in fiscal 2002 and as high as $80.50 per share and as low as $25.85 per share in fiscal 2001. As of October 12, 2004, the closing price of our ordinary shares was $21.38 per share. Many factors could cause the market price of our ordinary shares to rise and fall, including:</w:t>
      </w:r>
    </w:p>
    <w:p>
      <w:pPr>
        <w:spacing w:after="0" w:line="329" w:lineRule="exact"/>
        <w:rPr>
          <w:sz w:val="20"/>
          <w:szCs w:val="20"/>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conditions in the industry and the economy as a whole,</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variations in our quarterly operating results,</w:t>
      </w:r>
    </w:p>
    <w:p>
      <w:pPr>
        <w:spacing w:after="0" w:line="175" w:lineRule="exact"/>
        <w:rPr>
          <w:rFonts w:ascii="Courier New" w:cs="Courier New" w:eastAsia="Courier New" w:hAnsi="Courier New"/>
          <w:sz w:val="14"/>
          <w:szCs w:val="14"/>
          <w:color w:val="auto"/>
        </w:rPr>
      </w:pPr>
    </w:p>
    <w:p>
      <w:pPr>
        <w:ind w:left="1320" w:right="415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announcements of technological innovations by us or our competitors,</w:t>
      </w:r>
    </w:p>
    <w:p>
      <w:pPr>
        <w:spacing w:after="0" w:line="159"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introductions of new products or new pricing policies by us or our competitors,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trends in the communications or software industries,</w:t>
      </w:r>
    </w:p>
    <w:p>
      <w:pPr>
        <w:spacing w:after="0" w:line="175"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or strategic alliances by us or others in our industry,</w:t>
      </w:r>
    </w:p>
    <w:p>
      <w:pPr>
        <w:spacing w:after="0" w:line="159" w:lineRule="exact"/>
        <w:rPr>
          <w:rFonts w:ascii="Courier New" w:cs="Courier New" w:eastAsia="Courier New" w:hAnsi="Courier New"/>
          <w:sz w:val="14"/>
          <w:szCs w:val="14"/>
          <w:color w:val="auto"/>
        </w:rPr>
      </w:pPr>
    </w:p>
    <w:p>
      <w:pPr>
        <w:ind w:left="1320" w:right="363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estimates of our performance or recommendations by financial analysts, and</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political developments in the Middle East.</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THE NOTES</w:t>
      </w:r>
    </w:p>
    <w:p>
      <w:pPr>
        <w:spacing w:after="0" w:line="175" w:lineRule="exact"/>
        <w:rPr>
          <w:sz w:val="20"/>
          <w:szCs w:val="20"/>
          <w:color w:val="auto"/>
        </w:rPr>
      </w:pPr>
    </w:p>
    <w:p>
      <w:pPr>
        <w:ind w:left="440" w:right="3279"/>
        <w:spacing w:after="0" w:line="258" w:lineRule="auto"/>
        <w:rPr>
          <w:sz w:val="20"/>
          <w:szCs w:val="20"/>
          <w:color w:val="auto"/>
        </w:rPr>
      </w:pPr>
      <w:r>
        <w:rPr>
          <w:rFonts w:ascii="Courier New" w:cs="Courier New" w:eastAsia="Courier New" w:hAnsi="Courier New"/>
          <w:sz w:val="14"/>
          <w:szCs w:val="14"/>
          <w:color w:val="auto"/>
        </w:rPr>
        <w:t>THE NOTES ARE EFFECTIVELY SUBORDINATED TO THE DEBT AND OTHER LIABILITIES OF OUR SUBSIDIARIES.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a holding company for the various subsidiaries that conduct our business on a worldwide basis. The notes are obligations exclusively of our company and are not guaranteed by our subsidiaries. The notes are unsecured and effectively subordinated to the liabilities, including trade payables, of our subsidiaries. Neither we nor our subsidiaries are prohibited from incurring debt under the indenture, including senior indebtedness. If we or our subsidiaries were to incur additional debt or liabilities, our ability to pay our obligations on the notes could be adversely affected. As of June 30, 2004, our subsidiaries had liabilities of approximately $964.7 million. We may from time to time incur additional debt. Our subsidiaries may also from time to time incur other additional debt and liabilities. The notes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787" w:right="1440" w:bottom="1440" w:gutter="0" w:footer="0" w:header="0"/>
        </w:sectPr>
      </w:pPr>
    </w:p>
    <w:bookmarkStart w:id="24" w:name="page25"/>
    <w:bookmarkEnd w:id="24"/>
    <w:p>
      <w:pPr>
        <w:ind w:right="3459"/>
        <w:spacing w:after="0" w:line="258" w:lineRule="auto"/>
        <w:rPr>
          <w:sz w:val="20"/>
          <w:szCs w:val="20"/>
          <w:color w:val="auto"/>
        </w:rPr>
      </w:pPr>
      <w:r>
        <w:rPr>
          <w:rFonts w:ascii="Courier New" w:cs="Courier New" w:eastAsia="Courier New" w:hAnsi="Courier New"/>
          <w:sz w:val="14"/>
          <w:szCs w:val="14"/>
          <w:color w:val="auto"/>
        </w:rPr>
        <w:t>are also effectively subordinated to any secured obligations to the extent of the value of the assets securing such obligations. See "Description of Notes."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ARE DEPENDENT UPON OUR SUBSIDIARIES TO SERVICE OUR DEBT.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assets consist primarily of the capital stock or other equity interests of our operating subsidiaries. Consequently, our cash flow and ability to service debt obligations, including the notes, are dependent upon the earnings of our subsidiaries and the distribution of those earnings to us, or upon loans, advances or other payments made by the subsidiaries to us. The ability of our subsidiaries to pay dividends or make other payments or advances to us will depend upon their operating results and will be subject to applicable laws and contractual restrictions contained in any instruments governing their indebtedness. We cannot be certain that payments from our subsidiaries will be adequate to service our debt obligations, including the notes.</w:t>
      </w:r>
    </w:p>
    <w:p>
      <w:pPr>
        <w:spacing w:after="0" w:line="164" w:lineRule="exact"/>
        <w:rPr>
          <w:sz w:val="20"/>
          <w:szCs w:val="20"/>
          <w:color w:val="auto"/>
        </w:rPr>
      </w:pPr>
    </w:p>
    <w:p>
      <w:pPr>
        <w:ind w:left="440" w:right="3379"/>
        <w:spacing w:after="0" w:line="255" w:lineRule="auto"/>
        <w:rPr>
          <w:sz w:val="20"/>
          <w:szCs w:val="20"/>
          <w:color w:val="auto"/>
        </w:rPr>
      </w:pPr>
      <w:r>
        <w:rPr>
          <w:rFonts w:ascii="Courier New" w:cs="Courier New" w:eastAsia="Courier New" w:hAnsi="Courier New"/>
          <w:sz w:val="14"/>
          <w:szCs w:val="14"/>
          <w:color w:val="auto"/>
        </w:rPr>
        <w:t>WE MAY NOT HAVE THE FUNDS NECESSARY TO FINANCE THE REPURCHASE OF THE NOTES OR MAY OTHERWISE BE RESTRICTED FROM MAKING SUCH REPURCHASE IF REQUIRED BY HOLDERS PURSUANT TO THE INDENTURE.</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On March 15, 2009, 2014 and 2019, or at any time prior to maturity following a "designated event" under the indenture, holders may require us to repurchase their notes at a price of 100% of the principal amount of the notes, plus accrued and unpaid interest to the repurchase date. However, it is possible that we will not have sufficient funds available at such time to make the required repurchase of notes. In addition, any future credit agreements or other agreements relating to our indebtedness could contain provisions prohibiting the repurchase of the notes under certain circumstances, or could provide that a designated event constitutes an event of default under that agreement. If any agreement governing our indebtedness prohibits or otherwise restricts us from repurchasing the notes when we become obligated to do so, we could seek the consent of the lenders to repurchase the notes or attempt to refinance this debt. If we do not obtain such a consent or refinance the indebtedness, we would not be permitted to repurchase the notes without potentially causing a default under this indebtedness. Our failure to repurchase tendered notes would constitute an event of default under the indenture, which might constitute a default under the terms of our other indebtedness.</w:t>
      </w:r>
    </w:p>
    <w:p>
      <w:pPr>
        <w:spacing w:after="0" w:line="173" w:lineRule="exact"/>
        <w:rPr>
          <w:sz w:val="20"/>
          <w:szCs w:val="20"/>
          <w:color w:val="auto"/>
        </w:rPr>
      </w:pPr>
    </w:p>
    <w:p>
      <w:pPr>
        <w:jc w:val="both"/>
        <w:ind w:left="440" w:right="3459"/>
        <w:spacing w:after="0" w:line="255" w:lineRule="auto"/>
        <w:rPr>
          <w:sz w:val="20"/>
          <w:szCs w:val="20"/>
          <w:color w:val="auto"/>
        </w:rPr>
      </w:pPr>
      <w:r>
        <w:rPr>
          <w:rFonts w:ascii="Courier New" w:cs="Courier New" w:eastAsia="Courier New" w:hAnsi="Courier New"/>
          <w:sz w:val="14"/>
          <w:szCs w:val="14"/>
          <w:color w:val="auto"/>
        </w:rPr>
        <w:t>THE INDEBTEDNESS CREATED BY THE NOTES, AND ANY FUTURE INDEBTEDNESS, COULD ADVERSELY AFFECT OUR BUSINESS AND OUR ABILITY TO MAKE FULL PAYMENT ON THE NOTES.</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Our aggregate level of indebtedness increased as a result of the sale by us of the notes to the initial purchasers. As of June 30, 2004, we had $481.5 million of outstanding indebtedness and cash and short term investments of $1.2 billion.</w:t>
      </w:r>
    </w:p>
    <w:p>
      <w:pPr>
        <w:spacing w:after="0" w:line="163" w:lineRule="exact"/>
        <w:rPr>
          <w:sz w:val="20"/>
          <w:szCs w:val="20"/>
          <w:color w:val="auto"/>
        </w:rPr>
      </w:pPr>
    </w:p>
    <w:p>
      <w:pPr>
        <w:ind w:right="3639" w:firstLine="781"/>
        <w:spacing w:after="0" w:line="254" w:lineRule="auto"/>
        <w:rPr>
          <w:sz w:val="20"/>
          <w:szCs w:val="20"/>
          <w:color w:val="auto"/>
        </w:rPr>
      </w:pPr>
      <w:r>
        <w:rPr>
          <w:rFonts w:ascii="Courier New" w:cs="Courier New" w:eastAsia="Courier New" w:hAnsi="Courier New"/>
          <w:sz w:val="14"/>
          <w:szCs w:val="14"/>
          <w:color w:val="auto"/>
        </w:rPr>
        <w:t>We may obtain additional long-term debt and lines of credit to meet future financing needs, which would have the effect of increasing our total leverage. Any increase in our leverage could have significant negative consequences, including:</w:t>
      </w:r>
    </w:p>
    <w:p>
      <w:pPr>
        <w:spacing w:after="0" w:line="163" w:lineRule="exact"/>
        <w:rPr>
          <w:sz w:val="20"/>
          <w:szCs w:val="20"/>
          <w:color w:val="auto"/>
        </w:rPr>
      </w:pPr>
    </w:p>
    <w:p>
      <w:pPr>
        <w:ind w:left="1320" w:right="3639" w:hanging="530"/>
        <w:spacing w:after="0" w:line="258" w:lineRule="auto"/>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increasing our vulnerability to adverse economic and industry conditions,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our ability to obtain additional financing,</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our ability to make acquisitions,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25" w:name="page26"/>
    <w:bookmarkEnd w:id="25"/>
    <w:p>
      <w:pPr>
        <w:ind w:left="1320" w:right="3639" w:hanging="530"/>
        <w:spacing w:after="0" w:line="254" w:lineRule="auto"/>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requiring the dedication of a substantial portion of our cash flow from operations to service our indebtedness, thereby reducing the amount of our cash flow available for other purposes, including capital expenditures,</w:t>
      </w:r>
    </w:p>
    <w:p>
      <w:pPr>
        <w:spacing w:after="0" w:line="163"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our flexibility in planning for, or reacting to, changes in our business and the industries in which we compete, and</w:t>
      </w:r>
    </w:p>
    <w:p>
      <w:pPr>
        <w:spacing w:after="0" w:line="159"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placing us at a possible competitive disadvantage with less leveraged competitors and competitors that may have better access to capital resources.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ability to satisfy our future obligations, including debt service on the notes, depends on our future operating performance and on economic, financial, competitive and other factors beyond our control. Our business may not generate sufficient cash flow to meet these obligations or to successfully execute our business strategy. If we are unable to service our debt and fund our business, we may be forced to reduce or delay capital expenditures, seek additional financing or equity capital, restructure or refinance our debt or sell assets. We cannot assure you that we would be able to obtain additional financing or refinance existing debt or sell assets on terms acceptable to us or at all.</w:t>
      </w:r>
    </w:p>
    <w:p>
      <w:pPr>
        <w:spacing w:after="0" w:line="331" w:lineRule="exact"/>
        <w:rPr>
          <w:sz w:val="20"/>
          <w:szCs w:val="20"/>
          <w:color w:val="auto"/>
        </w:rPr>
      </w:pPr>
    </w:p>
    <w:p>
      <w:pPr>
        <w:ind w:left="440" w:right="3279"/>
        <w:spacing w:after="0" w:line="256" w:lineRule="auto"/>
        <w:rPr>
          <w:sz w:val="20"/>
          <w:szCs w:val="20"/>
          <w:color w:val="auto"/>
        </w:rPr>
      </w:pPr>
      <w:r>
        <w:rPr>
          <w:rFonts w:ascii="Courier New" w:cs="Courier New" w:eastAsia="Courier New" w:hAnsi="Courier New"/>
          <w:sz w:val="14"/>
          <w:szCs w:val="14"/>
          <w:color w:val="auto"/>
        </w:rPr>
        <w:t>OUR MANAGEMENT WILL HAVE BROAD DISCRETION TO ALLOCATE THE PROCEEDS FROM THE SALE OF THE NOTES TO THE INITIAL PURCHASERS, WHICH MAY RESULT IN DECISIONS THAT NEGATIVELY AFFECT THE MARKET PRICE OF THE NOTES AND OUR ORDINARY SHARES.</w:t>
      </w:r>
    </w:p>
    <w:p>
      <w:pPr>
        <w:spacing w:after="0" w:line="327"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management will have broad discretion to allocate the proceeds from the sale of the notes to the initial purchasers and to determine the timing and nature of expenditures. The allocation of proceeds from the sale of the notes to the initial purchasers could have a negative effect on the trading prices of the notes or our ordinary shares. We used approximately $170.1 million of the net proceeds from the sale of the notes to the initial purchasers to purchase ordinary shares sold short by purchasers of the notes in negotiated transactions concurrently with the note offering. We intend to use the balance of the net proceeds for general corporate purposes, including working capital and capital expenditures, as well as for future possible strategic opportunities, including acquisitions. We are not currently able to estimate the allocation of the proceeds or timing of the expenditures.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PUBLIC MARKET MAY NOT DEVELOP FOR THE NOTES.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notes are a new issue of securities for which there is currently no public market. The initial purchasers have advised us that they currently intend to make a market in the notes. However, the initial purchasers are not obligated to make a market and may discontinue this market making activity at any time without notice. In addition, market making activity by the initial purchasers will be subject to the limits imposed by the federal securities laws. As a result, we cannot assure you that any market for the notes will develop or, if one does develop, that it will be maintained. Historically, the market for convertible debt has been subject to disruptions that have caused volatility in the prices of securities similar to the notes. If an active market for the notes fails to develop or be sustained, the trading price of the notes could be materially and adversely affected.</w:t>
      </w:r>
    </w:p>
    <w:p>
      <w:pPr>
        <w:spacing w:after="0" w:line="164" w:lineRule="exact"/>
        <w:rPr>
          <w:sz w:val="20"/>
          <w:szCs w:val="20"/>
          <w:color w:val="auto"/>
        </w:rPr>
      </w:pPr>
    </w:p>
    <w:p>
      <w:pPr>
        <w:ind w:left="440" w:right="3719"/>
        <w:spacing w:after="0" w:line="258" w:lineRule="auto"/>
        <w:rPr>
          <w:sz w:val="20"/>
          <w:szCs w:val="20"/>
          <w:color w:val="auto"/>
        </w:rPr>
      </w:pPr>
      <w:r>
        <w:rPr>
          <w:rFonts w:ascii="Courier New" w:cs="Courier New" w:eastAsia="Courier New" w:hAnsi="Courier New"/>
          <w:sz w:val="14"/>
          <w:szCs w:val="14"/>
          <w:color w:val="auto"/>
        </w:rPr>
        <w:t>THE TRADING PRICES OF THE NOTES COULD BE SIGNIFICANTLY AFFECTED BY THE TRADING PRICES OF OUR ORDINARY SHARES.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expect that the trading prices of the notes in the secondary market will be significantly affected by the trading prices of our ordinary shares. It is impossible to predict whether the price of our ordinary shares will rise or fall. Trading prices of our ordinary shares will be influenced by our operating results and prospects and by economic, financial and other factors. In addition, general market conditions, including the level of, and fluctuations in, the trading prices of stocks generally, and sales of</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26" w:name="page27"/>
    <w:bookmarkEnd w:id="26"/>
    <w:p>
      <w:pPr>
        <w:ind w:right="3279"/>
        <w:spacing w:after="0" w:line="255" w:lineRule="auto"/>
        <w:rPr>
          <w:sz w:val="20"/>
          <w:szCs w:val="20"/>
          <w:color w:val="auto"/>
        </w:rPr>
      </w:pPr>
      <w:r>
        <w:rPr>
          <w:rFonts w:ascii="Courier New" w:cs="Courier New" w:eastAsia="Courier New" w:hAnsi="Courier New"/>
          <w:sz w:val="14"/>
          <w:szCs w:val="14"/>
          <w:color w:val="auto"/>
        </w:rPr>
        <w:t>substantial amounts of ordinary shares by us in the market after the offering of the notes, or the perception that such sales may occur, could affect the price of our ordinary shares.</w:t>
      </w:r>
    </w:p>
    <w:p>
      <w:pPr>
        <w:spacing w:after="0" w:line="162" w:lineRule="exact"/>
        <w:rPr>
          <w:sz w:val="20"/>
          <w:szCs w:val="20"/>
          <w:color w:val="auto"/>
        </w:rPr>
      </w:pPr>
    </w:p>
    <w:p>
      <w:pPr>
        <w:ind w:left="440" w:right="3539"/>
        <w:spacing w:after="0" w:line="255" w:lineRule="auto"/>
        <w:rPr>
          <w:sz w:val="20"/>
          <w:szCs w:val="20"/>
          <w:color w:val="auto"/>
        </w:rPr>
      </w:pPr>
      <w:r>
        <w:rPr>
          <w:rFonts w:ascii="Courier New" w:cs="Courier New" w:eastAsia="Courier New" w:hAnsi="Courier New"/>
          <w:sz w:val="14"/>
          <w:szCs w:val="14"/>
          <w:color w:val="auto"/>
        </w:rPr>
        <w:t>THE CONDITIONAL CONVERSION FEATURE OF THE NOTES COULD RESULT IN YOUR NOT RECEIVING THE VALUE OF THE ORDINARY SHARES INTO WHICH THE NOTES ARE CONVERTIBLE.</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notes are convertible into ordinary shares only if specific conditions are met. If the specific conditions for conversion are not met, you may not be able to receive the value of the ordinary shares into which your notes would otherwise be convertible.</w:t>
      </w:r>
    </w:p>
    <w:p>
      <w:pPr>
        <w:spacing w:after="0" w:line="163" w:lineRule="exact"/>
        <w:rPr>
          <w:sz w:val="20"/>
          <w:szCs w:val="20"/>
          <w:color w:val="auto"/>
        </w:rPr>
      </w:pPr>
    </w:p>
    <w:p>
      <w:pPr>
        <w:ind w:left="440" w:right="3799"/>
        <w:spacing w:after="0" w:line="258" w:lineRule="auto"/>
        <w:rPr>
          <w:sz w:val="20"/>
          <w:szCs w:val="20"/>
          <w:color w:val="auto"/>
        </w:rPr>
      </w:pPr>
      <w:r>
        <w:rPr>
          <w:rFonts w:ascii="Courier New" w:cs="Courier New" w:eastAsia="Courier New" w:hAnsi="Courier New"/>
          <w:sz w:val="14"/>
          <w:szCs w:val="14"/>
          <w:color w:val="auto"/>
        </w:rPr>
        <w:t>THE CONVERSION RATE OF THE NOTES MAY NOT BE ADJUSTED FOR ALL DILUTIVE EVENTS.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conversion rate of the notes is subject to adjustment for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including, but not limited to, the issuance of stock dividends on our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shares, the issuance of certain rights or warrants, subdivisions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combinations of our ordinary shares, certain distributions of assets, debt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capital stock or cash to holders of our ordinary shares and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 tender or exchange offers as described under "Description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Notes--Conversion of Notes--Conversion Rate Adjustments." The conversion rate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not be adjusted for other events, such as an issuance of ordinary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cash, that may adversely affect the trading price of the notes or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shares. There can be no assurance that an event that adversely affects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value of the notes, but does not result in an adjustment to the conversion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will not occur.</w:t>
      </w:r>
    </w:p>
    <w:p>
      <w:pPr>
        <w:spacing w:after="0" w:line="175"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CONVERSION OF THE NOTES WILL DILUTE THE OWNERSHIP INTEREST OF EXISTING SHAREHOLDERS, INCLUDING HOLDERS WHO HAD PREVIOUSLY CONVERTED THEIR NOTES.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conversion of some or all of the notes will dilute the ownership interests of existing shareholders. Any sales in the public market of the ordinary shares issuable upon such conversion could adversely affect prevailing market prices of our ordinary shares. In addition, the existence of the notes may encourage short selling by market participants because the conversion of the notes could depress the price of our ordinary shares.</w:t>
      </w:r>
    </w:p>
    <w:p>
      <w:pPr>
        <w:spacing w:after="0" w:line="165"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IF YOU HOLD NOTES, YOU WILL NOT BE ENTITLED TO ANY RIGHTS WITH RESPECT TO OUR ORDINARY SHARES, BUT YOU WILL BE SUBJECT TO ALL CHANGES MADE WITH RESPECT TO OUR ORDINARY SHARES.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you hold notes, you will not be entitled to any rights with respect to our ordinary shares (including, without limitation, voting rights and rights to receive any dividends or other distributions on our ordinary shares), but you will be subject to all changes affecting the ordinary shares. You will have rights with respect to our ordinary shares only if and when we deliver shares of ordinary shares to you upon conversion of your notes and, in limited cases, under the conversion rate adjustments applicable to the notes. For example, in the event that an amendment is proposed to our Articles of Association requiring shareholder approval and the record date for determining the shareholders of record entitled to vote on the amendment occurs prior to delivery of ordinary shares to you, you will not be entitled to vote on the amendment, although you will nevertheless be subject to any changes in the powers, preferences or special rights of our ordinary shares.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20" w:right="1440" w:bottom="1440" w:gutter="0" w:footer="0" w:header="0"/>
        </w:sectPr>
      </w:pPr>
    </w:p>
    <w:bookmarkStart w:id="27" w:name="page28"/>
    <w:bookmarkEnd w:id="27"/>
    <w:p>
      <w:pPr>
        <w:ind w:left="1320"/>
        <w:spacing w:after="0"/>
        <w:rPr>
          <w:sz w:val="20"/>
          <w:szCs w:val="20"/>
          <w:color w:val="auto"/>
        </w:rPr>
      </w:pPr>
      <w:r>
        <w:rPr>
          <w:rFonts w:ascii="Courier New" w:cs="Courier New" w:eastAsia="Courier New" w:hAnsi="Courier New"/>
          <w:sz w:val="14"/>
          <w:szCs w:val="14"/>
          <w:color w:val="auto"/>
        </w:rPr>
        <w:t>SPECIAL NOTE REGARDING FORWARD-LOOKING INFORMATION</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addition to historical information, this prospectus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that are not statements of historical fact also may be forward-looking statements. Statements regarding our future business and/or results, including, without limitation, the statements under the captions "Summary," "Risk Factors," and "Operating and Financial Review and Prospects for the Three and Nine Month Periods Ended</w:t>
      </w:r>
    </w:p>
    <w:p>
      <w:pPr>
        <w:spacing w:after="0" w:line="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June 30, 2004" include certain projections and business trends that are forward-looking.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above under the caption "Risk Factors."</w:t>
      </w:r>
    </w:p>
    <w:p>
      <w:pPr>
        <w:sectPr>
          <w:pgSz w:w="11900" w:h="16838" w:orient="portrait"/>
          <w:cols w:equalWidth="0" w:num="1">
            <w:col w:w="10239"/>
          </w:cols>
          <w:pgMar w:left="220" w:top="620" w:right="1440" w:bottom="1440" w:gutter="0" w:footer="0" w:header="0"/>
        </w:sectPr>
      </w:pPr>
    </w:p>
    <w:bookmarkStart w:id="28" w:name="page29"/>
    <w:bookmarkEnd w:id="28"/>
    <w:p>
      <w:pPr>
        <w:jc w:val="center"/>
        <w:ind w:right="3179"/>
        <w:spacing w:after="0"/>
        <w:rPr>
          <w:sz w:val="20"/>
          <w:szCs w:val="20"/>
          <w:color w:val="auto"/>
        </w:rPr>
      </w:pPr>
      <w:r>
        <w:rPr>
          <w:rFonts w:ascii="Courier New" w:cs="Courier New" w:eastAsia="Courier New" w:hAnsi="Courier New"/>
          <w:sz w:val="14"/>
          <w:szCs w:val="14"/>
          <w:color w:val="auto"/>
        </w:rPr>
        <w:t>OFFERING STATISTICS AND TIMETABLE</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$450,000,000 aggregate principal of notes and the 10,435,995 ordinary shares issuable upon conversion of the notes are being sold by the selling securityholders listed under the caption "Selling Securityholders" beginning on page 54. The offer will be open until the earlier of (1) the date there are no longer any registrable securities and (2) the date on which all of the securities being offered hereby held by persons that are not our affiliates can be sold under Rule 144(k) under the Securities Act of 1933, referred to herein as the Securities Act, whichever occurs first.</w:t>
      </w:r>
    </w:p>
    <w:p>
      <w:pPr>
        <w:spacing w:after="0" w:line="16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REASONS FOR THE OFFER AND USE OF PROCEEDS</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This prospectus relates to the resale by the selling securityholders from time to time of up to $450,000,000 aggregate principal of notes and the 10,435,995 ordinary shares issuable upon conversion of the notes. We will not receive any proceeds from the sale by the selling securityholders of the notes or the ordinary shares issuable upon conversion of the notes.</w:t>
      </w:r>
    </w:p>
    <w:p>
      <w:pPr>
        <w:spacing w:after="0" w:line="16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DIVIDEND POLICY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not paid cash dividends since 1998, and we do not anticipate paying cash dividends on our ordinary shares in the foreseeable future. We currently intend to retain our earnings to finance the development of our business. Any future dividend policy will be determined by our Board of Directors based upon conditions then existing, including our earnings, financial condition and capital requirements, as well as such economic and other conditions as the Board of Directors may deem relevant. In addition, future agreements under which we or any of our subsidiaries may incur indebtedness may contain limitations on our ability to pay cash dividends.</w:t>
      </w:r>
    </w:p>
    <w:p>
      <w:pPr>
        <w:spacing w:after="0" w:line="16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MATERIAL CHANGES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used approximately $170.1 million of the net proceeds from the sale of the 0.50% Notes to repurchase approximately 6.1 million of ordinary shares sold short by purchasers of the 0.50% Notes in negotiated transactions concurrently with the offering. We intend to use the balance of the net proceeds for general corporate purposes, including working capital and capital expenditures, as well as for future possible strategic opportunities, including acquisitions. We also used net proceeds from the sale of the notes and other cash resources to repurchase approximately $395.1 million in aggregate principal amount of the 2% Notes through a cash tender offer that we announced on May 3, 2004 and which expired on June 1, 2004. The untendered principal amount of 2% Notes remain as obligations of the Company, due June 1, 2008, in accordance with their terms.</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November 5, 2003, we announced that our Board of Directors had authorized a share repurchase program of up to five million ordinary shares over the next twelve months. The authorization permitted us to purchase ordinary shares in open market or privately negotiated transactions and at prices we deemed appropriate. We stated that one of the main purposes of the repurchase program was to offset the dilutive effect of any future share issuances, including issuances in connection with acquisitions or pursuant to employee equity plans. In accordance with this program, as of December 22, 2003, we had repurchased approximately 5.0 million ordinary shares, at an average price of $24.82 per share.</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July 28, 2004, we announced that our Board of Directors had extended the share repurchase program for the additional repurchase of up to $100 million of our ordinary shares in open market or privately negotiated transactions and at times and prices we deem appropriate. In accordance with this extension, as of October 12, 2004, we had repurchased approximately 4.9 million ordinary shares, at an average price of $20.40 per share.</w:t>
      </w:r>
    </w:p>
    <w:p>
      <w:pPr>
        <w:spacing w:after="0" w:line="332"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Pursuant to a previous share repurchase program, in fiscal 2002 we purchased 7.7 million of our ordinary share at a weighted average price of $14.13 per share.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440" w:gutter="0" w:footer="0" w:header="0"/>
        </w:sectPr>
      </w:pPr>
    </w:p>
    <w:bookmarkStart w:id="29" w:name="page30"/>
    <w:bookmarkEnd w:id="29"/>
    <w:p>
      <w:pPr>
        <w:ind w:left="2620"/>
        <w:spacing w:after="0"/>
        <w:rPr>
          <w:sz w:val="20"/>
          <w:szCs w:val="20"/>
          <w:color w:val="auto"/>
        </w:rPr>
      </w:pPr>
      <w:r>
        <w:rPr>
          <w:rFonts w:ascii="Courier New" w:cs="Courier New" w:eastAsia="Courier New" w:hAnsi="Courier New"/>
          <w:sz w:val="14"/>
          <w:szCs w:val="14"/>
          <w:color w:val="auto"/>
        </w:rPr>
        <w:t>THE OFFER AND LISTING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INFORMATION</w:t>
      </w:r>
    </w:p>
    <w:p>
      <w:pPr>
        <w:spacing w:after="0" w:line="17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Our ordinary shares have been quoted on the NYSE since June 19, 1998, under the symbol "DOX." The following table sets forth the high and low reported sale prices for our ordinary shares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HIGH</w:t>
            </w:r>
          </w:p>
        </w:tc>
        <w:tc>
          <w:tcPr>
            <w:tcW w:w="42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LOW</w:t>
            </w:r>
          </w:p>
        </w:tc>
      </w:tr>
      <w:tr>
        <w:trPr>
          <w:trHeight w:val="167"/>
        </w:trPr>
        <w:tc>
          <w:tcPr>
            <w:tcW w:w="4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w:t>
            </w:r>
          </w:p>
        </w:tc>
        <w:tc>
          <w:tcPr>
            <w:tcW w:w="42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YEAR ENDED SEPTEMBER 30,</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19.81</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2001 ..............................................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80.50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25.85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2002 ..............................................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2003 ..............................................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5.85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18.08</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2002:</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35.90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24.00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Second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23.60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Third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6.62</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Fourth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2003:</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11.98</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5.85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Second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9.86</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Third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13.25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Fourth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18.55</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2004:</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27.10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18.90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Second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29.74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22.17</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Third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22.65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Fourth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18.08</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2005:</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(through October 12,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23.35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20.70</w:t>
            </w:r>
          </w:p>
        </w:tc>
      </w:tr>
      <w:tr>
        <w:trPr>
          <w:trHeight w:val="334"/>
        </w:trPr>
        <w:tc>
          <w:tcPr>
            <w:tcW w:w="48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Most Recent Six Months</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4"/>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April,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26.50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May,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28.67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23.62</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June,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25.95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22.65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July,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19.75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August,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18.08</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September,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23.20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As of September 30, 2004, we had 201,334,057 ordinary shares outstanding and there were approximately 240 holders of record of our ordinary shares. This figure does not reflect persons or entities who hold their ordinary shares in nominee or "street" name through various brokerage firms.</w:t>
      </w:r>
    </w:p>
    <w:p>
      <w:pPr>
        <w:spacing w:after="0" w:line="200" w:lineRule="exact"/>
        <w:rPr>
          <w:sz w:val="20"/>
          <w:szCs w:val="20"/>
          <w:color w:val="auto"/>
        </w:rPr>
      </w:pPr>
    </w:p>
    <w:p>
      <w:pPr>
        <w:spacing w:after="0" w:line="297"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On October 12, 2004, the last reported sale price of our ordinary shares on the NYSE was $21.38.</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EXPENSES OF THE ISSUE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selling securityholders will pay any underwriting discounts and commissions and expenses incurred by the them for brokerage, accounting, tax or legal services or any other expenses incurred by the selling securityholders in disposing of the shares. We will bear all other costs, fees and expenses incurred in effecting the registration of the shares covered by this prospectus, including, without limitation, all registration and filing fees, NYSE listing fees and fees and expenses of our counsel and our accountants. The following table sets forth the various expenses expected to be incurred by us in connection with the sale and distribution of the securities being registered hereby. All amounts shown are estimates except the Securities and Exchange Commission registration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Filing Fee - Securities and Exchange Commission ....................</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57,015</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Legal fees and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75,000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Registrar and Transfer agent fees and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Accounting fees and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Printing, EDGAR formatting and mailing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Miscellaneous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7"/>
        </w:trPr>
        <w:tc>
          <w:tcPr>
            <w:tcW w:w="61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Total Expenses............................................</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$ 192,015</w:t>
            </w:r>
          </w:p>
        </w:tc>
      </w:tr>
      <w:tr>
        <w:trPr>
          <w:trHeight w:val="167"/>
        </w:trPr>
        <w:tc>
          <w:tcPr>
            <w:tcW w:w="61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68"/>
        </w:trPr>
        <w:tc>
          <w:tcPr>
            <w:tcW w:w="6120" w:type="dxa"/>
            <w:vAlign w:val="bottom"/>
          </w:tcPr>
          <w:p>
            <w:pPr>
              <w:jc w:val="right"/>
              <w:ind w:right="2488"/>
              <w:spacing w:after="0"/>
              <w:rPr>
                <w:sz w:val="20"/>
                <w:szCs w:val="20"/>
                <w:color w:val="auto"/>
              </w:rPr>
            </w:pPr>
            <w:r>
              <w:rPr>
                <w:rFonts w:ascii="Courier New" w:cs="Courier New" w:eastAsia="Courier New" w:hAnsi="Courier New"/>
                <w:sz w:val="14"/>
                <w:szCs w:val="14"/>
                <w:color w:val="auto"/>
              </w:rPr>
              <w:t>23</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31" w:name="page32"/>
    <w:bookmarkEnd w:id="31"/>
    <w:p>
      <w:pPr>
        <w:jc w:val="center"/>
        <w:ind w:right="3279"/>
        <w:spacing w:after="0"/>
        <w:rPr>
          <w:sz w:val="20"/>
          <w:szCs w:val="20"/>
          <w:color w:val="auto"/>
        </w:rPr>
      </w:pPr>
      <w:r>
        <w:rPr>
          <w:rFonts w:ascii="Courier New" w:cs="Courier New" w:eastAsia="Courier New" w:hAnsi="Courier New"/>
          <w:sz w:val="14"/>
          <w:szCs w:val="14"/>
          <w:color w:val="auto"/>
        </w:rPr>
        <w:t>CAPITALIZATION</w:t>
      </w:r>
    </w:p>
    <w:p>
      <w:pPr>
        <w:spacing w:after="0" w:line="175"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The following table sets forth our unaudited actual consolidated capitalization as of June 30, 2004.</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You should read this table in conjunction with "Operating and Financial Review and Prospects," our consolidated financial statements and related footnotes and the other financial information included in our reports filed with the SEC and incorporated by reference in this prospectus.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2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AS OF JUNE 30, 2004</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(UNAUDITED)</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(IN THOUSANDS)</w:t>
            </w:r>
          </w:p>
        </w:tc>
      </w:tr>
      <w:tr>
        <w:trPr>
          <w:trHeight w:val="167"/>
        </w:trPr>
        <w:tc>
          <w:tcPr>
            <w:tcW w:w="7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ACTUAL</w:t>
            </w:r>
          </w:p>
        </w:tc>
      </w:tr>
      <w:tr>
        <w:trPr>
          <w:trHeight w:val="835"/>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Short-term portion of capital lease obligations - secured and unguaranteed.........</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9,991</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Short-term portion of capital lease obligation - secured and 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9,872</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Capital lease obligations, less current portion - secured and unguaranteed.........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9,168</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Short-term portion of financing arrangements - unsecured and unguaranteed..........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2,076</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 Convertible Notes due 2008......................................................</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0.50% Convertible Senior Notes due 2024 unsecured and unguaranteed.................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450,000</w:t>
            </w:r>
          </w:p>
        </w:tc>
      </w:tr>
      <w:tr>
        <w:trPr>
          <w:trHeight w:val="167"/>
        </w:trPr>
        <w:tc>
          <w:tcPr>
            <w:tcW w:w="7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indebtedness.......................................................</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481,451</w:t>
            </w:r>
          </w:p>
        </w:tc>
      </w:tr>
      <w:tr>
        <w:trPr>
          <w:trHeight w:val="167"/>
        </w:trPr>
        <w:tc>
          <w:tcPr>
            <w:tcW w:w="7340" w:type="dxa"/>
            <w:vAlign w:val="bottom"/>
          </w:tcPr>
          <w:p>
            <w:pPr>
              <w:jc w:val="right"/>
              <w:ind w:right="5428"/>
              <w:spacing w:after="0"/>
              <w:rPr>
                <w:sz w:val="20"/>
                <w:szCs w:val="20"/>
                <w:color w:val="auto"/>
              </w:rPr>
            </w:pPr>
            <w:r>
              <w:rPr>
                <w:rFonts w:ascii="Courier New" w:cs="Courier New" w:eastAsia="Courier New" w:hAnsi="Courier New"/>
                <w:sz w:val="14"/>
                <w:szCs w:val="14"/>
                <w:color w:val="auto"/>
              </w:rPr>
              <w:t>Shareholders' equity:</w:t>
            </w: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734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Preferred Shares - Authorized 25,000 shares;(pound)0.01 par value;</w:t>
            </w: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 shares issued and outstanding..............................................</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Ordinary Shares - Authorized 550,000 shares;(pound)0.01 par value;</w:t>
            </w: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224,854 issued and 206,135 outstanding(1)....................................</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3,599</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Additional paid-in capital.....................................................</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1,836,743</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Treasury Stock, at cost - 18,719 ordinary shares. .............................</w:t>
            </w:r>
          </w:p>
        </w:tc>
        <w:tc>
          <w:tcPr>
            <w:tcW w:w="10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(402,360)</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Accumulated other comprehensive loss...........................................</w:t>
            </w:r>
          </w:p>
        </w:tc>
        <w:tc>
          <w:tcPr>
            <w:tcW w:w="10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(358)</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Unearned compensation..........................................................</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571</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Retained earnings..............................................................</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45,908</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shareholders' equity...............................................</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1,482,961</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capitalization.....................................................</w:t>
            </w: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$1,964,412</w:t>
            </w:r>
          </w:p>
        </w:tc>
      </w:tr>
    </w:tbl>
    <w:p>
      <w:pPr>
        <w:spacing w:after="0" w:line="4" w:lineRule="exact"/>
        <w:rPr>
          <w:sz w:val="20"/>
          <w:szCs w:val="20"/>
          <w:color w:val="auto"/>
        </w:rPr>
      </w:pPr>
    </w:p>
    <w:p>
      <w:pPr>
        <w:ind w:left="82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p>
      <w:pPr>
        <w:ind w:left="440" w:right="3379" w:hanging="439"/>
        <w:spacing w:after="0" w:line="254" w:lineRule="auto"/>
        <w:tabs>
          <w:tab w:leader="none" w:pos="420" w:val="left"/>
        </w:tabs>
        <w:rPr>
          <w:sz w:val="20"/>
          <w:szCs w:val="20"/>
          <w:color w:val="auto"/>
        </w:rPr>
      </w:pPr>
      <w:r>
        <w:rPr>
          <w:rFonts w:ascii="Courier New" w:cs="Courier New" w:eastAsia="Courier New" w:hAnsi="Courier New"/>
          <w:sz w:val="14"/>
          <w:szCs w:val="14"/>
          <w:color w:val="auto"/>
        </w:rPr>
        <w:t>(1)</w:t>
        <w:tab/>
        <w:t>Reflects ordinary shares issued and outstanding as of June 30, 2004. Does not include 25,969 ordinary shares reserved for issuance upon the exercise of stock options that have been granted under our stock option plan and by companies we have acquired. As of September 30, 2004, there were 201,334,057 ordinary shares outstanding.</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787" w:right="1440" w:bottom="1440" w:gutter="0" w:footer="0" w:header="0"/>
        </w:sectPr>
      </w:pPr>
    </w:p>
    <w:bookmarkStart w:id="32" w:name="page33"/>
    <w:bookmarkEnd w:id="32"/>
    <w:p>
      <w:pPr>
        <w:ind w:left="2620"/>
        <w:spacing w:after="0"/>
        <w:rPr>
          <w:sz w:val="20"/>
          <w:szCs w:val="20"/>
          <w:color w:val="auto"/>
        </w:rPr>
      </w:pPr>
      <w:r>
        <w:rPr>
          <w:rFonts w:ascii="Courier New" w:cs="Courier New" w:eastAsia="Courier New" w:hAnsi="Courier New"/>
          <w:sz w:val="14"/>
          <w:szCs w:val="14"/>
          <w:color w:val="auto"/>
        </w:rPr>
        <w:t>DESCRIPTION OF NOTES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issued the notes under an indenture dated as of March 5, 2004, between Amdocs, as issuer, and The Bank of New York, as trustee. The notes and the ordinary shares issuable upon conversion of the notes are covered by a registration rights agreement. You may request a copy of the indenture and the registration rights agreement from the trustee. We have also filed the indenture and the registration rights agreement with the SEC. See "Incorporation of Documents by Reference" and "Where You Can Find More Information."</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following description is a summary of the material provisions of the notes, the indenture and the registration rights agreement. It does not purport to be complete. This summary is subject to and is qualified by reference to all the provisions of the indenture, including the definitions of certain terms used in the indenture, and to all the provisions of the registration rights agreement, including the definitions of certain terms in the registration rights agreement. Wherever particular provisions or defined terms of the indenture, form of note or registration rights agreement are referred to, these provisions or defined terms are incorporated in this prospectus by reference. We urge you to read the indenture and the registration rights agreement because they and not this description define your rights as a holder of notes and with respect to your registration rights as a holder of ordinary shares.</w:t>
      </w:r>
    </w:p>
    <w:p>
      <w:pPr>
        <w:spacing w:after="0" w:line="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As used in this "Description of Notes" section, references to "Amdocs," "we," "our" or "us" refer solely to Amdocs Limited and not to our subsidiaries, unless the context otherwise requires.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notes are senior unsecured debt of Amdocs and rank on a parity with all of our other existing and future senior unsecured debt, including the 2% Notes, and prior to all of our existing and future subordinated debt. The notes are not obligations of or guaranteed by any of our subsidiaries. The notes are convertible into ordinary shares as described under "--Conversion of Notes."</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notes initially will be limited to $450.0 million aggregate principal amount. The notes were issued in denominations of $1,000 and multiples of $1,000. We use the term "note" in this prospectus to refer to each $1,000 principal amount of notes. The notes will mature on March 15, 2024, unless earlier converted, redeemed or repurchased.</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without the consent of the holders, reopen the indenture and issue additional notes under the indenture with the same terms and with the same CUSIP numbers as the outstanding notes in an unlimited aggregate principal amount, provided that no such additional notes may be issued unless fungible with the outstanding notes for U.S. federal income tax purposes. Subject to our compliance with applicable laws, we may also from time to time repurchase the notes in open market purchases or negotiated transactions without prior notice to holders.</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notes are obligations of Amdocs, which is a holding company, and not its subsidiaries. Because we derive substantially all of our revenues from our operating subsidiaries and do not have business operations of our own, we are dependent upon the ability of our subsidiaries to provide us with cash, in the form of dividends or intercompany advances, loans or otherwise, to meet our obligations under the notes. Our subsidiaries will have no obligation to pay amounts due on the notes or to make any funds available to us for payment of the notes upon maturity or upon a redemption or repurchase of the notes as described below.</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Neither we nor any of our subsidiaries are subject to any financial covenants under the indenture. In addition, neither we nor any of our subsidiaries are restricted under the indenture from paying dividends, incurring debt, whether senior or junior to the notes, or issuing or repurchasing our securities.</w:t>
      </w:r>
    </w:p>
    <w:p>
      <w:pPr>
        <w:spacing w:after="0" w:line="330"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You are not afforded protection under the indenture in the event of a highly leveraged transaction or a change in control of us, except to the extent described below under "--Repurchase at Option of the Holder Upon a Designated Event."</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1440" w:gutter="0" w:footer="0" w:header="0"/>
        </w:sectPr>
      </w:pPr>
    </w:p>
    <w:bookmarkStart w:id="33" w:name="page34"/>
    <w:bookmarkEnd w:id="33"/>
    <w:p>
      <w:pPr>
        <w:ind w:right="3279" w:firstLine="781"/>
        <w:spacing w:after="0" w:line="253" w:lineRule="auto"/>
        <w:rPr>
          <w:sz w:val="20"/>
          <w:szCs w:val="20"/>
          <w:color w:val="auto"/>
        </w:rPr>
      </w:pPr>
      <w:r>
        <w:rPr>
          <w:rFonts w:ascii="Courier New" w:cs="Courier New" w:eastAsia="Courier New" w:hAnsi="Courier New"/>
          <w:sz w:val="14"/>
          <w:szCs w:val="14"/>
          <w:color w:val="auto"/>
        </w:rPr>
        <w:t>The notes bear interest at an annual rate of 0.50%. Interest is calculated on the basis of a 360-day year consisting of twelve 30-day months and accrues from March 5, 2004, or from the most recent date to which interest has been paid or duly provided for. We will pay interest on March 15 and September 15 of each year, beginning September 15, 2004, to record holders at the close of business on the preceding March 1 and September 1, as the case may be.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maintain an office in the Borough of Manhattan, The City of New York, where we will pay the principal on the notes and you may present the notes for conversion, registration of transfer or exchange for other denominations, which will initially be an office or agency of the paying agent. The paying agent initially will be the trustee. We may pay interest by check mailed to your address as it appears in the note register, provided that if you are a holder with an aggregate principal amount in excess of $2.0 million, you will be paid, at your written election, by wire transfer in immediately available funds. However, payments to The Depository Trust Company, New York, New York, which we refer to as DTC, will be made by wire transfer of immediately available funds to the account of DTC or its nominee.</w:t>
      </w:r>
    </w:p>
    <w:p>
      <w:pPr>
        <w:spacing w:after="0" w:line="164"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The notes are not subject to a sinking fund provision and are not subject to defeasance or covenant defeasance under the indenture.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OF NOTES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You may convert any of your notes, in whole or in part, into ordinary shares prior to the close of business on the final maturity date of the notes, subject to prior redemption or repurchase of the notes, only under the following circumstances:</w:t>
      </w:r>
    </w:p>
    <w:p>
      <w:pPr>
        <w:spacing w:after="0" w:line="163" w:lineRule="exact"/>
        <w:rPr>
          <w:sz w:val="20"/>
          <w:szCs w:val="20"/>
          <w:color w:val="auto"/>
        </w:rPr>
      </w:pPr>
    </w:p>
    <w:p>
      <w:pPr>
        <w:ind w:left="1320" w:right="3719" w:hanging="530"/>
        <w:spacing w:after="0" w:line="258" w:lineRule="auto"/>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certain exceptions, upon satisfaction of a market price condition;</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satisfaction of a trading price condition;</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certain credit ratings events;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notice of redemption; or</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corporate transactions.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number of ordinary shares you will receive upon conversion of your notes will be determined by multiplying the number of $1,000 principal amount notes you convert by the conversion rate on the date of conversion. You may convert your notes in part so long as such part is $1,000 principal amount or an integral multiple of $1,000.</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we call notes for redemption, you may convert the notes until the close of business on the business day immediately preceding the redemption date, unless we fail to pay the redemption price. If you have submitted your notes for repurchase upon a designated event, you may convert your notes only if you withdraw your repurchase election. Similarly, if you exercise your option to require us to repurchase your notes other than upon a designated event, those notes may be converted only if you withdraw your election to exercise your option in accordance with the terms of the indenture. Upon conversion of notes, a holder will not receive any cash payment of interest or liquidated damages, if any, except in the circumstances specified in the next paragraph, and such amounts will be forfeited.</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Notwithstanding the preceding paragraph, if notes are converted after a record date but prior to the next succeeding interest payment date, holders of such notes at the close of business on the record date will receive the interest payable on such notes on the corresponding interest payment date notwithstanding the conversion. Such notes, upon surrender for conversion, must be accompanied by funds equal to the amount of interest payable on the notes so converted; provided that no such payment need be made (1) if we have specified a redemption date that is after a record date but on or prior to the next interest payment date, (2) if we have specified a repurchase date following a designated event that is after a record date but on or prior to the next succeeding interest payment date or (3) to the extent of any overdue interest at the time of conversion with respect to such note.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20" w:right="1440" w:bottom="1440" w:gutter="0" w:footer="0" w:header="0"/>
        </w:sectPr>
      </w:pPr>
    </w:p>
    <w:bookmarkStart w:id="34" w:name="page35"/>
    <w:bookmarkEnd w:id="34"/>
    <w:p>
      <w:pPr>
        <w:ind w:left="440"/>
        <w:spacing w:after="0"/>
        <w:rPr>
          <w:sz w:val="20"/>
          <w:szCs w:val="20"/>
          <w:color w:val="auto"/>
        </w:rPr>
      </w:pPr>
      <w:r>
        <w:rPr>
          <w:rFonts w:ascii="Courier New" w:cs="Courier New" w:eastAsia="Courier New" w:hAnsi="Courier New"/>
          <w:sz w:val="14"/>
          <w:szCs w:val="14"/>
          <w:color w:val="auto"/>
        </w:rPr>
        <w:t>CONVERSION UPON SATISFACTION OF MARKET PRICE CONDITION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You may surrender your note for conversion into our ordinary shares prior to the close of business on the maturity date during any fiscal quarter commencing after March 31, 2004, and only during such fiscal quarter if the closing sale price of our ordinary shares exceeds 130% of the then effective conversion price for at least 20 trading days in the 30 consecutive trading days ending on the last trading day of the preceding fiscal quarter.</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"closing sale price" of our ordinary shares on any date means the closing per share sale price (or if no closing sale price is reported, the average of the bid and ask prices or, if more than one in either case, the average of the average bid and the average ask prices) on such date as reported in composite transactions for the principal United States securities exchange on which our ordinary shares are traded or, if our ordinary shares are not listed on a United States national or regional securities exchange, as reported by the Nasdaq System or by the National Quotation Bureau Incorporated. In the absence of such a quotation, we will determine the closing sale price on the basis we consider appropriate, and such determination shall be conclusive. The "conversion price" as of any day will equal $1,000 divided by the conversion rate as of such day.</w:t>
      </w:r>
    </w:p>
    <w:p>
      <w:pPr>
        <w:spacing w:after="0" w:line="33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SATISFACTION OF TRADING PRICE CONDITION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You may surrender your notes for conversion into our ordinary shares prior to the close of business on the maturity date during the five business-day period after any five consecutive trading-day period (the "measurement period") in which the "trading price" per $1,000 principal amount of notes, as determined following a request by a holder of notes in accordance with the procedures described below, for each day of that measurement period was less than 98% of the product of the closing sale price of our ordinary shares and the conversion rate for such date (the "98% Trading Exception"); provided, however, you may not convert your notes in reliance on this provision if on any trading day during such measurement period the closing sale price of our ordinary shares was between 100% and 130% of the then current conversion price of the notes.</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"trading price" of the notes on any date of determination means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of the secondary market bid quotations obtained by the trustee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$10,000,000 principal amount of the notes at approximately 3:30 p.m.,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 time, on such determination date from three independent nationally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recognized securities dealers we select; provided that if three such bids cannot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reasonably be obtained by the trustee, but two such bids are obtained, then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of the two bids shall be used, and if only one such bid can reasonably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obtained by the trustee, that one bid shall be used. If the trustee cannot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reasonably obtain at least one bid for $10,000,000 principal amount of the notes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a nationally recognized securities dealer, then the trading price per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 principal amount of notes will be deemed to be less than 98%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of the "closing sale price" of our ordinary shares and the conversion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connection with any conversion upon satisfaction of the above trading pricing condition, the trustee shall have no obligation to determine the trading price of the notes unless we have requested such determination; and we shall have no obligation to make such request unless a holder provides us with reasonable evidence that the trading price per $1,000 principal amount of notes would be less than 98% of the product of the closing sale price of our ordinary shares and the conversion rate. At such time, we shall instruct the trustee to determine the trading price of the notes beginning on the next trading day and on each successive trading day until the trading price per $1,000 principal amount of notes is greater than or equal to 98% of the product of the closing sale price of our ordinary shares and the conversion rate.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CREDIT RATINGS EVENT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After the earlier of (a) the date the notes are rated by both Standard</w:t>
      </w:r>
    </w:p>
    <w:p>
      <w:pPr>
        <w:spacing w:after="0" w:line="8" w:lineRule="exact"/>
        <w:rPr>
          <w:sz w:val="20"/>
          <w:szCs w:val="20"/>
          <w:color w:val="auto"/>
        </w:rPr>
      </w:pPr>
    </w:p>
    <w:p>
      <w:pPr>
        <w:ind w:right="3459" w:firstLine="9"/>
        <w:spacing w:after="0" w:line="254" w:lineRule="auto"/>
        <w:tabs>
          <w:tab w:leader="none" w:pos="174"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Poor's and Moody's and (b) five business days from the date the notes are issued, you may surrender your note for conversion into our ordinary shares prior to close of business on the maturity date during any period in which the credit rating assigned to the notes by Standard &amp; Poor's or Moody's (or any successors to these entities) is "BB-" or "Ba3," respectively, or lower, or if</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20" w:right="1440" w:bottom="1440" w:gutter="0" w:footer="0" w:header="0"/>
        </w:sectPr>
      </w:pPr>
    </w:p>
    <w:bookmarkStart w:id="35" w:name="page36"/>
    <w:bookmarkEnd w:id="35"/>
    <w:p>
      <w:pPr>
        <w:ind w:right="3279"/>
        <w:spacing w:after="0" w:line="255" w:lineRule="auto"/>
        <w:rPr>
          <w:sz w:val="20"/>
          <w:szCs w:val="20"/>
          <w:color w:val="auto"/>
        </w:rPr>
      </w:pPr>
      <w:r>
        <w:rPr>
          <w:rFonts w:ascii="Courier New" w:cs="Courier New" w:eastAsia="Courier New" w:hAnsi="Courier New"/>
          <w:sz w:val="14"/>
          <w:szCs w:val="14"/>
          <w:color w:val="auto"/>
        </w:rPr>
        <w:t>either of these rating agencies no longer rates the notes, or if either of these rating agencies suspends or withdraws the rating assigned to the notes, or if the notes are not assigned a rating by both rating agencies.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NOTICE OF REDEMPTION</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If we call notes for redemption, you may convert the notes until the close of business on the business day immediately preceding the redemption date, after which time your right to convert will expire unless we default in the payment of the redemption price.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SPECIFIED CORPORATE TRANSACTIONS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If we elect to:</w:t>
      </w:r>
    </w:p>
    <w:p>
      <w:pPr>
        <w:spacing w:after="0" w:line="175" w:lineRule="exact"/>
        <w:rPr>
          <w:sz w:val="20"/>
          <w:szCs w:val="20"/>
          <w:color w:val="auto"/>
        </w:rPr>
      </w:pPr>
    </w:p>
    <w:p>
      <w:pPr>
        <w:ind w:left="1320" w:right="3279" w:hanging="530"/>
        <w:spacing w:after="0" w:line="253" w:lineRule="auto"/>
        <w:tabs>
          <w:tab w:leader="none" w:pos="13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distribute to all holders of our ordinary shares certain rights or warrants entitling them to purchase, for a period expiring within 45 days of the record date for such issuance, our ordinary shares at less than the average of the closing sale prices of our ordinary shares for the 10 trading days preceding the declaration date for such distribution; or</w:t>
      </w:r>
    </w:p>
    <w:p>
      <w:pPr>
        <w:spacing w:after="0" w:line="165"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distribute to all holders of our ordinary shares ordinary shares, assets, debt securities or certain rights to purchase our securities, which distribution has a per share value exceeding 5% of the closing sale price of our ordinary shares on the day preceding the declaration date for such distribution;</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must notify you at least 20 days prior to the ex-dividend date for such distribution. Once we have given such notice, you may surrender your notes for conversion at any time until the earlier of the close of business on the business day prior to the ex-dividend date or any announcement by us that such distribution will not take place. If you will otherwise participate in the distribution without conversion, you will not have the right to convert pursuant to this provision.</w:t>
      </w:r>
    </w:p>
    <w:p>
      <w:pPr>
        <w:spacing w:after="0" w:line="33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addition, if we are a party to a consolidation, amalgamation, merger, binding share exchange or sale, lease or transfer of all or substantially all of our assets, in each case pursuant to which our ordinary shares would be converted into cash, securities or other property, you may surrender your notes for conversion at any time from and after the date that is 15 days prior to the anticipated effective date of the transaction until and including the date that is 15 days after the actual date of such transaction (or if such consolidation, amalgamation, merger, binding share exchange or sale, lease or transfer also constitutes a designated event, until the repurchase date corresponding to such designated event). If we are a party to a consolidation, amalgamation, merger, binding share exchange or sale, lease or transfer of all or substantially all of our assets, in each case pursuant to which our ordinary shares are converted into cash, securities or other property, then at the effective time of the transaction, your right to convert a note into our ordinary shares will be changed into a right to convert it into the kind and amount of cash, securities and other property that you would have received if you had converted your notes immediately prior to the transaction. If the transaction also constitutes a designated event, you can require us to repurchase all or a portion of your notes as described under "--Repurchase at Option of the Holder Upon a Designated Event."</w:t>
      </w:r>
    </w:p>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PROCEDURES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initial conversion rate for the notes is 23.1911 ordinary shares per $1,000 principal amount of notes, subject to adjustment as described below, which represents an initial conversion price of $43.12 per share. We will not issue fractional ordinary shares upon conversion of notes. Instead, we will pay cash in lieu of fractional shares based on the closing sale price of the ordinary shares on the trading day prior to the conversion date. Except as described above, you will not receive any accrued interest or dividends upon conversion.</w:t>
      </w:r>
    </w:p>
    <w:p>
      <w:pPr>
        <w:spacing w:after="0" w:line="332"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To convert your note into ordinary shares you must do the following (or comply with DTC procedures for doing so in respect of your beneficial interest in notes evidenced by a global note):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20" w:right="1440" w:bottom="1440" w:gutter="0" w:footer="0" w:header="0"/>
        </w:sectPr>
      </w:pPr>
    </w:p>
    <w:bookmarkStart w:id="36" w:name="page37"/>
    <w:bookmarkEnd w:id="36"/>
    <w:p>
      <w:pPr>
        <w:jc w:val="both"/>
        <w:ind w:left="1320" w:right="3459" w:hanging="530"/>
        <w:spacing w:after="0" w:line="255" w:lineRule="auto"/>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 and manually sign the conversion notice on the back of the note or facsimile of the conversion notice and deliver this notice to the conversion agent;</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surrender the note to the conversion agent;</w:t>
      </w:r>
    </w:p>
    <w:p>
      <w:pPr>
        <w:spacing w:after="0" w:line="175"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furnish appropriate endorsements and transfer documents;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pay all transfer or similar taxes; and</w:t>
      </w:r>
    </w:p>
    <w:p>
      <w:pPr>
        <w:spacing w:after="0" w:line="175"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pay funds equal to interest payable on the next interest payment date.</w:t>
      </w:r>
    </w:p>
    <w:p>
      <w:pPr>
        <w:spacing w:after="0" w:line="160"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The date you comply with these requirements is the conversion date under the indenture.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RATE ADJUSTMENTS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We will adjust the conversion rate if any of the following events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occurs:</w:t>
      </w:r>
    </w:p>
    <w:p>
      <w:pPr>
        <w:spacing w:after="0" w:line="175" w:lineRule="exact"/>
        <w:rPr>
          <w:sz w:val="20"/>
          <w:szCs w:val="20"/>
          <w:color w:val="auto"/>
        </w:rPr>
      </w:pPr>
    </w:p>
    <w:p>
      <w:pPr>
        <w:ind w:left="1320" w:right="3639" w:hanging="530"/>
        <w:spacing w:after="0" w:line="258"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issue ordinary shares as a dividend or distribution on our ordinary shares.</w:t>
      </w:r>
    </w:p>
    <w:p>
      <w:pPr>
        <w:spacing w:after="0" w:line="159" w:lineRule="exact"/>
        <w:rPr>
          <w:rFonts w:ascii="Courier New" w:cs="Courier New" w:eastAsia="Courier New" w:hAnsi="Courier New"/>
          <w:sz w:val="14"/>
          <w:szCs w:val="14"/>
          <w:color w:val="auto"/>
        </w:rPr>
      </w:pPr>
    </w:p>
    <w:p>
      <w:pPr>
        <w:ind w:left="1320" w:right="3459" w:hanging="530"/>
        <w:spacing w:after="0" w:line="253"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issue to all holders of ordinary shares certain rights or warrants to purchase our ordinary shares, for a period expiring within 45 days of the record date for such issuance, at a price per share that is less than the average of the closing sale prices of our ordinary shares for the 10 trading days preceding the declaration date for such distribution.</w:t>
      </w:r>
    </w:p>
    <w:p>
      <w:pPr>
        <w:spacing w:after="0" w:line="16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subdivide or combine our ordinary shares.</w:t>
      </w:r>
    </w:p>
    <w:p>
      <w:pPr>
        <w:spacing w:after="0" w:line="175"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distribute to all holders of our ordinary shares any shares of our capital stock, evidences of indebtedness or assets, including cash and securities but excluding rights or warrants specified above and dividends or distributions specified above.</w:t>
      </w:r>
    </w:p>
    <w:p>
      <w:pPr>
        <w:spacing w:after="0" w:line="163" w:lineRule="exact"/>
        <w:rPr>
          <w:rFonts w:ascii="Courier New" w:cs="Courier New" w:eastAsia="Courier New" w:hAnsi="Courier New"/>
          <w:sz w:val="14"/>
          <w:szCs w:val="14"/>
          <w:color w:val="auto"/>
        </w:rPr>
      </w:pPr>
    </w:p>
    <w:p>
      <w:pPr>
        <w:ind w:left="132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we distribute shares of capital stock of, or similar equity interests in, a subsidiary or other business unit of ours, then the conversion rate will be adjusted based on the market value of the securities so distributed relative to the market value of our ordinary shares, in each case based on the average of the closing sale prices of those securities (where such closing sale prices are available) for the 10 trading days commencing on and including the fifth trading day after the date on which "ex-dividend trading" commences for such distribution on the New York Stock Exchange or such other national or regional exchange or market on which the securities are then listed or quoted.</w:t>
      </w:r>
    </w:p>
    <w:p>
      <w:pPr>
        <w:spacing w:after="0" w:line="163" w:lineRule="exact"/>
        <w:rPr>
          <w:rFonts w:ascii="Courier New" w:cs="Courier New" w:eastAsia="Courier New" w:hAnsi="Courier New"/>
          <w:sz w:val="14"/>
          <w:szCs w:val="14"/>
          <w:color w:val="auto"/>
        </w:rPr>
      </w:pPr>
    </w:p>
    <w:p>
      <w:pPr>
        <w:ind w:left="132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we distribute cash (excluding any dividend or distribution in connection with our liquidation, dissolution or winding up), then the conversion rate shall be increased so that it equals the rate determined by multiplying the conversion rate in effect on the record date with respect to the cash distribution by a fraction,</w:t>
      </w:r>
    </w:p>
    <w:p>
      <w:pPr>
        <w:spacing w:after="0" w:line="1" w:lineRule="exact"/>
        <w:rPr>
          <w:rFonts w:ascii="Courier New" w:cs="Courier New" w:eastAsia="Courier New" w:hAnsi="Courier New"/>
          <w:sz w:val="14"/>
          <w:szCs w:val="14"/>
          <w:color w:val="auto"/>
        </w:rPr>
      </w:pPr>
    </w:p>
    <w:p>
      <w:pPr>
        <w:ind w:left="1320" w:right="3379" w:hanging="9"/>
        <w:spacing w:after="0" w:line="254" w:lineRule="auto"/>
        <w:tabs>
          <w:tab w:leader="none" w:pos="1667"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numerator of which shall be the current market price of our ordinary shares on the record date, and (2) the denominator of which will be the current market price of our ordinary shares on the record date minus the amount per share of such distribution.</w:t>
      </w:r>
    </w:p>
    <w:p>
      <w:pPr>
        <w:spacing w:after="0" w:line="162" w:lineRule="exact"/>
        <w:rPr>
          <w:rFonts w:ascii="Courier New" w:cs="Courier New" w:eastAsia="Courier New" w:hAnsi="Courier New"/>
          <w:sz w:val="14"/>
          <w:szCs w:val="14"/>
          <w:color w:val="auto"/>
        </w:rPr>
      </w:pPr>
    </w:p>
    <w:p>
      <w:pPr>
        <w:ind w:left="1320" w:right="3379" w:hanging="530"/>
        <w:spacing w:after="0" w:line="253"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or one of our subsidiaries makes a payment in respect of a tender offer or exchange offer for our ordinary shares to the extent that the cash and value of any other consideration included in the payment per share of ordinary shares exceeds the closing sale price per share of ordinary shares on the trading day next succeeding the last date on which tenders or exchanges may be made pursuant to such tender or exchange offer.</w:t>
      </w:r>
    </w:p>
    <w:p>
      <w:pPr>
        <w:spacing w:after="0" w:line="164" w:lineRule="exact"/>
        <w:rPr>
          <w:rFonts w:ascii="Courier New" w:cs="Courier New" w:eastAsia="Courier New" w:hAnsi="Courier New"/>
          <w:sz w:val="14"/>
          <w:szCs w:val="14"/>
          <w:color w:val="auto"/>
        </w:rPr>
      </w:pPr>
    </w:p>
    <w:p>
      <w:pPr>
        <w:ind w:left="1320" w:right="3379" w:hanging="530"/>
        <w:spacing w:after="0" w:line="254"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Someone other than us or one of our subsidiaries makes a payment in respect of a tender offer or exchange offer in which, as of the closing date of the offer, our board of directors is not recommending rejection of the offer.</w:t>
      </w:r>
    </w:p>
    <w:p>
      <w:pPr>
        <w:spacing w:after="0" w:line="163" w:lineRule="exact"/>
        <w:rPr>
          <w:sz w:val="20"/>
          <w:szCs w:val="20"/>
          <w:color w:val="auto"/>
        </w:rPr>
      </w:pPr>
    </w:p>
    <w:p>
      <w:pPr>
        <w:ind w:left="1320" w:right="3459"/>
        <w:spacing w:after="0" w:line="258" w:lineRule="auto"/>
        <w:rPr>
          <w:sz w:val="20"/>
          <w:szCs w:val="20"/>
          <w:color w:val="auto"/>
        </w:rPr>
      </w:pPr>
      <w:r>
        <w:rPr>
          <w:rFonts w:ascii="Courier New" w:cs="Courier New" w:eastAsia="Courier New" w:hAnsi="Courier New"/>
          <w:sz w:val="14"/>
          <w:szCs w:val="14"/>
          <w:color w:val="auto"/>
        </w:rPr>
        <w:t>The adjustment referred to in this clause (6) will only be made if:</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20" w:right="1440" w:bottom="1440" w:gutter="0" w:footer="0" w:header="0"/>
        </w:sectPr>
      </w:pPr>
    </w:p>
    <w:bookmarkStart w:id="37" w:name="page38"/>
    <w:bookmarkEnd w:id="37"/>
    <w:p>
      <w:pPr>
        <w:ind w:left="1740" w:right="3279" w:hanging="429"/>
        <w:spacing w:after="0" w:line="255" w:lineRule="auto"/>
        <w:tabs>
          <w:tab w:leader="none" w:pos="17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tender offer or exchange offer is for an amount that increases the offeror's ownership of ordinary shares to more than 25% of the total ordinary shares outstanding; and</w:t>
      </w:r>
    </w:p>
    <w:p>
      <w:pPr>
        <w:spacing w:after="0" w:line="162" w:lineRule="exact"/>
        <w:rPr>
          <w:rFonts w:ascii="Courier New" w:cs="Courier New" w:eastAsia="Courier New" w:hAnsi="Courier New"/>
          <w:sz w:val="14"/>
          <w:szCs w:val="14"/>
          <w:color w:val="auto"/>
        </w:rPr>
      </w:pPr>
    </w:p>
    <w:p>
      <w:pPr>
        <w:ind w:left="1740" w:right="3279" w:hanging="429"/>
        <w:spacing w:after="0" w:line="254" w:lineRule="auto"/>
        <w:tabs>
          <w:tab w:leader="none" w:pos="17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cash and value of any other consideration included in the payment per share of ordinary shares exceeds the closing sale price per share of ordinary shares on the trading day next succeeding the last date on which tenders or exchanges may be made pursuant to the tender or exchange offer.</w:t>
      </w:r>
    </w:p>
    <w:p>
      <w:pPr>
        <w:spacing w:after="0" w:line="162" w:lineRule="exact"/>
        <w:rPr>
          <w:sz w:val="20"/>
          <w:szCs w:val="20"/>
          <w:color w:val="auto"/>
        </w:rPr>
      </w:pPr>
    </w:p>
    <w:p>
      <w:pPr>
        <w:ind w:left="1320" w:right="3279"/>
        <w:spacing w:after="0" w:line="254" w:lineRule="auto"/>
        <w:rPr>
          <w:sz w:val="20"/>
          <w:szCs w:val="20"/>
          <w:color w:val="auto"/>
        </w:rPr>
      </w:pPr>
      <w:r>
        <w:rPr>
          <w:rFonts w:ascii="Courier New" w:cs="Courier New" w:eastAsia="Courier New" w:hAnsi="Courier New"/>
          <w:sz w:val="14"/>
          <w:szCs w:val="14"/>
          <w:color w:val="auto"/>
        </w:rPr>
        <w:t>However, the adjustment referred to in this clause (6) will generally not be made if as of the closing of the offer, the offering documents disclose a plan or an intention to cause us to engage in a consolidation or merger or a sale of all or substantially all of our assets.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"Current market price" of our ordinary shares on any day means the average of the closing price per share of our ordinary shares for each of the 10 consecutive trading days ending on the earlier of the day in question and the day before the "ex-date" with respect to the issuance or distribution requiring such computation. For purposes of this paragraph, "ex-date" means the first date on which our ordinary shares trade on the applicable exchange or in the applicable market, regular way, without the right to receive such issuance or distribution.</w:t>
      </w:r>
    </w:p>
    <w:p>
      <w:pPr>
        <w:spacing w:after="0" w:line="33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To the extent that we have a rights plan in effect upon conversion of the notes into ordinary shares, you will receive, in addition to the ordinary shares, the rights under the rights plan, unless prior to any conversion, the rights have separated from the ordinary shares, in which case the conversion rate will be adjusted at the time of separation as if we distributed to all holders of our ordinary shares, shares of our capital stock, evidences of indebtedness or assets as described above, subject to readjustment in the event of the expiration, termination or redemption of such rights.</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the event of:</w:t>
      </w:r>
    </w:p>
    <w:p>
      <w:pPr>
        <w:spacing w:after="0" w:line="175" w:lineRule="exact"/>
        <w:rPr>
          <w:sz w:val="20"/>
          <w:szCs w:val="20"/>
          <w:color w:val="auto"/>
        </w:rPr>
      </w:pPr>
    </w:p>
    <w:p>
      <w:pPr>
        <w:ind w:left="1320" w:hanging="530"/>
        <w:spacing w:after="0"/>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reclassification of our ordinary shares;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consolidation, merger or combination involving us; or</w:t>
      </w:r>
    </w:p>
    <w:p>
      <w:pPr>
        <w:spacing w:after="0" w:line="175"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sale or conveyance to another person or entity of all or substantially all of our property and assets;</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which holders of our ordinary shares would be entitled to receive stock, other securities, other property, assets or cash for their ordinary shares, upon conversion of your notes you will be entitled to receive the same type of consideration that you would have been entitled to receive if you had converted the notes into our ordinary shares immediately prior to any of these events.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from time to time, increase the conversion rate if our Board of Directors has made a determination that this increase would be in our best interests. Any such determination by our board will be conclusive. In addition, we may increase the conversion rate if our board of directors deems it advisable to avoid or diminish any income tax to holders of ordinary shares resulting from any stock or rights distribution. See "Certain United States Federal Income Tax Considerations--Tax Consequences to U.S. Holders--Adjustment to Conversion Rate."</w:t>
      </w:r>
    </w:p>
    <w:p>
      <w:pPr>
        <w:spacing w:after="0" w:line="33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holders of the notes may, in certain circumstances, be deemed to have received a distribution subject to U.S. federal income tax as a dividend as a result of the adjustments to the conversion rate described above. See "Certain United States Federal Income Tax Considerations--Tax Consequences to U.S. Holders--Adjustment to Conversion Rate."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not be required to make an adjustment in the conversion rate unless the adjustment would require a change of at least 1% in the conversion rate. However, we will carry forward any adjustments that are less than 1% of the conversion rate. Except as described above in this section, we will not adjust the conversion rate for any issuance of our ordinary shares or convertible or exchangeable securities or rights to purchase our ordinary shares or convertible or exchangeable securities.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20"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OPTIONAL REDEMPTION BY AMDOCS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Beginning March 20, 2009, we may redeem the notes in whole or in part for cash at any time at a redemption price equal to 100% of the principal amount of notes, plus accrued and unpaid interest and liquidated damages, if any, to, but excluding, the redemption date. If such redemption date falls after a record date but on or prior to the next succeeding interest payment date, we will pay the full amount of accrued and unpaid interest, and liquidated damages, if any, on such interest payment date to the holder of record on the close of business on the corresponding record date. We are required to give notice of redemption by mail to holders not more than 60 but not less than 30 days prior to the redemption date.</w:t>
      </w:r>
    </w:p>
    <w:p>
      <w:pPr>
        <w:spacing w:after="0" w:line="33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If less than all of the outstanding notes are to be redeemed, the trustee will select the notes to be redeemed in principal amounts of $1,000 or multiples of $1,000 by lot, pro rata or by another method the trustee considers fair and appropriate. If a portion of your notes is selected for partial redemption and you convert a portion of your notes, the converted portion will be deemed to the extent practicable to be of the portion selected for redemption.</w:t>
      </w:r>
    </w:p>
    <w:p>
      <w:pPr>
        <w:spacing w:after="0" w:line="332"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We may not redeem the notes if we have failed to pay any interest on the notes and such failure to pay is continuing, or if the principal amount of the notes has been accelerated.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AT OPTION OF THE HOLDER</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You have the right to require us to repurchase your notes, in whole or in part, on March 15 of 2009, 2014 and 2019. We will be required to repurchase any outstanding note for which you deliver a written repurchase notice to the paying agent. This notice must be delivered during the period beginning at any time from the opening of business on the date that is 20 business days prior to the repurchase date until the close of business on the repurchase date. If a repurchase notice is given and withdrawn during that period, we will not be obligated to repurchase the notes listed in the notice. Our repurchase obligation will be subject to certain additional conditions.</w:t>
      </w:r>
    </w:p>
    <w:p>
      <w:pPr>
        <w:spacing w:after="0" w:line="164"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The repurchase price payable for a note will be equal to the principal amount to be repurchased, plus accrued and unpaid interest and liquidated damages, if any, to, but excluding, the repurchase date.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At our option, instead of paying the repurchase price in cash, we may pay it in our ordinary shares or a combination of cash and our ordinary shares valued at 100% of the average of the closing sales prices of such ordinary shares on the NYSE (or such other national or regional exchange or market on which the securities are then listed or quoted) for the five consecutive trading days ending on the third trading day prior to the repurchase date. We may only pay the repurchase price in ordinary shares if we satisfy certain conditions provided in the indenture, including:</w:t>
      </w:r>
    </w:p>
    <w:p>
      <w:pPr>
        <w:spacing w:after="0" w:line="165" w:lineRule="exact"/>
        <w:rPr>
          <w:sz w:val="20"/>
          <w:szCs w:val="20"/>
          <w:color w:val="auto"/>
        </w:rPr>
      </w:pPr>
    </w:p>
    <w:p>
      <w:pPr>
        <w:ind w:left="1320" w:right="3279" w:hanging="530"/>
        <w:spacing w:after="0" w:line="255" w:lineRule="auto"/>
        <w:tabs>
          <w:tab w:leader="none" w:pos="13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of the ordinary shares to be issued upon repurchase under the Securities Act and the Securities Exchange Act of 1934, referred to herein as the Exchange Act, if required;</w:t>
      </w:r>
    </w:p>
    <w:p>
      <w:pPr>
        <w:spacing w:after="0" w:line="162"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qualification of the ordinary shares to be issued upon repurchase under applicable state securities laws, if necessary, or the availability of an exemption therefrom; and</w:t>
      </w:r>
    </w:p>
    <w:p>
      <w:pPr>
        <w:spacing w:after="0" w:line="162" w:lineRule="exact"/>
        <w:rPr>
          <w:rFonts w:ascii="Courier New" w:cs="Courier New" w:eastAsia="Courier New" w:hAnsi="Courier New"/>
          <w:sz w:val="14"/>
          <w:szCs w:val="14"/>
          <w:color w:val="auto"/>
        </w:rPr>
      </w:pPr>
    </w:p>
    <w:p>
      <w:pPr>
        <w:ind w:left="1320" w:right="3799" w:hanging="530"/>
        <w:spacing w:after="0" w:line="254" w:lineRule="auto"/>
        <w:tabs>
          <w:tab w:leader="none" w:pos="13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of the ordinary shares on a United States national securities exchange or quotation thereof in an inter-dealer quotation system of any registered United States national securities association.</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If any condition is not satisfied, such as the condition that there be no restrictions on any transfer of the shares, the repurchase price may be paid only in cash. For a discussion of the tax treatment of a holder receiving cash, ordinary shares or any combination thereof, see "Certain United States Federal Income Tax Considerations." We may, at any time, irrevocably relinquish our right to pay the repurchase price in ordinary shares by entering into a supplemental indenture with the trustee.</w:t>
      </w:r>
    </w:p>
    <w:p>
      <w:pPr>
        <w:spacing w:after="0" w:line="16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You may withdraw any written repurchase notice by delivering a written notice of withdrawal to the paying agent prior to the close of business on the repurchase date. The withdrawal notice must state: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20" w:right="1440" w:bottom="1440" w:gutter="0" w:footer="0" w:header="0"/>
        </w:sectPr>
      </w:pPr>
    </w:p>
    <w:bookmarkStart w:id="39" w:name="page40"/>
    <w:bookmarkEnd w:id="39"/>
    <w:p>
      <w:pPr>
        <w:ind w:left="1320" w:hanging="530"/>
        <w:spacing w:after="0"/>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withdrawn notes;</w:t>
      </w:r>
    </w:p>
    <w:p>
      <w:pPr>
        <w:spacing w:after="0" w:line="175" w:lineRule="exact"/>
        <w:rPr>
          <w:rFonts w:ascii="Courier New" w:cs="Courier New" w:eastAsia="Courier New" w:hAnsi="Courier New"/>
          <w:sz w:val="14"/>
          <w:szCs w:val="14"/>
          <w:color w:val="auto"/>
        </w:rPr>
      </w:pPr>
    </w:p>
    <w:p>
      <w:pPr>
        <w:ind w:left="1320" w:right="3459" w:hanging="530"/>
        <w:spacing w:after="0" w:line="254" w:lineRule="auto"/>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certificated notes have been issued, the certificate numbers of the withdrawn notes (or, if your notes are not certificated, your withdrawal notice must comply with appropriate DTC procedures); and</w:t>
      </w:r>
    </w:p>
    <w:p>
      <w:pPr>
        <w:spacing w:after="0" w:line="163" w:lineRule="exact"/>
        <w:rPr>
          <w:rFonts w:ascii="Courier New" w:cs="Courier New" w:eastAsia="Courier New" w:hAnsi="Courier New"/>
          <w:sz w:val="14"/>
          <w:szCs w:val="14"/>
          <w:color w:val="auto"/>
        </w:rPr>
      </w:pPr>
    </w:p>
    <w:p>
      <w:pPr>
        <w:ind w:left="1320" w:right="3979" w:hanging="530"/>
        <w:spacing w:after="0" w:line="258" w:lineRule="auto"/>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if any, that remains subject to the repurchase notice.</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must give notice of an upcoming repurchase date to all note holders not less than 20 business days prior to the repurchase date at their addresses shown in the register of the registrar. We will also give notice to beneficial owners as required by applicable law. This notice will state, among other things: whether we will pay the repurchase price of the notes in cash or ordinary shares, or both cash and ordinary shares (in which case the relative percentages will be specified); if we elect to pay all or a portion of the repurchase price in ordinary shares, the method by which we are required to calculate market price of the ordinary shares; and the procedures that holders must follow to require us to repurchase their notes.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 of the repurchase price for a note for which a repurchase notice has been delivered and not withdrawn is conditioned upon book-entry transfer or delivery of the note, together with necessary endorsements, to the paying agent at its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business day following the repurchase date, then, on and after the date:</w:t>
      </w:r>
    </w:p>
    <w:p>
      <w:pPr>
        <w:spacing w:after="0" w:line="331" w:lineRule="exact"/>
        <w:rPr>
          <w:sz w:val="20"/>
          <w:szCs w:val="20"/>
          <w:color w:val="auto"/>
        </w:rPr>
      </w:pPr>
    </w:p>
    <w:p>
      <w:pPr>
        <w:ind w:left="1320" w:hanging="530"/>
        <w:spacing w:after="0"/>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 will cease to be outstanding;</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will cease to accrue; and</w:t>
      </w:r>
    </w:p>
    <w:p>
      <w:pPr>
        <w:spacing w:after="0" w:line="175"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rights of the holder will terminate, other than the right to receive the repurchase price upon delivery of the note.</w:t>
      </w:r>
    </w:p>
    <w:p>
      <w:pPr>
        <w:spacing w:after="0" w:line="160"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This will be the case whether or not book-entry transfer of the note has been made or the note has been delivered to the paying agent.</w:t>
      </w:r>
    </w:p>
    <w:p>
      <w:pPr>
        <w:spacing w:after="0" w:line="160"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No notes may be repurchased by us at the option of the holders if the principal amount of the notes has been accelerated, and such acceleration has not been rescinded, on or prior to the indicated repurchase date. We may be unable to repurchase the notes if you elect to require us to repurchase the notes pursuant to this provision. If you elect to require us to repurchase the notes on March 15 of 2009, 2014 or 2019, we may not have enough funds to pay the repurchase price for all tendered notes. Any future credit agreements or other agreements relating to our indebtedness may contain provisions prohibiting the repurchase of the notes under certain circumstances. If you elect to require us to repurchase the notes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17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will comply with the provisions of Rule 13e-4 and any other tender offer rules under the Exchange Act that may be applicable at the time of the tender offer. To the extent applicable, we will file a Schedule TO or any other schedule required in connection with any offer by us to repurchase the notes.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AT OPTION OF THE HOLDER UPON A DESIGNATED EVENT</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If a designated event occurs at any time prior to the maturity of the notes, you may require us to repurchase your notes, in whole or in part, on a repurchase date that is not less than 20 nor more than 35 business days after the date of our notice of the designated event. The notes will be repurchased only in integral multiples of $1,000 principal amount.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20" w:right="1440" w:bottom="1440" w:gutter="0" w:footer="0" w:header="0"/>
        </w:sectPr>
      </w:pPr>
    </w:p>
    <w:bookmarkStart w:id="40" w:name="page41"/>
    <w:bookmarkEnd w:id="40"/>
    <w:p>
      <w:pPr>
        <w:ind w:right="3279" w:firstLine="781"/>
        <w:spacing w:after="0" w:line="253" w:lineRule="auto"/>
        <w:rPr>
          <w:sz w:val="20"/>
          <w:szCs w:val="20"/>
          <w:color w:val="auto"/>
        </w:rPr>
      </w:pPr>
      <w:r>
        <w:rPr>
          <w:rFonts w:ascii="Courier New" w:cs="Courier New" w:eastAsia="Courier New" w:hAnsi="Courier New"/>
          <w:sz w:val="14"/>
          <w:szCs w:val="14"/>
          <w:color w:val="auto"/>
        </w:rPr>
        <w:t>We will repurchase the notes at a price equal to 100% of the principal amount to be repurchased, plus accrued and unpaid interest, and liquidated damages, if any, to, but excluding, the repurchase date. If such repurchase date falls after a record date and on or prior to the corresponding interest payment date, we will pay the full amount of accrued and unpaid interest payable on such interest payment date to the holder of record on the close of business on the corresponding record date.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At our option, instead of paying the repurchase price in cash, we may pay it in our ordinary shares or, if applicable, our parent's common equity, or a combination of cash and shares valued at 100% of the average of the closing sales prices of such shares on the New York Stock Exchange (or such other national or regional exchange or market on which the securities are then listed or quoted) for the five consecutive trading days ending on the third trading day prior to the repurchase date. We may only pay the repurchase price in shares if we satisfy certain conditions provided in the indenture, including:</w:t>
      </w:r>
    </w:p>
    <w:p>
      <w:pPr>
        <w:spacing w:after="0" w:line="165" w:lineRule="exact"/>
        <w:rPr>
          <w:sz w:val="20"/>
          <w:szCs w:val="20"/>
          <w:color w:val="auto"/>
        </w:rPr>
      </w:pPr>
    </w:p>
    <w:p>
      <w:pPr>
        <w:ind w:left="1320" w:right="3279" w:hanging="530"/>
        <w:spacing w:after="0" w:line="258" w:lineRule="auto"/>
        <w:tabs>
          <w:tab w:leader="none" w:pos="13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of the shares to be issued upon redemption under the Securities Act and the Exchange Act, if required;</w:t>
      </w:r>
    </w:p>
    <w:p>
      <w:pPr>
        <w:spacing w:after="0" w:line="159" w:lineRule="exact"/>
        <w:rPr>
          <w:rFonts w:ascii="Courier New" w:cs="Courier New" w:eastAsia="Courier New" w:hAnsi="Courier New"/>
          <w:sz w:val="14"/>
          <w:szCs w:val="14"/>
          <w:color w:val="auto"/>
        </w:rPr>
      </w:pPr>
    </w:p>
    <w:p>
      <w:pPr>
        <w:ind w:left="1320" w:right="3539" w:hanging="530"/>
        <w:spacing w:after="0" w:line="255" w:lineRule="auto"/>
        <w:tabs>
          <w:tab w:leader="none" w:pos="13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qualification of the shares to be issued upon redemption under applicable state securities laws, if necessary, or the availability of an exemption therefrom; and</w:t>
      </w:r>
    </w:p>
    <w:p>
      <w:pPr>
        <w:spacing w:after="0" w:line="162"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of the shares on a United States national securities exchange or quotation thereof in an inter-dealer quotation system of any registered United States national securities association.</w:t>
      </w:r>
    </w:p>
    <w:p>
      <w:pPr>
        <w:spacing w:after="0" w:line="16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If any condition is not satisfied, such as the condition that there be no restrictions on any transfer of the shares, the repurchase price may be paid only in cash. We may, at any time, irrevocably relinquish our right to pay the repurchase price in shares by entering into a supplemental indenture with the trustee.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mail to all record holders a notice of a designated event within 15 days after it has occurred. This notice will state, among other things: whether we will pay the repurchase price of the notes in cash, shares of our ordinary shares or, if applicable, our parent's common equity, or both cash and shares (in which case the relative percentages will be specified); if we elect to pay all or a portion of the repurchase price in shares, the method by which we are required to calculate market price of the shares; and the procedures that holders must follow to require us to repurchase their notes. We are also required to deliver to the trustee a copy of the designated event notice. If you elect to require us to repurchase your notes, you must deliver to us or our designated agent, on or before the repurchase date specified in our designated event notice, your repurchase notice and any notes to be repurchased, duly endorsed for transfer. We will promptly pay the repurchase price for notes surrendered for repurchase following the repurchase date.</w:t>
      </w:r>
    </w:p>
    <w:p>
      <w:pPr>
        <w:spacing w:after="0" w:line="163"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You may withdraw any written repurchase notice by delivering a written notice of withdrawal to the paying agent prior to the close of business on the repurchase date. The withdrawal notice must state:</w:t>
      </w:r>
    </w:p>
    <w:p>
      <w:pPr>
        <w:spacing w:after="0" w:line="162" w:lineRule="exact"/>
        <w:rPr>
          <w:sz w:val="20"/>
          <w:szCs w:val="20"/>
          <w:color w:val="auto"/>
        </w:rPr>
      </w:pPr>
    </w:p>
    <w:p>
      <w:pPr>
        <w:ind w:left="1320" w:hanging="530"/>
        <w:spacing w:after="0"/>
        <w:tabs>
          <w:tab w:leader="none" w:pos="13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withdrawn notes;</w:t>
      </w:r>
    </w:p>
    <w:p>
      <w:pPr>
        <w:spacing w:after="0" w:line="175" w:lineRule="exact"/>
        <w:rPr>
          <w:rFonts w:ascii="Courier New" w:cs="Courier New" w:eastAsia="Courier New" w:hAnsi="Courier New"/>
          <w:sz w:val="14"/>
          <w:szCs w:val="14"/>
          <w:color w:val="auto"/>
        </w:rPr>
      </w:pPr>
    </w:p>
    <w:p>
      <w:pPr>
        <w:ind w:left="1320" w:right="3459" w:hanging="530"/>
        <w:spacing w:after="0" w:line="254" w:lineRule="auto"/>
        <w:tabs>
          <w:tab w:leader="none" w:pos="13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certificated notes have been issued, the certificate numbers of the withdrawn notes (or, if your notes are not certificated, your withdrawal notice must comply with appropriate DTC procedures); and</w:t>
      </w:r>
    </w:p>
    <w:p>
      <w:pPr>
        <w:spacing w:after="0" w:line="163" w:lineRule="exact"/>
        <w:rPr>
          <w:rFonts w:ascii="Courier New" w:cs="Courier New" w:eastAsia="Courier New" w:hAnsi="Courier New"/>
          <w:sz w:val="14"/>
          <w:szCs w:val="14"/>
          <w:color w:val="auto"/>
        </w:rPr>
      </w:pPr>
    </w:p>
    <w:p>
      <w:pPr>
        <w:ind w:left="1320" w:right="3979" w:hanging="530"/>
        <w:spacing w:after="0" w:line="258" w:lineRule="auto"/>
        <w:tabs>
          <w:tab w:leader="none" w:pos="13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if any, that remains subject to the repurchase notice.</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 of the repurchase price for a note for which a repurchase notice has been delivered and not withdrawn is conditioned upon book-entry transfer or delivery of the note, together with necessary endorsements, to the paying agent at its corporate trust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repurchase date, then, on and after the business day following the repurchase date:</w:t>
      </w:r>
    </w:p>
    <w:p>
      <w:pPr>
        <w:spacing w:after="0" w:line="164" w:lineRule="exact"/>
        <w:rPr>
          <w:sz w:val="20"/>
          <w:szCs w:val="20"/>
          <w:color w:val="auto"/>
        </w:rPr>
      </w:pPr>
    </w:p>
    <w:p>
      <w:pPr>
        <w:ind w:left="3400" w:right="5639" w:hanging="2610"/>
        <w:spacing w:after="0" w:line="511" w:lineRule="auto"/>
        <w:tabs>
          <w:tab w:leader="none" w:pos="131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 will cease to be outstanding; 33</w:t>
      </w:r>
    </w:p>
    <w:p>
      <w:pPr>
        <w:sectPr>
          <w:pgSz w:w="11900" w:h="16838" w:orient="portrait"/>
          <w:cols w:equalWidth="0" w:num="1">
            <w:col w:w="10239"/>
          </w:cols>
          <w:pgMar w:left="220" w:top="620" w:right="1440" w:bottom="1440" w:gutter="0" w:footer="0" w:header="0"/>
        </w:sectPr>
      </w:pPr>
    </w:p>
    <w:bookmarkStart w:id="41" w:name="page42"/>
    <w:bookmarkEnd w:id="41"/>
    <w:p>
      <w:pPr>
        <w:ind w:left="1320" w:hanging="530"/>
        <w:spacing w:after="0"/>
        <w:tabs>
          <w:tab w:leader="none" w:pos="13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will cease to accrue; and</w:t>
      </w:r>
    </w:p>
    <w:p>
      <w:pPr>
        <w:spacing w:after="0" w:line="175"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rights of the holder will terminate, other than the right to receive the repurchase price upon delivery of the note.</w:t>
      </w:r>
    </w:p>
    <w:p>
      <w:pPr>
        <w:spacing w:after="0" w:line="160"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This will be the case whether or not book-entry transfer of the note has been made or the note has been delivered to the paying agent.</w:t>
      </w:r>
    </w:p>
    <w:p>
      <w:pPr>
        <w:spacing w:after="0" w:line="160"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A "designated event" will be deemed to have occurred upon a fundamental change or a termination of trading.</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 "fundamental change" is any transaction or event (whether by means of an exchange offer, liquidation, tender offer, consolidation, merger, combination, reclassification, recapitalization or otherwise) in connection with which all or substantially all of our ordinary shares are exchanged for, converted into, acquired for or constitute solely the right to receive, consideration that is not all or substantially all common stock (or comparable equity security of a non-U.S. entity) that:</w:t>
      </w:r>
    </w:p>
    <w:p>
      <w:pPr>
        <w:spacing w:after="0" w:line="165" w:lineRule="exact"/>
        <w:rPr>
          <w:sz w:val="20"/>
          <w:szCs w:val="20"/>
          <w:color w:val="auto"/>
        </w:rPr>
      </w:pPr>
    </w:p>
    <w:p>
      <w:pPr>
        <w:ind w:left="1320" w:right="3379" w:hanging="530"/>
        <w:spacing w:after="0" w:line="258" w:lineRule="auto"/>
        <w:tabs>
          <w:tab w:leader="none" w:pos="13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listed on, or immediately after the transaction or event will be listed on, a United States national securities exchange, or</w:t>
      </w:r>
    </w:p>
    <w:p>
      <w:pPr>
        <w:spacing w:after="0" w:line="159" w:lineRule="exact"/>
        <w:rPr>
          <w:rFonts w:ascii="Courier New" w:cs="Courier New" w:eastAsia="Courier New" w:hAnsi="Courier New"/>
          <w:sz w:val="14"/>
          <w:szCs w:val="14"/>
          <w:color w:val="auto"/>
        </w:rPr>
      </w:pPr>
    </w:p>
    <w:p>
      <w:pPr>
        <w:ind w:left="1320" w:right="3459" w:hanging="530"/>
        <w:spacing w:after="0" w:line="254" w:lineRule="auto"/>
        <w:tabs>
          <w:tab w:leader="none" w:pos="13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approved, or immediately after the transaction or event will be approved, for quotation on the NASDAQ National Market or any similar United States system of automated dissemination of quotations of securities prices.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A "termination of trading" will be deemed to have occurred if our ordinary shares (or other securities into which the notes are then convertible) are neither listed for trading on a United States national securities exchange nor approved for trading on the NASDAQ National Market.</w:t>
      </w:r>
    </w:p>
    <w:p>
      <w:pPr>
        <w:spacing w:after="0" w:line="163"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We will comply with the provisions of Rule 13e-4 and any other tender offer rules under the Exchange Act that may be applicable at the time of a designated event. To the extent applicable, we will file a Schedule TO or any other schedule required in connection with any offer by us to repurchase the notes in the event of a designated event.</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These designated event repurchase rights could discourage a potential acquirer of Amdocs. However, this designated event repurchase feature is not the result of management's knowledge of any specific effort to obtain control of us by means of a merger, tender offer or solicitation, or part of a plan by management to adopt a series of anti-takeover provisions. The term "designated event" is limited to specified transactions and may not include other events that might adversely affect our financial condition or business operations. Our obligation to offer to repurchase the notes upon a designated event would not necessarily afford you protection in the event of a highly leveraged transaction, reorganization, merger or similar transaction involving us. No notes may be repurchased by us at the option of holders upon a designated event if the principal amount of the notes has been accelerated and such acceleration has not been rescinded.</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be unable to repurchase the notes in the event of a designated event. If a designated event were to occur, we may not have enough funds to pay the repurchase price for all tendered notes. Any future credit agreements or other agreements relating to our indebtedness may contain provisions prohibiting repurchase of the notes under certain circumstances, or expressly prohibit our repurchase of the notes upon a designated event or may provide that a designated event constitutes an event of default under that agreement. If a designated event occurs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20"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4"/>
          <w:szCs w:val="14"/>
          <w:color w:val="auto"/>
        </w:rPr>
        <w:t>ADDITIONAL TAX AMOUNTS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All amounts payable (whether in respect of principal, interest, liquidated damages or otherwise) in respect of the notes will be made free and clear of and without withholding or deduction for or on account of any present or future taxes, duties, levies, assessments or governmental charges of whatever nature imposed or levied by or on behalf of Guernsey or any political subdivision thereof or any authority or agency therein or thereof having power to tax, unless the withholding or deduction of such taxes, duties, levies, assessments or governmental charges is required by law. In that event, we will pay, or cause to be paid, such additional amounts as may be necessary in order that the net amounts receivable by the holder after such withholding or deduction shall equal the respective amounts that would have been receivable by such holder in the absence of such withholding or deduction; except that no such additional amounts shall be payable in relation to any payment in respect of any of the notes:</w:t>
      </w:r>
    </w:p>
    <w:p>
      <w:pPr>
        <w:spacing w:after="0" w:line="330" w:lineRule="exact"/>
        <w:rPr>
          <w:sz w:val="20"/>
          <w:szCs w:val="20"/>
          <w:color w:val="auto"/>
        </w:rPr>
      </w:pPr>
    </w:p>
    <w:p>
      <w:pPr>
        <w:ind w:left="1320" w:right="3279" w:hanging="530"/>
        <w:spacing w:after="0" w:line="253"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or to a third party on behalf of, a person who is liable for such taxes, duties, levies, assessments or governmental charges in respect of such note by reason of his having some connection with (including being a citizen of, being incorporated or engaged in a trade or business in, or having a residence or principal place of business or other presence in) Guernsey other than (a) the mere holding of such note or (b) the receipt of principal, interest or other amount in respect of such note; or</w:t>
      </w:r>
    </w:p>
    <w:p>
      <w:pPr>
        <w:spacing w:after="0" w:line="164"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presented for payment more than 30 days after the relevant date (as defined below), except to the extent that the relevant holder would have been entitled to such additional amounts on presenting the same for payment on or before the expiry of such period of 30 days; or</w:t>
      </w:r>
    </w:p>
    <w:p>
      <w:pPr>
        <w:spacing w:after="0" w:line="162" w:lineRule="exact"/>
        <w:rPr>
          <w:rFonts w:ascii="Courier New" w:cs="Courier New" w:eastAsia="Courier New" w:hAnsi="Courier New"/>
          <w:sz w:val="14"/>
          <w:szCs w:val="14"/>
          <w:color w:val="auto"/>
        </w:rPr>
      </w:pPr>
    </w:p>
    <w:p>
      <w:pPr>
        <w:ind w:left="1320" w:right="3459" w:hanging="530"/>
        <w:spacing w:after="0" w:line="255"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account of any inheritance, gift, estate, personal property, sales, or similar taxes duties, levies, assessments or similar governmental charges; or</w:t>
      </w:r>
    </w:p>
    <w:p>
      <w:pPr>
        <w:spacing w:after="0" w:line="162" w:lineRule="exact"/>
        <w:rPr>
          <w:rFonts w:ascii="Courier New" w:cs="Courier New" w:eastAsia="Courier New" w:hAnsi="Courier New"/>
          <w:sz w:val="14"/>
          <w:szCs w:val="14"/>
          <w:color w:val="auto"/>
        </w:rPr>
      </w:pPr>
    </w:p>
    <w:p>
      <w:pPr>
        <w:jc w:val="both"/>
        <w:ind w:left="1320" w:right="4159" w:hanging="530"/>
        <w:spacing w:after="0" w:line="255"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account of any taxes, duties, levies, assessments or governmental charges that are payable otherwise than by withholding from payments in respect of such note.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"relevant date" means, in respect of any payment, the date on which such payment first becomes due and payable, but if the full amount of the moneys payable has not been received by the trustee on or prior to such due date, it means the first date on which, the full amount of such moneys having been so received and being available for payment to holders, notice to that effect shall have been duly given to the holders of the notes.</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If Amdocs becomes subject generally at any time to any taxing jurisdiction other than or in addition to Guernsey, references to Guernsey in this section and the following section shall be read and construed as references to such other jurisdiction(s) and/or to Guernsey.</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Notwithstanding the foregoing discussion concerning withholding taxes, in the event that any deduction or withholding on account of tax is required to be made, or is made, in connection with the European Union directive on the taxation of savings income adopted on June 3, 2003, or any law, regardless of whether or not enacted by a member state of the European Union or otherwise, required by such directive implementing or complying with, or introduced in order to conform to, such directive, no additional amounts shall be payable or paid by us to any holder in respect of the notes. See "Certain Guernsey Tax Considerations--European Union Savings Tax Directive."</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Any reference in this section to "principal" and/or "interest" in respect of the notes shall be deemed also to refer to any additional amounts that may be payable under this section. Unless the context otherwise requires, any reference in this section to "principal" shall include any redemption amount and any other amounts in the nature of principal payable pursuant to this section and "interest" shall include all amounts payable pursuant to this section and any other amounts in the nature of interest payable pursuant to this section, including liquidated damages.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20"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4"/>
          <w:szCs w:val="14"/>
          <w:color w:val="auto"/>
        </w:rPr>
        <w:t>TAX REDEMPTION</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Subject to the conditions described below, the notes may be redeemed for cash, in whole but not in part, at our option, upon not less than 30 days' nor more than 60 days' prior notice to the holders at the redemption price equal to 100% of the principal amount, plus accrued and unpaid interest and liquidated damages, if any, to, but excluding, the date fixed for redemption, if we determine, based on an opinion received from a tax advisor who is an expert in the tax laws of the relevant jurisdiction, that on the next succeeding interest payment date, as a result of any change in or amendment to the laws or treaties, or any regulations or rulings promulgated thereunder, of Guernsey or any political subdivision thereof or any authority or agency therein or thereof having power to tax and affecting taxation, or any proposed change in such laws, treaties, regulations or rulings (including a holding by a court of competent jurisdiction) which change or amendment becomes effective or is proposed on or after the closing date of the sale of the notes, Amdocs has or will become obligated to pay additional amounts on any notes, provided, however, that (i) the obligation to withhold or deduct cannot be avoided by us by using our reasonable best efforts to obtain an exemption from such deduction or withholding obligation (in the event application to the appropriate authorities is reasonably required in order to avoid such obligation) and such application has been denied, and (ii) no such notice of redemption may be given earlier than 90 days prior to the earliest date on which we would be obligated to pay such additional amounts.</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Notwithstanding the foregoing, if we give notice of redemption as described above, each holder of notes will have the right to elect that such holder's notes will not be subject to such redemption. If a holder of notes elects not to be subject to such redemption, we will not be required to pay any additional amounts with respect to payments made on that holder's notes (solely as a result of the change in Guernsey tax law that caused additional amounts to be payable) following the redemption date fixed by us, and all subsequent payments on such holder's notes whether in cash or ordinary shares will be subject to applicable Guernsey taxes. In such event, payments of interest on the notes arising on maturity, redemption, purchase or conversion of a note or on an assignment or other transfer of a note to a person resident in Guernsey may be subject to Guernsey taxes, and the tax consequences to holders of notes described under "Certain Guernsey Tax Considerations" will no longer apply.</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Because the tax consequences to holders in such circumstances could be material and adverse, holders of notes should consult their own tax advisors in considering whether to elect their option to avoid redemption in such circumstances. In the event that cash payments which a holder would otherwise be entitled to receive from us are insufficient to pay applicable Guernsey taxes, we may require from a holder as a condition to the holder's right to receive any ordinary shares on conversion or other amounts from us an amount of cash sufficient to pay applicable Guernsey taxes. Holders of notes must elect their option to avoid such redemption by written notice to the trustee no later than the 15th day prior to the redemption date fixed by us.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AND SALE OF ASSETS BY AMDOCS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indenture provides that we may not consolidate with or merge with or into any other person or convey, transfer, sell or lease our properties and assets substantially as an entirety to another person, and we may not permit any person to consolidate with or merge into us or convey, transfer, sell or lease such person's properties and assets substantially as an entirety to us, unless among other items:</w:t>
      </w:r>
    </w:p>
    <w:p>
      <w:pPr>
        <w:spacing w:after="0" w:line="165" w:lineRule="exact"/>
        <w:rPr>
          <w:sz w:val="20"/>
          <w:szCs w:val="20"/>
          <w:color w:val="auto"/>
        </w:rPr>
      </w:pPr>
    </w:p>
    <w:p>
      <w:pPr>
        <w:ind w:left="1320" w:right="3279" w:hanging="530"/>
        <w:spacing w:after="0" w:line="253" w:lineRule="auto"/>
        <w:tabs>
          <w:tab w:leader="none" w:pos="13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formed by such consolidation or into or with which we are merged or the person to which our properties and assets are so conveyed, transferred, sold or leased, shall be a corporation, limited liability company, partnership or trust organized and validly existing under either (1) the laws of Guernsey, the United States, any state within the United States or the District of Columbia or any other country (including its political subdivisions) which on the issue date is a member of the Organization for Economic Cooperation and Development or (2) any other country whose legal and jurisprudential system is principally based on, or substantially similar to, English common law so long as the location of that entity in such common law country would not adversely affect the rights of holders and, in each case, if we</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20" w:right="1440" w:bottom="1440" w:gutter="0" w:footer="0" w:header="0"/>
        </w:sectPr>
      </w:pPr>
    </w:p>
    <w:bookmarkStart w:id="44" w:name="page45"/>
    <w:bookmarkEnd w:id="44"/>
    <w:p>
      <w:pPr>
        <w:ind w:left="1320" w:right="3379"/>
        <w:spacing w:after="0" w:line="254" w:lineRule="auto"/>
        <w:rPr>
          <w:sz w:val="20"/>
          <w:szCs w:val="20"/>
          <w:color w:val="auto"/>
        </w:rPr>
      </w:pPr>
      <w:r>
        <w:rPr>
          <w:rFonts w:ascii="Courier New" w:cs="Courier New" w:eastAsia="Courier New" w:hAnsi="Courier New"/>
          <w:sz w:val="14"/>
          <w:szCs w:val="14"/>
          <w:color w:val="auto"/>
        </w:rPr>
        <w:t>are not the surviving person, the surviving person files a supplement to the indenture and expressly assumes the payment of the principal and interest on the notes and the performance of our other covenants under the indenture;</w:t>
      </w:r>
    </w:p>
    <w:p>
      <w:pPr>
        <w:spacing w:after="0" w:line="163" w:lineRule="exact"/>
        <w:rPr>
          <w:sz w:val="20"/>
          <w:szCs w:val="20"/>
          <w:color w:val="auto"/>
        </w:rPr>
      </w:pPr>
    </w:p>
    <w:p>
      <w:pPr>
        <w:ind w:left="1320" w:right="3379" w:hanging="530"/>
        <w:spacing w:after="0" w:line="255"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giving effect to such transaction, there is no event of default under the indenture, and no event which, after notice or passage of time or both, would become an event of default; and</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requirements as described in the indenture are met.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EVENTS OF DEFAULT; NOTICE AND WAIVER</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are events of default under the indenture:</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pay principal when due at maturity, upon redemption, repurchase or otherwise on the notes;</w:t>
      </w:r>
    </w:p>
    <w:p>
      <w:pPr>
        <w:spacing w:after="0" w:line="159" w:lineRule="exact"/>
        <w:rPr>
          <w:rFonts w:ascii="Courier New" w:cs="Courier New" w:eastAsia="Courier New" w:hAnsi="Courier New"/>
          <w:sz w:val="14"/>
          <w:szCs w:val="14"/>
          <w:color w:val="auto"/>
        </w:rPr>
      </w:pPr>
    </w:p>
    <w:p>
      <w:pPr>
        <w:ind w:left="1320" w:right="3279" w:hanging="530"/>
        <w:spacing w:after="0" w:line="260"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pay any interest and liquidated damages, if any, on the notes, when due and such failure continues for a period of 30 days;</w:t>
      </w:r>
    </w:p>
    <w:p>
      <w:pPr>
        <w:spacing w:after="0" w:line="324"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provide timely notice of a designated event;</w:t>
      </w:r>
    </w:p>
    <w:p>
      <w:pPr>
        <w:spacing w:after="0" w:line="175"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perform or observe any of the covenants in the indenture for 60 days after written notice to us from the trustee (or to us and the trustee from the holders of at least 25% in principal amount of the outstanding notes);</w:t>
      </w:r>
    </w:p>
    <w:p>
      <w:pPr>
        <w:spacing w:after="0" w:line="163"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defaults or other defaults causing acceleration of indebtedness prior to maturity, where the principal amount of the indebtedness subject to such defaults aggregates $50.0 million or more;</w:t>
      </w:r>
    </w:p>
    <w:p>
      <w:pPr>
        <w:spacing w:after="0" w:line="163" w:lineRule="exact"/>
        <w:rPr>
          <w:rFonts w:ascii="Courier New" w:cs="Courier New" w:eastAsia="Courier New" w:hAnsi="Courier New"/>
          <w:sz w:val="14"/>
          <w:szCs w:val="14"/>
          <w:color w:val="auto"/>
        </w:rPr>
      </w:pPr>
    </w:p>
    <w:p>
      <w:pPr>
        <w:ind w:left="1320" w:right="3379" w:hanging="530"/>
        <w:spacing w:after="0" w:line="255"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deliver our ordinary shares upon conversion of the notes within the time period required by the indenture, and such failure continues for a period of five days; or</w:t>
      </w:r>
    </w:p>
    <w:p>
      <w:pPr>
        <w:spacing w:after="0" w:line="162" w:lineRule="exact"/>
        <w:rPr>
          <w:rFonts w:ascii="Courier New" w:cs="Courier New" w:eastAsia="Courier New" w:hAnsi="Courier New"/>
          <w:sz w:val="14"/>
          <w:szCs w:val="14"/>
          <w:color w:val="auto"/>
        </w:rPr>
      </w:pPr>
    </w:p>
    <w:p>
      <w:pPr>
        <w:ind w:left="1320" w:right="4239" w:hanging="530"/>
        <w:spacing w:after="0" w:line="258"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events involving our bankruptcy, insolvency or reorganization.</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trustee may withhold notice to the holders of the notes of any default, except defaults in payment of interest or liquidated damages, if any, on the notes. However, the trustee must consider it to be in the interest of the holders of the notes to withhold this notice.</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an event of default occurs and continues, the trustee or the holders of at least 25% in principal amount of the outstanding notes may declare the principal, and accrued interest and liquidated damages, if any, on the outstanding notes to be immediately due and payable. In case of certain events of bankruptcy or insolvency involving us, the principal, and accrued interest and liquidated damages, if any, on the notes will automatically become due and payable. However, if we cure all defaults, except the nonpayment of principal, interest or liquidated damages, if any, that became due as a result of the acceleration, and meet certain other conditions, with certain exceptions, this declaration may be cancelled and the holders of a majority of the principal amount of outstanding notes may waive these past defaults.</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Payments of principal or interest or liquidated damages, if any, on the notes that are not made when due will accrue interest from the required payment date at the annual rate of 1% above the then applicable interest rate for the notes.</w:t>
      </w:r>
    </w:p>
    <w:p>
      <w:pPr>
        <w:spacing w:after="0" w:line="163"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The holders of a majority of outstanding notes will have the right to direct the time, method and place of any proceedings for any remedy available to the trustee, subject to limitations specified in the indenture.</w:t>
      </w:r>
    </w:p>
    <w:p>
      <w:pPr>
        <w:spacing w:after="0" w:line="162"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No holder of the notes may pursue any remedy under the indenture, except in the case of a default in the payment of principal or interest on the notes, unless:</w:t>
      </w:r>
    </w:p>
    <w:p>
      <w:pPr>
        <w:spacing w:after="0" w:line="162" w:lineRule="exact"/>
        <w:rPr>
          <w:sz w:val="20"/>
          <w:szCs w:val="20"/>
          <w:color w:val="auto"/>
        </w:rPr>
      </w:pPr>
    </w:p>
    <w:p>
      <w:pPr>
        <w:ind w:left="1320" w:right="3539" w:hanging="530"/>
        <w:spacing w:after="0" w:line="258" w:lineRule="auto"/>
        <w:tabs>
          <w:tab w:leader="none" w:pos="13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has given the trustee written notice of an event of default;</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20" w:right="1440" w:bottom="1440" w:gutter="0" w:footer="0" w:header="0"/>
        </w:sectPr>
      </w:pPr>
    </w:p>
    <w:bookmarkStart w:id="45" w:name="page46"/>
    <w:bookmarkEnd w:id="45"/>
    <w:p>
      <w:pPr>
        <w:ind w:left="1320" w:right="3539" w:hanging="530"/>
        <w:spacing w:after="0" w:line="255"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at least 25% in principal amount of outstanding notes make a written request and offer indemnity reasonably satisfactory to the trustee to pursue the remedy;</w:t>
      </w:r>
    </w:p>
    <w:p>
      <w:pPr>
        <w:spacing w:after="0" w:line="162"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does not receive an inconsistent direction from the holders of a majority in principal amount of the notes;</w:t>
      </w:r>
    </w:p>
    <w:p>
      <w:pPr>
        <w:spacing w:after="0" w:line="159" w:lineRule="exact"/>
        <w:rPr>
          <w:rFonts w:ascii="Courier New" w:cs="Courier New" w:eastAsia="Courier New" w:hAnsi="Courier New"/>
          <w:sz w:val="14"/>
          <w:szCs w:val="14"/>
          <w:color w:val="auto"/>
        </w:rPr>
      </w:pPr>
    </w:p>
    <w:p>
      <w:pPr>
        <w:ind w:left="1320" w:right="3979" w:hanging="530"/>
        <w:spacing w:after="0" w:line="255"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or holders have offered security or indemnity reasonably satisfactory to the trustee against any costs, liability or expense of the trustee; and</w:t>
      </w:r>
    </w:p>
    <w:p>
      <w:pPr>
        <w:spacing w:after="0" w:line="162"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fails to comply with the request within 60 days after receipt of the request and offer of indemnity.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MODIFICATION AND WAIVER</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consent of the holders of a majority in principal amount of the outstanding notes is required to modify or amend the indenture. However, a modification or amendment requires the consent of the holder of each outstanding note if it would:</w:t>
      </w:r>
    </w:p>
    <w:p>
      <w:pPr>
        <w:spacing w:after="0" w:line="163" w:lineRule="exact"/>
        <w:rPr>
          <w:sz w:val="20"/>
          <w:szCs w:val="20"/>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extend the fixed maturity of any note;</w:t>
      </w:r>
    </w:p>
    <w:p>
      <w:pPr>
        <w:spacing w:after="0" w:line="175"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rate or extend the time for payment of interest, or liquidated damages, if any, on any note;</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principal amount of any note;</w:t>
      </w:r>
    </w:p>
    <w:p>
      <w:pPr>
        <w:spacing w:after="0" w:line="175"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any amount payable upon redemption or repurchase of any note;</w:t>
      </w:r>
    </w:p>
    <w:p>
      <w:pPr>
        <w:spacing w:after="0" w:line="159" w:lineRule="exact"/>
        <w:rPr>
          <w:rFonts w:ascii="Courier New" w:cs="Courier New" w:eastAsia="Courier New" w:hAnsi="Courier New"/>
          <w:sz w:val="14"/>
          <w:szCs w:val="14"/>
          <w:color w:val="auto"/>
        </w:rPr>
      </w:pPr>
    </w:p>
    <w:p>
      <w:pPr>
        <w:ind w:left="1320" w:right="363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adversely change our obligation to repurchase any note at the option of a holder or upon a designated event;</w:t>
      </w:r>
    </w:p>
    <w:p>
      <w:pPr>
        <w:spacing w:after="0" w:line="159"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 the right of a holder to institute suit for payment on any note;</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currency in which any note is payable;</w:t>
      </w:r>
    </w:p>
    <w:p>
      <w:pPr>
        <w:spacing w:after="0" w:line="175" w:lineRule="exact"/>
        <w:rPr>
          <w:rFonts w:ascii="Courier New" w:cs="Courier New" w:eastAsia="Courier New" w:hAnsi="Courier New"/>
          <w:sz w:val="14"/>
          <w:szCs w:val="14"/>
          <w:color w:val="auto"/>
        </w:rPr>
      </w:pPr>
    </w:p>
    <w:p>
      <w:pPr>
        <w:ind w:left="1320" w:right="3539" w:hanging="530"/>
        <w:spacing w:after="0" w:line="255"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 the right of a holder to convert any note or reduce the number of ordinary shares or the amount of any other property receivable upon conversion;</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quorum or voting requirements under the indenture;</w:t>
      </w:r>
    </w:p>
    <w:p>
      <w:pPr>
        <w:spacing w:after="0" w:line="175" w:lineRule="exact"/>
        <w:rPr>
          <w:rFonts w:ascii="Courier New" w:cs="Courier New" w:eastAsia="Courier New" w:hAnsi="Courier New"/>
          <w:sz w:val="14"/>
          <w:szCs w:val="14"/>
          <w:color w:val="auto"/>
        </w:rPr>
      </w:pPr>
    </w:p>
    <w:p>
      <w:pPr>
        <w:jc w:val="both"/>
        <w:ind w:left="1320" w:right="3279" w:hanging="530"/>
        <w:spacing w:after="0" w:line="255"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specified exceptions, modify certain of the provisions of the indenture relating to modification or waiver of provisions of the indenture; or</w:t>
      </w:r>
    </w:p>
    <w:p>
      <w:pPr>
        <w:spacing w:after="0" w:line="162"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of notes required for consent to any modification of the indenture.</w:t>
      </w:r>
    </w:p>
    <w:p>
      <w:pPr>
        <w:spacing w:after="0" w:line="160"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We are permitted to modify certain provisions of the indenture without the consent of the holders of the notes.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DENOMINATION AND REGISTRATION</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notes were issued:</w:t>
      </w:r>
    </w:p>
    <w:p>
      <w:pPr>
        <w:spacing w:after="0" w:line="175" w:lineRule="exact"/>
        <w:rPr>
          <w:sz w:val="20"/>
          <w:szCs w:val="20"/>
          <w:color w:val="auto"/>
        </w:rPr>
      </w:pPr>
    </w:p>
    <w:p>
      <w:pPr>
        <w:ind w:left="1320" w:hanging="530"/>
        <w:spacing w:after="0"/>
        <w:tabs>
          <w:tab w:leader="none" w:pos="13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fully registered form;</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interest coupons; and</w:t>
      </w:r>
    </w:p>
    <w:p>
      <w:pPr>
        <w:spacing w:after="0" w:line="175" w:lineRule="exact"/>
        <w:rPr>
          <w:rFonts w:ascii="Courier New" w:cs="Courier New" w:eastAsia="Courier New" w:hAnsi="Courier New"/>
          <w:sz w:val="14"/>
          <w:szCs w:val="14"/>
          <w:color w:val="auto"/>
        </w:rPr>
      </w:pPr>
    </w:p>
    <w:p>
      <w:pPr>
        <w:ind w:left="1320" w:right="4059" w:hanging="530"/>
        <w:spacing w:after="0" w:line="258" w:lineRule="auto"/>
        <w:tabs>
          <w:tab w:leader="none" w:pos="13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denominations of $1,000 principal amount and integral multiples of $1,000.</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GLOBAL NOTE, BOOK-ENTRY FORM</w:t>
      </w:r>
    </w:p>
    <w:p>
      <w:pPr>
        <w:spacing w:after="0" w:line="175"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Notes are evidenced by one or more global notes. We deposited the global note or notes with DTC and register the global notes in the name of Cede</w:t>
      </w:r>
    </w:p>
    <w:p>
      <w:pPr>
        <w:spacing w:after="0" w:line="1" w:lineRule="exact"/>
        <w:rPr>
          <w:sz w:val="20"/>
          <w:szCs w:val="20"/>
          <w:color w:val="auto"/>
        </w:rPr>
      </w:pPr>
    </w:p>
    <w:p>
      <w:pPr>
        <w:ind w:left="3400" w:right="6499" w:hanging="3391"/>
        <w:spacing w:after="0" w:line="511" w:lineRule="auto"/>
        <w:tabs>
          <w:tab w:leader="none" w:pos="18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 as DTC's nominee. Except as set forth 38</w:t>
      </w:r>
    </w:p>
    <w:p>
      <w:pPr>
        <w:sectPr>
          <w:pgSz w:w="11900" w:h="16838" w:orient="portrait"/>
          <w:cols w:equalWidth="0" w:num="1">
            <w:col w:w="10239"/>
          </w:cols>
          <w:pgMar w:left="220" w:top="620" w:right="1440" w:bottom="1440" w:gutter="0" w:footer="0" w:header="0"/>
        </w:sectPr>
      </w:pPr>
    </w:p>
    <w:bookmarkStart w:id="46" w:name="page47"/>
    <w:bookmarkEnd w:id="46"/>
    <w:p>
      <w:pPr>
        <w:ind w:right="3539"/>
        <w:spacing w:after="0" w:line="258" w:lineRule="auto"/>
        <w:rPr>
          <w:sz w:val="20"/>
          <w:szCs w:val="20"/>
          <w:color w:val="auto"/>
        </w:rPr>
      </w:pPr>
      <w:r>
        <w:rPr>
          <w:rFonts w:ascii="Courier New" w:cs="Courier New" w:eastAsia="Courier New" w:hAnsi="Courier New"/>
          <w:sz w:val="14"/>
          <w:szCs w:val="14"/>
          <w:color w:val="auto"/>
        </w:rPr>
        <w:t>below, a global note may be transferred, in whole or in part, only to another nominee of DTC or to a successor of DTC or its nominee.</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Beneficial interests in a global note may be held directly through DTC if such holder is a participant in DTC, or indirectly through organizations that are participants in DTC (called "participants"). Transfers between participants will be effected in the ordinary way in accordance with DTC rules and will be settled in clearing house funds. The laws of some states require that certain persons take physical delivery of securities in definitive form. As a result, the ability to transfer beneficial interests in the global note to such persons may be limited.</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Holders who are not participants may beneficially own interests in a global note held by DTC only through participants, or certain banks, brokers, dealers, trust companies and other parties that clear through or maintain a custodial relationship with a participant, either directly or indirectly (called "indirect participants"). So long as Cede &amp; Co., as the nominee of DTC, is the registered owner of a global note, Cede &amp; Co. for all purposes will be considered the sole holder of such global note. Except as provided below, owners of beneficial interests in a global note will:</w:t>
      </w:r>
    </w:p>
    <w:p>
      <w:pPr>
        <w:spacing w:after="0" w:line="165" w:lineRule="exact"/>
        <w:rPr>
          <w:sz w:val="20"/>
          <w:szCs w:val="20"/>
          <w:color w:val="auto"/>
        </w:rPr>
      </w:pPr>
    </w:p>
    <w:p>
      <w:pPr>
        <w:ind w:left="1320" w:right="3799" w:hanging="530"/>
        <w:spacing w:after="0" w:line="258" w:lineRule="auto"/>
        <w:tabs>
          <w:tab w:leader="none" w:pos="13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receive physical delivery of certificates in definitive registered form; and</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be considered holders of the global note.</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We will pay interest on and the redemption price and the repurchase price of a global note to Cede &amp; Co., as the registered owner of the global note, by wire transfer of immediately available funds on each interest payment date or the redemption or repurchase date, as the case may be. Neither we, the trustee nor any paying agent will be responsible or liable:</w:t>
      </w:r>
    </w:p>
    <w:p>
      <w:pPr>
        <w:spacing w:after="0" w:line="162" w:lineRule="exact"/>
        <w:rPr>
          <w:sz w:val="20"/>
          <w:szCs w:val="20"/>
          <w:color w:val="auto"/>
        </w:rPr>
      </w:pPr>
    </w:p>
    <w:p>
      <w:pPr>
        <w:ind w:left="1320" w:right="3719" w:hanging="530"/>
        <w:spacing w:after="0" w:line="258" w:lineRule="auto"/>
        <w:tabs>
          <w:tab w:leader="none" w:pos="13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records relating to, or payments made on account of, beneficial ownership interests in a global note; or</w:t>
      </w:r>
    </w:p>
    <w:p>
      <w:pPr>
        <w:spacing w:after="0" w:line="159"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maintaining, supervising or reviewing any records relating to the beneficial ownership interests.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Neither we, the trustee, registrar, paying agent nor conversion agent will have any responsibility for the performance by DTC or its participants or indirect participants of their respective obligations under the rules and procedures governing their operations. 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the principal amount of the notes represented by the global note as to which the participant or participants has or have given such direction.</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DTC has advised us that it is:</w:t>
      </w:r>
    </w:p>
    <w:p>
      <w:pPr>
        <w:spacing w:after="0" w:line="175" w:lineRule="exact"/>
        <w:rPr>
          <w:sz w:val="20"/>
          <w:szCs w:val="20"/>
          <w:color w:val="auto"/>
        </w:rPr>
      </w:pPr>
    </w:p>
    <w:p>
      <w:pPr>
        <w:ind w:left="1320" w:right="3459" w:hanging="530"/>
        <w:spacing w:after="0" w:line="25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limited purpose trust company organized under the laws of the State of New York, and a member of the Federal Reserve System;</w:t>
      </w:r>
    </w:p>
    <w:p>
      <w:pPr>
        <w:spacing w:after="0" w:line="159"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"clearing corporation" within the meaning of the Uniform Commercial Code; and</w:t>
      </w:r>
    </w:p>
    <w:p>
      <w:pPr>
        <w:spacing w:after="0" w:line="159"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"clearing agency" registered pursuant to the provisions of Section 17A of the Exchange Act.</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DTC was created to hold securities for its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20" w:right="1440" w:bottom="1440" w:gutter="0" w:footer="0" w:header="0"/>
        </w:sectPr>
      </w:pPr>
    </w:p>
    <w:bookmarkStart w:id="47" w:name="page48"/>
    <w:bookmarkEnd w:id="47"/>
    <w:p>
      <w:pPr>
        <w:ind w:right="3459" w:firstLine="781"/>
        <w:spacing w:after="0" w:line="254" w:lineRule="auto"/>
        <w:rPr>
          <w:sz w:val="20"/>
          <w:szCs w:val="20"/>
          <w:color w:val="auto"/>
        </w:rPr>
      </w:pPr>
      <w:r>
        <w:rPr>
          <w:rFonts w:ascii="Courier New" w:cs="Courier New" w:eastAsia="Courier New" w:hAnsi="Courier New"/>
          <w:sz w:val="14"/>
          <w:szCs w:val="14"/>
          <w:color w:val="auto"/>
        </w:rPr>
        <w:t>DTC has agreed to the foregoing procedures to facilitate transfers of interests in a global note among participants. However, DTC is under no obligation to perform or continue to perform these procedures, and may discontinue these procedures at any time.</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issue the notes in definitive certificated form if DTC notifies us that it is unwilling or unable to continue as depositary or DTC ceases to be a clearing agency registered under the Exchange Act and a successor depositary is not appointed by us within 90 days. In addition, beneficial interests in a global note may be exchanged for definitive certificated notes upon request by or on behalf of DTC in accordance with customary procedures. We may determine at any time and in our sole discretion that notes shall no longer be represented by global notes, in which case we will issue certificates in definitive form in exchange for the global notes.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RIGHTS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entered into a registration rights agreement dated March 5, 2004 with the initial purchasers pursuant to which we have, at our own expense, for the benefit of the noteholders, filed with the SEC the shelf registration statement of which this prospectus is a part, covering resale of the notes and the ordinary shares issuable upon conversion of the notes. Our obligation to keep the shelf registration statement effective terminates upon the earlier of:</w:t>
      </w:r>
    </w:p>
    <w:p>
      <w:pPr>
        <w:spacing w:after="0" w:line="165" w:lineRule="exact"/>
        <w:rPr>
          <w:sz w:val="20"/>
          <w:szCs w:val="20"/>
          <w:color w:val="auto"/>
        </w:rPr>
      </w:pPr>
    </w:p>
    <w:p>
      <w:pPr>
        <w:ind w:left="1320" w:right="3639" w:hanging="530"/>
        <w:spacing w:after="0" w:line="254" w:lineRule="auto"/>
        <w:tabs>
          <w:tab w:leader="none" w:pos="13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time as all of the registrable securities have been sold pursuant to the shelf registration statement or sold to the public pursuant to Rule 144 under the Securities Act, or any other similar provision then in force (but not Rule 144A); or</w:t>
      </w:r>
    </w:p>
    <w:p>
      <w:pPr>
        <w:spacing w:after="0" w:line="163" w:lineRule="exact"/>
        <w:rPr>
          <w:rFonts w:ascii="Courier New" w:cs="Courier New" w:eastAsia="Courier New" w:hAnsi="Courier New"/>
          <w:sz w:val="14"/>
          <w:szCs w:val="14"/>
          <w:color w:val="auto"/>
        </w:rPr>
      </w:pPr>
    </w:p>
    <w:p>
      <w:pPr>
        <w:ind w:left="1320" w:right="3719" w:hanging="530"/>
        <w:spacing w:after="0" w:line="254" w:lineRule="auto"/>
        <w:tabs>
          <w:tab w:leader="none" w:pos="13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of the holding period applicable to such securities held by persons that are not affiliates of Amdocs under Rule 144(k) under the Securities Act, or any successor provision.</w:t>
      </w:r>
    </w:p>
    <w:p>
      <w:pPr>
        <w:spacing w:after="0" w:line="163"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When we use the term "registrable securities" in this section, we are referring to the notes and the ordinary shares issuable upon conversion of the notes until the earliest of:</w:t>
      </w:r>
    </w:p>
    <w:p>
      <w:pPr>
        <w:spacing w:after="0" w:line="162" w:lineRule="exact"/>
        <w:rPr>
          <w:sz w:val="20"/>
          <w:szCs w:val="20"/>
          <w:color w:val="auto"/>
        </w:rPr>
      </w:pPr>
    </w:p>
    <w:p>
      <w:pPr>
        <w:ind w:left="1320" w:right="3719" w:hanging="530"/>
        <w:spacing w:after="0" w:line="255" w:lineRule="auto"/>
        <w:tabs>
          <w:tab w:leader="none" w:pos="13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registration under the Securities Act and the resale of the securities in accordance with the registration statement;</w:t>
      </w:r>
    </w:p>
    <w:p>
      <w:pPr>
        <w:spacing w:after="0" w:line="162" w:lineRule="exact"/>
        <w:rPr>
          <w:rFonts w:ascii="Courier New" w:cs="Courier New" w:eastAsia="Courier New" w:hAnsi="Courier New"/>
          <w:sz w:val="14"/>
          <w:szCs w:val="14"/>
          <w:color w:val="auto"/>
        </w:rPr>
      </w:pPr>
    </w:p>
    <w:p>
      <w:pPr>
        <w:ind w:left="1320" w:right="3639" w:hanging="530"/>
        <w:spacing w:after="0" w:line="255" w:lineRule="auto"/>
        <w:tabs>
          <w:tab w:leader="none" w:pos="13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of the holding period with respect to the registrable securities under Rule 144(k) under the Securities Act; and</w:t>
      </w:r>
    </w:p>
    <w:p>
      <w:pPr>
        <w:spacing w:after="0" w:line="162"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the registrable securities to the public pursuant to Rule 144 under the Securities Act.</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may, upon written notice to all the holders of registrable securities, postpone having the shelf registration statement declared effective for a reasonable period not to exceed 90 days if we in good faith reasonably believe that we possess material non-public information, the disclosure of which would have a material adverse effect on us and our subsidiaries taken as a whole.</w:t>
      </w:r>
    </w:p>
    <w:p>
      <w:pPr>
        <w:spacing w:after="0" w:line="329"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We may suspend the use of the prospectus under certain circumstances relating to pending corporate developments, public filings with the SEC and similar events. Any suspension period shall not exceed:</w:t>
      </w:r>
    </w:p>
    <w:p>
      <w:pPr>
        <w:spacing w:after="0" w:line="162" w:lineRule="exact"/>
        <w:rPr>
          <w:sz w:val="20"/>
          <w:szCs w:val="20"/>
          <w:color w:val="auto"/>
        </w:rPr>
      </w:pPr>
    </w:p>
    <w:p>
      <w:pPr>
        <w:ind w:left="1320" w:hanging="530"/>
        <w:spacing w:after="0"/>
        <w:tabs>
          <w:tab w:leader="none" w:pos="13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 days in any three-month period; or</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aggregate of 90 days for all periods in any 12-month period.</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Notwithstanding the foregoing, we will be permitted to suspend the use of the prospectus for up to 60 days in any three-month period under certain circumstances, relating to possible acquisitions, financings or other similar transactions.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will pay predetermined liquidated damages on the interest payment dates for the notes if the shelf registration statement is not timely filed or declared effective or if the prospectus included in such registration statement is unavailable for periods in excess of those permitted above: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20" w:right="1440" w:bottom="1440" w:gutter="0" w:footer="0" w:header="0"/>
        </w:sectPr>
      </w:pPr>
    </w:p>
    <w:bookmarkStart w:id="48" w:name="page49"/>
    <w:bookmarkEnd w:id="48"/>
    <w:p>
      <w:pPr>
        <w:ind w:left="1320" w:right="3459" w:hanging="530"/>
        <w:spacing w:after="0" w:line="253" w:lineRule="auto"/>
        <w:tabs>
          <w:tab w:leader="none" w:pos="13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notes at an annual rate equal to 0.25% of the aggregate principal amount of the notes outstanding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 and</w:t>
      </w:r>
    </w:p>
    <w:p>
      <w:pPr>
        <w:spacing w:after="0" w:line="164"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ordinary shares that have been issued upon conversion of the notes, at an annual rate equal to 0.25% of an amount equal to $1,000 divided by the conversion rate during such periods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no event will liquidated damages accrue at an annual rate exceeding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0.50%.</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a result of the shelf registration statement not being declared effective within the time periods described above, we became obligated to pay to the holders of the notes aggregate liquidated damages in the amount of $68,750. We paid $43,750 of this amount on September 15, 2004 in conjunction with our interest payment to the record holders of the notes as of the close of business on September 1, 2004, and we will pay the balance in connection with our March 15, 2005 interest payment to the record holders of the notes as of the close of business on March 1, 2005.</w:t>
      </w:r>
    </w:p>
    <w:p>
      <w:pPr>
        <w:spacing w:after="0" w:line="332"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A holder who elects to sell registrable securities pursuant to the shelf registration statement will be required to:</w:t>
      </w:r>
    </w:p>
    <w:p>
      <w:pPr>
        <w:spacing w:after="0" w:line="160" w:lineRule="exact"/>
        <w:rPr>
          <w:sz w:val="20"/>
          <w:szCs w:val="20"/>
          <w:color w:val="auto"/>
        </w:rPr>
      </w:pPr>
    </w:p>
    <w:p>
      <w:pPr>
        <w:ind w:left="1320" w:hanging="530"/>
        <w:spacing w:after="0"/>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named as a selling securityholder in the related prospectus;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a prospectus to purchasers; and</w:t>
      </w:r>
    </w:p>
    <w:p>
      <w:pPr>
        <w:spacing w:after="0" w:line="175" w:lineRule="exact"/>
        <w:rPr>
          <w:rFonts w:ascii="Courier New" w:cs="Courier New" w:eastAsia="Courier New" w:hAnsi="Courier New"/>
          <w:sz w:val="14"/>
          <w:szCs w:val="14"/>
          <w:color w:val="auto"/>
        </w:rPr>
      </w:pPr>
    </w:p>
    <w:p>
      <w:pPr>
        <w:ind w:left="1320" w:right="4159" w:hanging="530"/>
        <w:spacing w:after="0" w:line="258" w:lineRule="auto"/>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subject to the provisions of the registration rights agreement, including indemnification provisions.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Under the registration rights agreement we will:</w:t>
      </w:r>
    </w:p>
    <w:p>
      <w:pPr>
        <w:spacing w:after="0" w:line="175" w:lineRule="exact"/>
        <w:rPr>
          <w:sz w:val="20"/>
          <w:szCs w:val="20"/>
          <w:color w:val="auto"/>
        </w:rPr>
      </w:pPr>
    </w:p>
    <w:p>
      <w:pPr>
        <w:ind w:left="1320" w:right="3279" w:hanging="530"/>
        <w:spacing w:after="0" w:line="258" w:lineRule="auto"/>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all customary expenses with respect to the shelf registration statement;</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each registered holder copies of the prospectus;</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notify holders when the shelf registration statement has become effective; and</w:t>
      </w:r>
    </w:p>
    <w:p>
      <w:pPr>
        <w:spacing w:after="0" w:line="159" w:lineRule="exact"/>
        <w:rPr>
          <w:rFonts w:ascii="Courier New" w:cs="Courier New" w:eastAsia="Courier New" w:hAnsi="Courier New"/>
          <w:sz w:val="14"/>
          <w:szCs w:val="14"/>
          <w:color w:val="auto"/>
        </w:rPr>
      </w:pPr>
    </w:p>
    <w:p>
      <w:pPr>
        <w:ind w:left="1320" w:right="3379" w:hanging="530"/>
        <w:spacing w:after="0" w:line="254" w:lineRule="auto"/>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other reasonable actions as are required to permit unrestricted resales of the registrable securities in accordance with the terms and conditions of the registration rights agreement.</w:t>
      </w:r>
    </w:p>
    <w:p>
      <w:pPr>
        <w:spacing w:after="0" w:line="163" w:lineRule="exact"/>
        <w:rPr>
          <w:sz w:val="20"/>
          <w:szCs w:val="20"/>
          <w:color w:val="auto"/>
        </w:rPr>
      </w:pPr>
    </w:p>
    <w:p>
      <w:pPr>
        <w:jc w:val="both"/>
        <w:ind w:right="3379" w:firstLine="781"/>
        <w:spacing w:after="0" w:line="252" w:lineRule="auto"/>
        <w:rPr>
          <w:sz w:val="20"/>
          <w:szCs w:val="20"/>
          <w:color w:val="auto"/>
        </w:rPr>
      </w:pPr>
      <w:r>
        <w:rPr>
          <w:rFonts w:ascii="Courier New" w:cs="Courier New" w:eastAsia="Courier New" w:hAnsi="Courier New"/>
          <w:sz w:val="14"/>
          <w:szCs w:val="14"/>
          <w:color w:val="auto"/>
        </w:rPr>
        <w:t>The plan of distribution of the shelf registration statement, of which this prospectus is a part, permits resales of registrable securities by selling securityholders through brokers and dealers.</w:t>
      </w:r>
    </w:p>
    <w:p>
      <w:pPr>
        <w:spacing w:after="0" w:line="1"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We agreed in the registration rights agreement to give notice to all holders of the filing and effectiveness of the shelf registration statement, of which this prospectus is a part.</w:t>
      </w:r>
    </w:p>
    <w:p>
      <w:pPr>
        <w:spacing w:after="0" w:line="1"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This summary in this prospectus of provisions of the registration rights agreement is not complete. This summary is subject to, and is qualified in its entirety by reference to, all the provisions of the registration rights agreement, a copy of which has previously been filed with the SEC.</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RULE 144A INFORMATION REQUEST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furnish to the holders or beneficial holders of the notes or the underlying ordinary shares and prospective purchasers, upon their request, the information required under Rule 144A(d)(4) under the Securities Act until such time as such securities are no longer "restricted securities" within the meaning of Rule 144 under the Securities Act, assuming these securities have not been owned by an affiliate of ours.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CONCERNING THE TRUSTEE</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have appointed The Bank of New York, the trustee under the indenture, as paying agent, conversion agent, note registrar and custodian for the notes. The trustee or its affiliates may provide banking and other services to us in the ordinary course of their business.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20" w:right="1440" w:bottom="1440" w:gutter="0" w:footer="0" w:header="0"/>
        </w:sectPr>
      </w:pPr>
    </w:p>
    <w:bookmarkStart w:id="49" w:name="page50"/>
    <w:bookmarkEnd w:id="49"/>
    <w:p>
      <w:pPr>
        <w:ind w:right="3379" w:firstLine="781"/>
        <w:spacing w:after="0" w:line="253" w:lineRule="auto"/>
        <w:rPr>
          <w:sz w:val="20"/>
          <w:szCs w:val="20"/>
          <w:color w:val="auto"/>
        </w:rPr>
      </w:pPr>
      <w:r>
        <w:rPr>
          <w:rFonts w:ascii="Courier New" w:cs="Courier New" w:eastAsia="Courier New" w:hAnsi="Courier New"/>
          <w:sz w:val="14"/>
          <w:szCs w:val="14"/>
          <w:color w:val="auto"/>
        </w:rPr>
        <w:t>The indenture contains certain limitations on the rights of the trustee, if it or any of its affiliates is then our creditor, to obtain payment of claims in certain cases or to realize on certain property received on any claim as security or otherwise. The trustee and its affiliates are permitted to engage in other transactions with us. However, if the trustee or any affiliate continues to have any conflicting interest and a default occurs with respect to the notes, the trustee must eliminate such conflict or resign.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GOVERNING LAW</w:t>
      </w:r>
    </w:p>
    <w:p>
      <w:pPr>
        <w:spacing w:after="0" w:line="175" w:lineRule="exact"/>
        <w:rPr>
          <w:sz w:val="20"/>
          <w:szCs w:val="20"/>
          <w:color w:val="auto"/>
        </w:rPr>
      </w:pPr>
    </w:p>
    <w:p>
      <w:pPr>
        <w:ind w:right="4159" w:firstLine="781"/>
        <w:spacing w:after="0" w:line="258" w:lineRule="auto"/>
        <w:rPr>
          <w:sz w:val="20"/>
          <w:szCs w:val="20"/>
          <w:color w:val="auto"/>
        </w:rPr>
      </w:pPr>
      <w:r>
        <w:rPr>
          <w:rFonts w:ascii="Courier New" w:cs="Courier New" w:eastAsia="Courier New" w:hAnsi="Courier New"/>
          <w:sz w:val="14"/>
          <w:szCs w:val="14"/>
          <w:color w:val="auto"/>
        </w:rPr>
        <w:t>The notes and the indenture are governed by, and construed in accordance with, the laws of the State of New York.</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20" w:right="1440" w:bottom="1440" w:gutter="0" w:footer="0" w:header="0"/>
        </w:sectPr>
      </w:pPr>
    </w:p>
    <w:bookmarkStart w:id="50" w:name="page51"/>
    <w:bookmarkEnd w:id="50"/>
    <w:p>
      <w:pPr>
        <w:ind w:left="2260"/>
        <w:spacing w:after="0"/>
        <w:rPr>
          <w:sz w:val="20"/>
          <w:szCs w:val="20"/>
          <w:color w:val="auto"/>
        </w:rPr>
      </w:pPr>
      <w:r>
        <w:rPr>
          <w:rFonts w:ascii="Courier New" w:cs="Courier New" w:eastAsia="Courier New" w:hAnsi="Courier New"/>
          <w:sz w:val="14"/>
          <w:szCs w:val="14"/>
          <w:color w:val="auto"/>
        </w:rPr>
        <w:t>DESCRIPTION OF SHARE CAPITAL</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following description summarizes the most important terms of our share capital. Because it is only a summary, it does not contain all of the information that may be important to you. For a complete description, you should refer to our Articles of Association.</w:t>
      </w:r>
    </w:p>
    <w:p>
      <w:pPr>
        <w:spacing w:after="0" w:line="330"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share capital of Amdocs is (pound)5,750,000 divided into (i) 25,000,000 preferred shares with a par value of (pound)0.01 per share and (ii) 550,000,000 ordinary shares with a par value of (pound)0.01 per share, consisting of 500,000,000 voting ordinary shares and 50,000,000 non-voting ordinary shares. As of September 30, 2004, 201,334,057 ordinary shares were outstanding (net of treasury shares) and no non-voting ordinary shares or preferred shares were outstanding. The rights, preferences and restrictions attaching to each class of the shares are as follows:</w:t>
      </w:r>
    </w:p>
    <w:p>
      <w:pPr>
        <w:spacing w:after="0" w:line="33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PREFERRED SHARES</w:t>
      </w:r>
    </w:p>
    <w:p>
      <w:pPr>
        <w:spacing w:after="0" w:line="175" w:lineRule="exact"/>
        <w:rPr>
          <w:sz w:val="20"/>
          <w:szCs w:val="20"/>
          <w:color w:val="auto"/>
        </w:rPr>
      </w:pPr>
    </w:p>
    <w:p>
      <w:pPr>
        <w:ind w:left="1320" w:right="3459" w:hanging="530"/>
        <w:spacing w:after="0" w:line="255"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the preferred shares may be issued from time to time in one or more series of any number of shares up to the amount authorized.</w:t>
      </w:r>
    </w:p>
    <w:p>
      <w:pPr>
        <w:spacing w:after="0" w:line="162"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65" w:lineRule="exact"/>
        <w:rPr>
          <w:rFonts w:ascii="Courier New" w:cs="Courier New" w:eastAsia="Courier New" w:hAnsi="Courier New"/>
          <w:sz w:val="14"/>
          <w:szCs w:val="14"/>
          <w:color w:val="auto"/>
        </w:rPr>
      </w:pPr>
    </w:p>
    <w:p>
      <w:pPr>
        <w:ind w:left="1320" w:right="3379" w:hanging="530"/>
        <w:spacing w:after="0" w:line="254"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163"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 in the event of any liquidation, dissolution or winding-up, the holders of our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our preferred shares.</w:t>
      </w:r>
    </w:p>
    <w:p>
      <w:pPr>
        <w:spacing w:after="0" w:line="163"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ORDINARY SHARES AND NON-VOTING ORDINARY SHARES</w:t>
      </w:r>
    </w:p>
    <w:p>
      <w:pPr>
        <w:spacing w:after="0" w:line="17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Except as otherwise provided by the Memorandum of Association and Articles of Association, the ordinary shares and non-voting ordinary shares are identical and entitle holders thereof to the same rights and privileges.</w:t>
      </w:r>
    </w:p>
    <w:p>
      <w:pPr>
        <w:spacing w:after="0" w:line="162" w:lineRule="exact"/>
        <w:rPr>
          <w:sz w:val="20"/>
          <w:szCs w:val="20"/>
          <w:color w:val="auto"/>
        </w:rPr>
      </w:pPr>
    </w:p>
    <w:p>
      <w:pPr>
        <w:ind w:left="1320" w:right="3279" w:hanging="530"/>
        <w:spacing w:after="0" w:line="253" w:lineRule="auto"/>
        <w:tabs>
          <w:tab w:leader="none" w:pos="13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 when and as dividends are declared on our shares, the holders of voting ordinary shares and non-voting ordinary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164" w:lineRule="exact"/>
        <w:rPr>
          <w:rFonts w:ascii="Courier New" w:cs="Courier New" w:eastAsia="Courier New" w:hAnsi="Courier New"/>
          <w:sz w:val="14"/>
          <w:szCs w:val="14"/>
          <w:color w:val="auto"/>
        </w:rPr>
      </w:pPr>
    </w:p>
    <w:p>
      <w:pPr>
        <w:ind w:left="1320" w:right="3539" w:hanging="530"/>
        <w:spacing w:after="0" w:line="253" w:lineRule="auto"/>
        <w:tabs>
          <w:tab w:leader="none" w:pos="13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Non-Voting Ordinary Shares into Voting Ordinary Shares -- upon the transfer of non-voting ordinary shares from the original holder thereof to any third party not affiliated with such original holder, non-voting ordinary shares are redesignated in our books as voting ordinary shares and automatically convert into the same number of voting ordinary shares.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20" w:right="1440" w:bottom="1440" w:gutter="0" w:footer="0" w:header="0"/>
        </w:sectPr>
      </w:pPr>
    </w:p>
    <w:bookmarkStart w:id="51" w:name="page52"/>
    <w:bookmarkEnd w:id="51"/>
    <w:p>
      <w:pPr>
        <w:ind w:left="530" w:right="3379" w:hanging="530"/>
        <w:spacing w:after="0" w:line="254" w:lineRule="auto"/>
        <w:tabs>
          <w:tab w:leader="none" w:pos="53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 upon any liquidation, dissolution or winding-up, any of our assets remaining after creditors and the holders of any preferred shares have been paid in full shall be distributed to the holders of voting ordinary shares and non-voting ordinary shares equally share for share.</w:t>
      </w:r>
    </w:p>
    <w:p>
      <w:pPr>
        <w:spacing w:after="0" w:line="162" w:lineRule="exact"/>
        <w:rPr>
          <w:rFonts w:ascii="Courier New" w:cs="Courier New" w:eastAsia="Courier New" w:hAnsi="Courier New"/>
          <w:sz w:val="14"/>
          <w:szCs w:val="14"/>
          <w:color w:val="auto"/>
        </w:rPr>
      </w:pPr>
    </w:p>
    <w:p>
      <w:pPr>
        <w:ind w:left="530" w:right="3279" w:hanging="530"/>
        <w:spacing w:after="0" w:line="254" w:lineRule="auto"/>
        <w:tabs>
          <w:tab w:leader="none" w:pos="53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 the holders of voting ordinary shares are entitled to vote on all matters to be voted on by the members, and the holders of non-voting ordinary shares are not entitled to any voting rights.</w:t>
      </w:r>
    </w:p>
    <w:p>
      <w:pPr>
        <w:spacing w:after="0" w:line="163" w:lineRule="exact"/>
        <w:rPr>
          <w:rFonts w:ascii="Courier New" w:cs="Courier New" w:eastAsia="Courier New" w:hAnsi="Courier New"/>
          <w:sz w:val="14"/>
          <w:szCs w:val="14"/>
          <w:color w:val="auto"/>
        </w:rPr>
      </w:pPr>
    </w:p>
    <w:p>
      <w:pPr>
        <w:ind w:left="530" w:right="3279" w:hanging="530"/>
        <w:spacing w:after="0" w:line="254" w:lineRule="auto"/>
        <w:tabs>
          <w:tab w:leader="none" w:pos="53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Preferences -- the voting ordinary shares and non-voting ordinary shares are subject to all the powers, rights, privileges, preferences and priorities of the preferred shares as are set out in the Articles of Association.</w:t>
      </w:r>
    </w:p>
    <w:p>
      <w:pPr>
        <w:spacing w:after="0" w:line="163"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9449"/>
          </w:cols>
          <w:pgMar w:left="1010" w:top="620" w:right="1440" w:bottom="1440" w:gutter="0" w:footer="0" w:header="0"/>
        </w:sectPr>
      </w:pPr>
    </w:p>
    <w:bookmarkStart w:id="52" w:name="page53"/>
    <w:bookmarkEnd w:id="52"/>
    <w:p>
      <w:pPr>
        <w:ind w:left="1140"/>
        <w:spacing w:after="0"/>
        <w:rPr>
          <w:sz w:val="20"/>
          <w:szCs w:val="20"/>
          <w:color w:val="auto"/>
        </w:rPr>
      </w:pPr>
      <w:r>
        <w:rPr>
          <w:rFonts w:ascii="Courier New" w:cs="Courier New" w:eastAsia="Courier New" w:hAnsi="Courier New"/>
          <w:sz w:val="14"/>
          <w:szCs w:val="14"/>
          <w:color w:val="auto"/>
        </w:rPr>
        <w:t>COMPARISON OF UNITED STATES AND GUERNSEY CORPORATE LAW</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following discussion is a summary of the material differences between United States and Guernsey corporate law relevant to an investment in the notes and our ordinary shares. The following discussion is based upon laws and relevant interpretations thereof in effect as of the date of this prospectus, all of which are subject to change.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Under Guernsey law, directors have comparable fiduciary duties. Many United States jurisdictions have enacted various statutory provisions that permit the monetary liability of directors to be eliminated or limited. Guernsey has not adopted provisions eliminating or limiting the liabilities of directors, although Guernsey law protecting the interests of shareholders may not be as protective in all circumstances as the law protecting shareholders in United States jurisdictions. Under our Articles of Association, we are obligated to indemnify any person who is made or threatened to be made a party to a legal or administrative proceeding by virtue of being a director, officer or agent of Amdocs, provided that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20" w:right="1440" w:bottom="1440" w:gutter="0" w:footer="0" w:header="0"/>
        </w:sectPr>
      </w:pPr>
    </w:p>
    <w:bookmarkStart w:id="53" w:name="page54"/>
    <w:bookmarkEnd w:id="53"/>
    <w:p>
      <w:pPr>
        <w:ind w:right="3279"/>
        <w:spacing w:after="0" w:line="258" w:lineRule="auto"/>
        <w:rPr>
          <w:sz w:val="20"/>
          <w:szCs w:val="20"/>
          <w:color w:val="auto"/>
        </w:rPr>
      </w:pPr>
      <w:r>
        <w:rPr>
          <w:rFonts w:ascii="Courier New" w:cs="Courier New" w:eastAsia="Courier New" w:hAnsi="Courier New"/>
          <w:sz w:val="14"/>
          <w:szCs w:val="14"/>
          <w:color w:val="auto"/>
        </w:rPr>
        <w:t>we have no obligation to indemnify any such persons for any claims they incur or sustain by or through their own willful act or default.</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20" w:right="1440" w:bottom="1440" w:gutter="0" w:footer="0" w:header="0"/>
        </w:sectPr>
      </w:pPr>
    </w:p>
    <w:bookmarkStart w:id="54" w:name="page55"/>
    <w:bookmarkEnd w:id="54"/>
    <w:p>
      <w:pPr>
        <w:ind w:left="1140"/>
        <w:spacing w:after="0"/>
        <w:rPr>
          <w:sz w:val="20"/>
          <w:szCs w:val="20"/>
          <w:color w:val="auto"/>
        </w:rPr>
      </w:pPr>
      <w:r>
        <w:rPr>
          <w:rFonts w:ascii="Courier New" w:cs="Courier New" w:eastAsia="Courier New" w:hAnsi="Courier New"/>
          <w:sz w:val="14"/>
          <w:szCs w:val="14"/>
          <w:color w:val="auto"/>
        </w:rPr>
        <w:t>CERTAIN UNITED STATES FEDERAL INCOME TAX CONSIDERATIONS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following summary describes the anticipated material United States federal income tax consequences of the purchase, ownership and disposition of the notes and ordinary shares into which the notes may be converted, as of the date hereof. The information provided below is based on the Internal Revenue Code of 1986, as amended (the "Code"), and regulations, rulings and judicial decisions all as in effect as of the date hereof, all of which may be repealed, revoked or modified with possible retroactive effect. The summary applies only to holders that purchase notes in the initial offering at their issue price and hold the notes and ordinary shares into which the notes may be converted as capital assets for tax purposes. The summary does not address tax considerations that may be relevant to particular investors because of their specific circumstances, or because they are subject to special rules. For example, this summary does not address tax considerations applicable to investors to whom special tax rules may apply, such as:</w:t>
      </w:r>
    </w:p>
    <w:p>
      <w:pPr>
        <w:spacing w:after="0" w:line="163" w:lineRule="exact"/>
        <w:rPr>
          <w:sz w:val="20"/>
          <w:szCs w:val="20"/>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banks or other financial institutions;</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entities treated as partnerships or other flow-through entities for United States federal income tax purposes;</w:t>
      </w:r>
    </w:p>
    <w:p>
      <w:pPr>
        <w:spacing w:after="0" w:line="159"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 Holders (as defined below) whose functional currency is other than the United States dollar;</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tax-exempt entities;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companies;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regulated investment companies;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dealers in securities or currencies; or</w:t>
      </w:r>
    </w:p>
    <w:p>
      <w:pPr>
        <w:spacing w:after="0" w:line="175"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persons that will hold notes or the ordinary shares into which the notes may be converted as a hedge against currency risk or as part of a straddle, synthetic security, conversion transaction or other integrated investment comprised of the notes or the ordinary shares into which the notes may be converted (as the case may be) and one or more other investments.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Finally, the summary does not describe the effect of the federal gift or estate tax laws or the effect of any applicable foreign, state or local laws. This discussion is for general information only and is not intended as legal or tax advice to any particular investor. This summary does not provide a complete analysis or listing of all potential tax considerations. Prospective holders should consult their tax advisors as to the particular tax consequences to them of purchasing, holding or disposing of the notes and the ordinary shares into which the notes may be converted.</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For purposes of this discussion, the term "U.S. Holder" means a beneficial owner of a note or our ordinary shares acquired upon conversion of a note that is, for United States federal income tax purposes, (i) a citizen or resident of the United States, (ii) a corporation or other entity subject to tax as a corporation for United States federal income tax purposes that is created or organized in or under the laws of the United States or any political subdivision thereof, (iii) an estate the income of which is subject to United States federal income taxation regardless of source, or (iv) a trust if a court within the United States is able to exercise primary supervision over its administration and one or more United States persons have authority to control all of its substantial decisions. A "Non-U.S. Holder" is any beneficial owner of a note or our ordinary shares acquired upon conversion of a note that is not a U.S. Holder. If a partnership or other flow-through entity is a beneficial owner of a note or ordinary shares, the tax treatment of the partner will depend upon the status of the partner or other owner and the activities of the partnership or other entity.</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20"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4"/>
          <w:szCs w:val="14"/>
          <w:color w:val="auto"/>
        </w:rPr>
        <w:t>TAX CONSEQUENCES TO U.S. HOLDERS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INTEREST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U.S. Holders will be required to recognize as ordinary income any interest paid or accrued on the notes at the time that such payments are accrued or received, in accordance with their regular method of accounting. In general, if the terms of a debt instrument entitle a holder to receive payments, other than fixed periodic interest and certain de minimis payments, that exceed the issue price of the instrument, the holder may be required to recognize the additional amounts as "original issue discount" over the term of the instrument. We believe that the notes will not be issued with original issue discount for U.S. federal income tax purposes.</w:t>
      </w:r>
    </w:p>
    <w:p>
      <w:pPr>
        <w:spacing w:after="0" w:line="164"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We may make payments of liquidated damages or certain other contingent payments to holders of the notes:</w:t>
      </w:r>
    </w:p>
    <w:p>
      <w:pPr>
        <w:spacing w:after="0" w:line="160" w:lineRule="exact"/>
        <w:rPr>
          <w:sz w:val="20"/>
          <w:szCs w:val="20"/>
          <w:color w:val="auto"/>
        </w:rPr>
      </w:pPr>
    </w:p>
    <w:p>
      <w:pPr>
        <w:ind w:left="1320" w:right="3539" w:hanging="530"/>
        <w:spacing w:after="0" w:line="254" w:lineRule="auto"/>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we do not file, or cause to be declared effective, or keep effective, a registration statement, or if the prospectus included in such registration statement is unavailable for specified periods, as described under "Description of Notes -- Registration Rights";</w:t>
      </w:r>
    </w:p>
    <w:p>
      <w:pPr>
        <w:spacing w:after="0" w:line="162" w:lineRule="exact"/>
        <w:rPr>
          <w:rFonts w:ascii="Courier New" w:cs="Courier New" w:eastAsia="Courier New" w:hAnsi="Courier New"/>
          <w:sz w:val="14"/>
          <w:szCs w:val="14"/>
          <w:color w:val="auto"/>
        </w:rPr>
      </w:pPr>
    </w:p>
    <w:p>
      <w:pPr>
        <w:jc w:val="both"/>
        <w:ind w:left="1320" w:right="3459" w:hanging="530"/>
        <w:spacing w:after="0" w:line="255" w:lineRule="auto"/>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Guernsey imposes an obligation to withhold or deduct certain amounts from the payments in respect of the notes, as described under "Description of Notes -- Additional Tax Amounts"; and</w:t>
      </w:r>
    </w:p>
    <w:p>
      <w:pPr>
        <w:spacing w:after="0" w:line="162" w:lineRule="exact"/>
        <w:rPr>
          <w:rFonts w:ascii="Courier New" w:cs="Courier New" w:eastAsia="Courier New" w:hAnsi="Courier New"/>
          <w:sz w:val="14"/>
          <w:szCs w:val="14"/>
          <w:color w:val="auto"/>
        </w:rPr>
      </w:pPr>
    </w:p>
    <w:p>
      <w:pPr>
        <w:jc w:val="both"/>
        <w:ind w:left="1320" w:right="3279" w:hanging="530"/>
        <w:spacing w:after="0" w:line="255" w:lineRule="auto"/>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we choose to pay the repurchase price of the notes in ordinary shares or a combination of cash and ordinary shares, as described under "Description of Notes--Repurchase at Option of the Holder".</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believe that there is only a remote possibility that we will make any of these payments, and therefore we do not intend to treat the notes as subject to the special rules governing certain "contingent payment" debt instruments (which, if applicable, would affect the timing, amount and character of income with respect to a note). Our determination in this regard, while not binding on the U.S. Internal Revenue Service, or the IRS, is binding on holders unless they disclose their contrary position to the IRS. If, contrary to expectations, we make any of the payments described above, U.S. Holders may be required to recognize additional interest income.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OF NOTES INTO ORDINARY SHARES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 U.S. Holder will not recognize gain or loss upon conversion of the notes solely into our ordinary shares, except with respect to cash received in lieu of a fractional share. The U.S. Holder's basis in the ordinary shares received on conversion will be the same as the U.S. Holder's adjusted tax basis in the notes at the time of conversion (reduced by any basis allocable to any fractional share interest). The holding period for the ordinary shares received on conversion will generally include the holding period of the notes that were converted.</w:t>
      </w:r>
    </w:p>
    <w:p>
      <w:pPr>
        <w:spacing w:after="0" w:line="16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Cash received in lieu of a fractional share upon conversion will generally be treated as a payment in exchange for such fractional share. Accordingly, the receipt of cash in lieu of a fractional share will generally result in capital gain or loss (measured by the difference between the cash received for the fractional share and the holder's adjusted tax basis in the fractional share).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ADJUSTMENT TO CONVERSION RATE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conversion rate of the notes will be adjusted if we distribute cash with respect to shares of our ordinary shares and in certain other circumstances. See "Description of Notes - Conversion of Notes." Under section 305(c) of the Code and the applicable Treasury regulations, an increase in the conversion rate as a result of a taxable distribution to our ordinary shareholders will generally result in a deemed distribution to you. Other adjustments in the conversion rate (or failures to make such adjustments) that have the effect of increasing your proportionate interest in our assets or earnings may have the same result. Any deemed distribution to you will be subject to tax as a dividend to the extent of</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20" w:right="1440" w:bottom="1440" w:gutter="0" w:footer="0" w:header="0"/>
        </w:sectPr>
      </w:pPr>
    </w:p>
    <w:bookmarkStart w:id="56" w:name="page57"/>
    <w:bookmarkEnd w:id="56"/>
    <w:p>
      <w:pPr>
        <w:ind w:right="3279"/>
        <w:spacing w:after="0" w:line="253" w:lineRule="auto"/>
        <w:rPr>
          <w:sz w:val="20"/>
          <w:szCs w:val="20"/>
          <w:color w:val="auto"/>
        </w:rPr>
      </w:pPr>
      <w:r>
        <w:rPr>
          <w:rFonts w:ascii="Courier New" w:cs="Courier New" w:eastAsia="Courier New" w:hAnsi="Courier New"/>
          <w:sz w:val="14"/>
          <w:szCs w:val="14"/>
          <w:color w:val="auto"/>
        </w:rPr>
        <w:t>our current or accumulated earnings and profits. In such a case, U.S. Holders will recognize dividend income as a result of an event pursuant to which they receive no cash or other property that could be used to pay the related tax. See "--Dividends" below. Such deemed dividend income may not qualify for preferential U.S. income tax rates generally afforded to dividend income under recently enacted legislation. Holders of notes are advised to consult with their tax advisors with respect to the potential tax consequences of such constructive distributions.</w:t>
      </w:r>
    </w:p>
    <w:p>
      <w:pPr>
        <w:spacing w:after="0" w:line="33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 EXCHANGE, REDEMPTION OR OTHER TAXABLE DISPOSITION OF NOTES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 U.S. Holder will generally recognize capital gain or loss upon the sale, exchange, redemption or other taxable disposition of the notes in an amount equal to the difference between (i) the amount of cash proceeds and the fair market value of any property received (except to the extent such amount is attributable to accrued interest income not previously included in income, which is subject to tax as ordinary income) and (ii) such U.S. Holder's adjusted tax basis in the note. A U.S. Holder's adjusted tax basis in a note will generally equal the cost of the note to such holder. Such capital gain or loss will be long-term capital gain or loss if the notes were held for more than one year. The deductibility of capital losses is subject to certain limitations. If we repurchase the notes in exchange for our ordinary shares in certain circumstances at the option of the holder, such a repurchase generally will be treated in the same manner as a conversion to the extent of the portion of the notes exchanged for our ordinary shares. See "--Conversion of Notes into Ordinary Shares."</w:t>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DIVIDENDS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Dividends paid on our ordinary shares will generally be includable in the income of a U.S. Holder as ordinary income to the extent of our current or accumulated earnings and profits, with any excess treated first as a return of capital to the extent of the U.S. Holder's basis in the ordinary shares, which will not be subject to tax, and thereafter as capital gain. Pursuant to recently enacted legislation, dividends on our ordinary shares paid to certain U.S. Holders (including individuals) may qualify for preferential U.S. federal income tax rates (a maximum rate of 15%) if we constitute a "qualified foreign corporation" and certain other conditions are satisfied. We believe that we constitute a "qualified foreign corporation."</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 EXCHANGE OR OTHER TAXABLE DISPOSITION OF ORDINARY SHARES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Upon the sale, exchange, or other taxable disposition of our ordinary shares, a U.S. Holder will generally recognize capital gain or loss equal to the difference between (i) the amount of cash and the fair market value of any property received upon the sale or exchange and (ii) such holder's adjusted tax basis in the ordinary shares. Such capital gain or loss will be long-term capital gain or loss if the U.S. Holder's holding period of the ordinary shares is more than one year at the time of the sale or exchange. The deductibility of capital losses is subject to certain limitations.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PASSIVE FOREIGN INVESTMENT COMPANY CONSIDERATIONS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during any taxable year, 75% or more of our gross income consists of certain types of passive income, or the average value during a taxable year of passive assets (generally assets that generate passive income) is 50% more of the average value of all of our assets, we will be treated as a "passive foreign investment company" under U.S. federal income tax law for such year and succeeding years.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20" w:right="1440" w:bottom="1440" w:gutter="0" w:footer="0" w:header="0"/>
        </w:sectPr>
      </w:pPr>
    </w:p>
    <w:bookmarkStart w:id="57" w:name="page58"/>
    <w:bookmarkEnd w:id="57"/>
    <w:p>
      <w:pPr>
        <w:ind w:right="3279"/>
        <w:spacing w:after="0" w:line="254" w:lineRule="auto"/>
        <w:rPr>
          <w:sz w:val="20"/>
          <w:szCs w:val="20"/>
          <w:color w:val="auto"/>
        </w:rPr>
      </w:pPr>
      <w:r>
        <w:rPr>
          <w:rFonts w:ascii="Courier New" w:cs="Courier New" w:eastAsia="Courier New" w:hAnsi="Courier New"/>
          <w:sz w:val="14"/>
          <w:szCs w:val="14"/>
          <w:color w:val="auto"/>
        </w:rPr>
        <w:t>type of our gross income, we cannot assure you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TAX RULES APPLICABLE TO NON-U.S. HOLDERS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Payments (or deemed payments attributable to adjustments in the conversion rate) on the notes or the ordinary shares to a Non-U.S. Holder, or gain realized on the sale, exchange or redemption of the notes or the ordinary shares by a Non-U.S. Holder, will not be subject to U.S. federal income or withholding tax, as the case may be, unless such income is effectively connected with a trade or business conducted by such Non-U.S. Holder in the United States, or, in the case of gain, such Non-U.S. Holder is a nonresident alien individual who holds the notes or ordinary shares, as the case may be, as a capital asset and who is present in the United States more than 182 days in the taxable year of the sale and certain other conditions are met.</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U.S. trade or business income of a Non-U.S. Holder will generally be subject to regular United States federal income tax in the same manner as if it were realized by a U.S. Holder. Non-U.S. Holders that realize U.S. trade or business income with respect to the notes or ordinary shares should consult their tax advisors as to the treatment of such income or gain.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BACKUP WITHHOLDING AND INFORMATION REPORTING</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U.S. HOLDERS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Payments of interest or dividends made by us on, or the proceeds of the sale or other disposition of, the notes or ordinary shares may be subject to information reporting and United States federal backup withholding tax at the rate of 28% if the U.S. Holder who receives such payments fails to supply an accurate taxpayer identification number or otherwise fails to comply with applicable United States information reporting or certification requirements. Any amount withheld from a payment to a U.S. Holder under the backup withholding rules is allowable as a credit against the holder's United States federal income tax, provided that the required information is furnished to the IRS.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NON-U.S. HOLDERS.</w:t>
      </w:r>
    </w:p>
    <w:p>
      <w:pPr>
        <w:spacing w:after="0" w:line="17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A Non-U.S. Holder may be required to comply with certification procedures to establish that the holder is not a U.S. person in order to avoid backup withholding tax and information reporting requirements.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PRECEDING DISCUSSION OF CERTAIN U.S. FEDERAL INCOME TAX CONSIDERATIONS IS FOR GENERAL INFORMATION ONLY AND IS NOT TAX ADVICE. ACCORDINGLY, EACH PROSPECTIVE INVESTOR SHOULD CONSULT ITS TAX ADVISOR AS TO THE PARTICULAR U.S. FEDERAL, STATE, AND LOCAL TAX CONSEQUENCES OF PURCHASING, HOLDING AND DISPOSING OF THE NOTES AND OUR ORDINARY SHARES. TAX ADVISORS SHOULD ALSO BE CONSULTED AS TO THE U.S. ESTATE AND GIFT TAX CONSEQUENCES AND THE FOREIGN TAX CONSEQUENCES OF PURCHASING, HOLDING AND DISPOSING OF THE NOTES AND OUR ORDINARY SHARES, AS WELL AS THE CONSEQUENCES OF ANY PROPOSED CHANGE IN APPLICABLE LAWS.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20" w:right="1440" w:bottom="1440" w:gutter="0" w:footer="0" w:header="0"/>
        </w:sectPr>
      </w:pPr>
    </w:p>
    <w:bookmarkStart w:id="58" w:name="page59"/>
    <w:bookmarkEnd w:id="58"/>
    <w:p>
      <w:pPr>
        <w:ind w:left="2000"/>
        <w:spacing w:after="0"/>
        <w:rPr>
          <w:sz w:val="20"/>
          <w:szCs w:val="20"/>
          <w:color w:val="auto"/>
        </w:rPr>
      </w:pPr>
      <w:r>
        <w:rPr>
          <w:rFonts w:ascii="Courier New" w:cs="Courier New" w:eastAsia="Courier New" w:hAnsi="Courier New"/>
          <w:sz w:val="14"/>
          <w:szCs w:val="14"/>
          <w:color w:val="auto"/>
        </w:rPr>
        <w:t>CERTAIN GUERNSEY TAX CONSIDERATIONS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Under the laws of Guernsey, as currently in effect, a holder of the notes (and, upon conversion, a holder of ordinary shares) who is not a resident of Guernsey and who does not carry on business in Guernsey through a permanent establishment situated there, would be exempt from Guernsey income tax on interest and dividends paid with respect to such notes and such ordinary shares, respectively, and would not be liable for Guernsey income tax on gains realized upon the sale or other disposition of such notes and such ordinary shares. In addition, Guernsey would not impose a withholding tax on interest and dividends paid by us to the holders of such notes and such ordinary shares.</w:t>
      </w:r>
    </w:p>
    <w:p>
      <w:pPr>
        <w:spacing w:after="0" w:line="164"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There are no capital gains, gift or inheritance taxes levied by Guernsey, and the notes and ordinary shares generally would not be subject to any transfer taxes, stamp duties or similar charges on issuance or transfer.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EUROPEAN UNION SAVINGS TAX DIRECTIVE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European Union adopted a directive regarding taxation of savings income on June 3, 2003. It is proposed that, subject to a number of important conditions being met, each EU member state will, from January 1, 2005, be required to provide to the tax authorities of another EU member state details of payments of interest (or other similar income) paid by a person within its jurisdiction to or for the benefit of an individual resident in that other EU member state; however, Austria, Belgium and Luxembourg will instead apply a withholding tax system for a transitional period in relation to such payments.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Although Guernsey is not subject to the EU savings tax directive, the Advisory and Finance Committee of Guernsey has announced that, in keeping with Guernsey's policy of constructive international engagement, Guernsey proposes to introduce a withholding tax system in respect of payments of interest, or other similar income, made to an individual beneficial owner resident in an EU member state by an issuer or paying agent situated in Guernsey. The withholding tax system would apply for a transitional period prior to the implementation of a system of automatic exchange of information regarding such payments. During this transitional period, such an individual beneficial owner resident in an EU member state will be entitled to request an issuer or paying agent situated in Guernsey not to withhold tax from such payments but instead to apply a system by which the details of such payments are communicated to the tax authorities of the EU member state in which the beneficial owner is resident.</w:t>
      </w:r>
    </w:p>
    <w:p>
      <w:pPr>
        <w:spacing w:after="0" w:line="163"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As indicated above under "Description of Notes--Additional Tax Amounts," we will not make any additional payments to holders to compensate them for any tax that is required to be withheld as a result of these proposals.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20" w:right="1440" w:bottom="1440" w:gutter="0" w:footer="0" w:header="0"/>
        </w:sectPr>
      </w:pPr>
    </w:p>
    <w:bookmarkStart w:id="59" w:name="page60"/>
    <w:bookmarkEnd w:id="59"/>
    <w:p>
      <w:pPr>
        <w:ind w:left="2520"/>
        <w:spacing w:after="0"/>
        <w:rPr>
          <w:sz w:val="20"/>
          <w:szCs w:val="20"/>
          <w:color w:val="auto"/>
        </w:rPr>
      </w:pPr>
      <w:r>
        <w:rPr>
          <w:rFonts w:ascii="Courier New" w:cs="Courier New" w:eastAsia="Courier New" w:hAnsi="Courier New"/>
          <w:sz w:val="14"/>
          <w:szCs w:val="14"/>
          <w:color w:val="auto"/>
        </w:rPr>
        <w:t>SELLING SECURITYHOLDERS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originally issued the notes on March 5, 2004 to Morgan Stanley &amp; Co. Incorporated, Goldman, Sachs &amp; Co. and Merrill Lynch, Pierce, Fenner &amp; Smith Incorporated, whom we refer to as the initial purchasers of the notes. The initial purchasers advised us that the notes were resold by them in transactions exempt from the registration requirements of the Securities Act to persons reasonably believed by the initial purchasers to be "qualified institutional buyers," as defined in Rule 144A of the Securities Act. These subsequent purchasers, listed below as selling securityholders, or their transferees, pledgees or donees or their successors, may from time to time offer and sell any or all the notes and ordinary shares issuable upon conversion of the notes pursuant to this prospectus.</w:t>
      </w:r>
    </w:p>
    <w:p>
      <w:pPr>
        <w:spacing w:after="0" w:line="33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selling securityholders have represented to us that they purchased the notes and the ordinary shares issuable upon conversion of the notes for their own account for investment only and not with a view toward selling or distributing them, except through sales registered under the Securities Act or exemptions therefrom. We agreed with the initial purchasers to file this registration statement to register the resale of the notes and the sale of the ordinary shares issuable upon conversion of the notes. We agreed to prepare and file all necessary amendments and supplements to the registration statement to keep it effective until the date on which the notes and the ordinary shares issuable upon conversion of the notes no longer qualify as "registrable securities" under our registration rights agreement.</w:t>
      </w:r>
    </w:p>
    <w:p>
      <w:pPr>
        <w:spacing w:after="0" w:line="331"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following table sets forth, to our knowledge, certain information regarding the selling securityholders based upon information provided by or on behalf of the selling securityholders in a questionnaire and is as of the date specified by the securityholders in those questionnaires. The percentages set forth below are based on 201,334,057 of our ordinary shares outstanding as of September 30, 2004.</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selling securityholders may offer all, some or none of the notes or ordinary shares issuable upon conversion of the notes. Thus, we cannot estimate the amount of the notes or the ordinary shares issuable upon conversion of the notes that will be held by the selling securityholders upon termination of any sales. The column showing ownership after completion of the offering assumes that the selling securityholders will sell all of the securities offered by this prospectus. In addition, the selling securityholders identified below may have sold, transferred or otherwise disposed of all or a portion of their notes since the date on which they provided the information about their notes in transactions exempt from the registration requirements of the Securities Act.</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information contained under the column "Ordinary Shares Beneficially Owned Upon Conversion of the Notes" represents ordinary shares issuable upon conversion of the principal amount of notes listed and assumes conversion of the full amount of the notes at the initial conversion rate of 23.1911 shares per each $1,000 principal of the notes. However, the maximum conversion rate is subject to adjustment as described under "Description of Notes - Conversion of Notes - Conversion Rate Adjustments." As a result, the amount of ordinary shares issuable upon conversion of the notes may increase or decrease in the future.</w:t>
      </w:r>
    </w:p>
    <w:p>
      <w:pPr>
        <w:spacing w:after="0" w:line="33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Except as indicated below, none of the selling securityholders has had any material relationship with us or our affiliates within the past three years. This table assumes that other holders of notes or any future transferees from any such holder do not beneficially own any ordinary shares other than ordinary shares issuable upon conversion of the notes.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20" w:right="1440"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ORDINARY SHARES</w:t>
            </w:r>
          </w:p>
        </w:tc>
        <w:tc>
          <w:tcPr>
            <w:tcW w:w="1480" w:type="dxa"/>
            <w:vAlign w:val="bottom"/>
          </w:tcPr>
          <w:p>
            <w:pPr>
              <w:spacing w:after="0"/>
              <w:rPr>
                <w:sz w:val="14"/>
                <w:szCs w:val="14"/>
                <w:color w:val="auto"/>
              </w:rPr>
            </w:pPr>
          </w:p>
        </w:tc>
        <w:tc>
          <w:tcPr>
            <w:tcW w:w="17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ORDINARY SHARES</w:t>
            </w:r>
          </w:p>
        </w:tc>
      </w:tr>
      <w:tr>
        <w:trPr>
          <w:trHeight w:val="167"/>
        </w:trPr>
        <w:tc>
          <w:tcPr>
            <w:tcW w:w="4600" w:type="dxa"/>
            <w:vAlign w:val="bottom"/>
          </w:tcPr>
          <w:p>
            <w:pPr>
              <w:spacing w:after="0"/>
              <w:rPr>
                <w:sz w:val="14"/>
                <w:szCs w:val="14"/>
                <w:color w:val="auto"/>
              </w:rPr>
            </w:pP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PRINCIPAL</w:t>
            </w:r>
          </w:p>
        </w:tc>
        <w:tc>
          <w:tcPr>
            <w:tcW w:w="21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BENEFICIALLY OWNED</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PRINCIPAL</w:t>
            </w:r>
          </w:p>
        </w:tc>
        <w:tc>
          <w:tcPr>
            <w:tcW w:w="1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BENEFICIALLY</w:t>
            </w:r>
          </w:p>
        </w:tc>
      </w:tr>
      <w:tr>
        <w:trPr>
          <w:trHeight w:val="167"/>
        </w:trPr>
        <w:tc>
          <w:tcPr>
            <w:tcW w:w="4600" w:type="dxa"/>
            <w:vAlign w:val="bottom"/>
          </w:tcPr>
          <w:p>
            <w:pPr>
              <w:spacing w:after="0"/>
              <w:rPr>
                <w:sz w:val="14"/>
                <w:szCs w:val="14"/>
                <w:color w:val="auto"/>
              </w:rPr>
            </w:pPr>
          </w:p>
        </w:tc>
        <w:tc>
          <w:tcPr>
            <w:tcW w:w="1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AMOUNT OF NOTES</w:t>
            </w:r>
          </w:p>
        </w:tc>
        <w:tc>
          <w:tcPr>
            <w:tcW w:w="21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UPON CONVERSION</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AMOUNT OF NOTES</w:t>
            </w:r>
          </w:p>
        </w:tc>
        <w:tc>
          <w:tcPr>
            <w:tcW w:w="17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4600" w:type="dxa"/>
            <w:vAlign w:val="bottom"/>
          </w:tcPr>
          <w:p>
            <w:pPr>
              <w:spacing w:after="0"/>
              <w:rPr>
                <w:sz w:val="14"/>
                <w:szCs w:val="14"/>
                <w:color w:val="auto"/>
              </w:rPr>
            </w:pPr>
          </w:p>
        </w:tc>
        <w:tc>
          <w:tcPr>
            <w:tcW w:w="1620" w:type="dxa"/>
            <w:vAlign w:val="bottom"/>
          </w:tcPr>
          <w:p>
            <w:pPr>
              <w:ind w:left="260"/>
              <w:spacing w:after="0"/>
              <w:rPr>
                <w:sz w:val="20"/>
                <w:szCs w:val="20"/>
                <w:color w:val="auto"/>
              </w:rPr>
            </w:pPr>
            <w:r>
              <w:rPr>
                <w:rFonts w:ascii="Courier New" w:cs="Courier New" w:eastAsia="Courier New" w:hAnsi="Courier New"/>
                <w:sz w:val="14"/>
                <w:szCs w:val="14"/>
                <w:color w:val="auto"/>
              </w:rPr>
              <w:t>BENEFICIALLY</w:t>
            </w:r>
          </w:p>
        </w:tc>
        <w:tc>
          <w:tcPr>
            <w:tcW w:w="21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OF THE NOTES</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BENEFICIALLY</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AFTER</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OFFERING</w:t>
            </w:r>
          </w:p>
        </w:tc>
      </w:tr>
      <w:tr>
        <w:trPr>
          <w:trHeight w:val="167"/>
        </w:trPr>
        <w:tc>
          <w:tcPr>
            <w:tcW w:w="4600" w:type="dxa"/>
            <w:vAlign w:val="bottom"/>
          </w:tcPr>
          <w:p>
            <w:pPr>
              <w:spacing w:after="0"/>
              <w:rPr>
                <w:sz w:val="14"/>
                <w:szCs w:val="14"/>
                <w:color w:val="auto"/>
              </w:rPr>
            </w:pPr>
          </w:p>
        </w:tc>
        <w:tc>
          <w:tcPr>
            <w:tcW w:w="1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OWNED THAT MAY</w:t>
            </w: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OWNED AFTER</w:t>
            </w:r>
          </w:p>
        </w:tc>
        <w:tc>
          <w:tcPr>
            <w:tcW w:w="17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880"/>
              <w:spacing w:after="0"/>
              <w:rPr>
                <w:sz w:val="20"/>
                <w:szCs w:val="20"/>
                <w:color w:val="auto"/>
              </w:rPr>
            </w:pPr>
            <w:r>
              <w:rPr>
                <w:rFonts w:ascii="Courier New" w:cs="Courier New" w:eastAsia="Courier New" w:hAnsi="Courier New"/>
                <w:sz w:val="14"/>
                <w:szCs w:val="14"/>
                <w:color w:val="auto"/>
              </w:rPr>
              <w:t>NAME OF SELLING SECURITYHOLDER</w:t>
            </w:r>
          </w:p>
        </w:tc>
        <w:tc>
          <w:tcPr>
            <w:tcW w:w="1620" w:type="dxa"/>
            <w:vAlign w:val="bottom"/>
          </w:tcPr>
          <w:p>
            <w:pPr>
              <w:ind w:left="260"/>
              <w:spacing w:after="0"/>
              <w:rPr>
                <w:sz w:val="20"/>
                <w:szCs w:val="20"/>
                <w:color w:val="auto"/>
              </w:rPr>
            </w:pPr>
            <w:r>
              <w:rPr>
                <w:rFonts w:ascii="Courier New" w:cs="Courier New" w:eastAsia="Courier New" w:hAnsi="Courier New"/>
                <w:sz w:val="14"/>
                <w:szCs w:val="14"/>
                <w:color w:val="auto"/>
              </w:rPr>
              <w:t>BE SOLD ($)</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NUMBER</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PERCENTAGE</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OFFERING</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PERCENTAGE</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4600" w:type="dxa"/>
            <w:vAlign w:val="bottom"/>
          </w:tcPr>
          <w:p>
            <w:pPr>
              <w:spacing w:after="0"/>
              <w:rPr>
                <w:sz w:val="20"/>
                <w:szCs w:val="20"/>
                <w:color w:val="auto"/>
              </w:rPr>
            </w:pPr>
            <w:r>
              <w:rPr>
                <w:rFonts w:ascii="Courier New" w:cs="Courier New" w:eastAsia="Courier New" w:hAnsi="Courier New"/>
                <w:sz w:val="14"/>
                <w:szCs w:val="14"/>
                <w:color w:val="auto"/>
              </w:rPr>
              <w:t>Acuity Master Fund,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1,440,000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33,395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ACUITY Capital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4 Greenwich Office Park, 3rd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Greenwich, CT 06831 USA</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Allstate Insurance Company (1)........................</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3,250,000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75,371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Allstate Investments,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3075 Sanders Road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G6B</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Northbrook, IL 60062-7127</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Allstate Life Insurance Company.......................</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3,000,000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69,573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Allstate Investments,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3075 Sanders Road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G6B</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Northbrook, IL 60062-7127</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 International E MAC 63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630,000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14,610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350 Park Avenue, 4th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10022</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 Master Fund I, LP.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8,470,000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196,428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350 Park Avenue, 4th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10022</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American Investors Life Insurance Co.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AmerUs Life Insurance Company........................</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4,200,000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97,402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The Animi Master Fund,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14,000,000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324,675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Archeus Capital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360 Madison Avenue, 10th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Arbitex Master Fund L.P. (1).........................</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9,000,000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208,719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Arbitex Asset Management L.P.</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1601 Elm Street, Suite 4000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Dallas, TX 75201</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Classic Convertible Arbitrage Fund</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7"/>
        </w:trPr>
        <w:tc>
          <w:tcPr>
            <w:tcW w:w="4600" w:type="dxa"/>
            <w:vAlign w:val="bottom"/>
          </w:tcPr>
          <w:p>
            <w:pPr>
              <w:ind w:left="360"/>
              <w:spacing w:after="0"/>
              <w:rPr>
                <w:sz w:val="20"/>
                <w:szCs w:val="20"/>
                <w:color w:val="auto"/>
              </w:rPr>
            </w:pPr>
            <w:r>
              <w:rPr>
                <w:rFonts w:ascii="Courier New" w:cs="Courier New" w:eastAsia="Courier New" w:hAnsi="Courier New"/>
                <w:sz w:val="14"/>
                <w:szCs w:val="14"/>
                <w:color w:val="auto"/>
              </w:rPr>
              <w:t>(Bermuda)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6,955,000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161,294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 Financial Group (Bermuda) Ltd.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73 Front Street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Hamilton HM12 Bermuda</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Classic Convertible Arbitrage Fund II,</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L.P...................................................</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255,000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5,913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Classic Convertible Arbitrage Fund L.P........</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1,150,000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26,669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LowLev Convertible Arbitrage Fund LLC..........</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1,770,000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41,048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w w:val="97"/>
              </w:rPr>
              <w:t>Argent LowLev Convertible Arbitrage Fund II, LLC........</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280,000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6,493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LowLev Convertible Arbitrage Fund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10,280,000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238,404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 Financial Group (Bermuda) Ltd.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3013</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Hamilton, HMMX Bermuda</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ectPr>
          <w:pgSz w:w="11900" w:h="16838" w:orient="portrait"/>
          <w:cols w:equalWidth="0" w:num="1">
            <w:col w:w="11540"/>
          </w:cols>
          <w:pgMar w:left="220" w:top="1288" w:right="139" w:bottom="0" w:gutter="0" w:footer="0" w:header="0"/>
        </w:sectPr>
      </w:pPr>
    </w:p>
    <w:bookmarkStart w:id="61" w:name="page62"/>
    <w:bookmarkEnd w:id="61"/>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w w:val="97"/>
              </w:rPr>
              <w:t>Aviva Life Insurance Co.................................</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5,797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Aviva Life Insurance Co</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Morley Fund Management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 1 Poultry</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London EC2R 8EJ</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Aviva Life Insurance Co...............................</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63,775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Aviva Life Insurance Co</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Morley Fund Management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 1 Poultry</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London EC2R 8EJ</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Bankers Life Insurance Company of New York............</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Bear, Stearns &amp; Co. Inc.(1)...........................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144,944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Bear, Stearns &amp; Co. Inc.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383 Madison Avenue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23rd Floor, Global Fund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10179 USA</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Black Diamond Convertible Offshore LDC................</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53,339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Fund Services [Cayman] Limited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852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House, 75 Fort Street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George Town, Grand Cayman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Cayman Islands BWI</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Black Diamond Offshore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31,539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Fund Services [Cayman] Limited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852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House, 75 Fort Street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George Town, Grand Cayman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Cayman Islands BWI</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Citadel Credit Trading Ltd. (1)......................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11,775,000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273,075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Citadel Investment Group,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131 South Dearborn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Chicago, IL 60603 USA</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Citadel Equity Fund Ltd. (1).........................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66,725,000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1,547,426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Citadel Investment Group,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131 South Dearborn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Chicago, IL 60603 USA</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Citigroup Global Markets Inc. (2).....................</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102,040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Global Markets Inc.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390 Greenwich Street, 3rd Floor</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Convertible Trading</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10013</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Class C Trading Company,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Commissioners of the Land Office......................</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Context Convertible Arbitrage Fund, LP................</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31,307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Context Convertible Arbitrage Offshore Fund,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88,126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Custom Investments PCC,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5,102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Deephaven Domestic Convertible Trading Ltd (1).......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22,622,000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524,629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Deephaven Domestic Convertible Trading Ltd.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130 Chesire Lane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102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Minnetonka, MN 55305</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Deutsche Bank Securities Inc. (2).....................</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4,638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1251 Avenue of the Americas</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26th Floor, Mail Stop NYCO7-2638</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Diaco Investments LP..................................</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8,348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Diaco Invesments</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1271 Avenue of the Americas</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Double Black Diamond Offshore LDC.....................</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7,319,000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169,735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Fund Services [Cayman] Limited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ectPr>
          <w:pgSz w:w="11900" w:h="16862" w:orient="portrait"/>
          <w:cols w:equalWidth="0" w:num="1">
            <w:col w:w="11040"/>
          </w:cols>
          <w:pgMar w:left="220" w:top="141" w:right="639" w:bottom="0" w:gutter="0" w:footer="0" w:header="0"/>
        </w:sectPr>
      </w:pPr>
    </w:p>
    <w:bookmarkStart w:id="62" w:name="page63"/>
    <w:bookmarkEnd w:id="62"/>
    <w:p>
      <w:pPr>
        <w:ind w:left="440"/>
        <w:spacing w:after="0"/>
        <w:rPr>
          <w:sz w:val="20"/>
          <w:szCs w:val="20"/>
          <w:color w:val="auto"/>
        </w:rPr>
      </w:pPr>
      <w:r>
        <w:rPr>
          <w:rFonts w:ascii="Courier New" w:cs="Courier New" w:eastAsia="Courier New" w:hAnsi="Courier New"/>
          <w:sz w:val="14"/>
          <w:szCs w:val="14"/>
          <w:color w:val="auto"/>
        </w:rPr>
        <w:t>P.O. Box 852</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UBS House, 75 Fort Street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George Town, Grand Cayman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Cayman Islands BWI</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Georgia Firefighters Pension 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GLG Market Neutral 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GLG Partners LP</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One Curzon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London WIJ5HB United Kingdom</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Guggenheim Portfolio Co. XV, LLC......................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1,360,000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31,539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666 Third 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HFR CA Global Select Master Trust Account.............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10,204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HSBC Asset Management (Americas) Inc. for the</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HSBC Multi-Strategy Arbitrage Fund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HSBC Asset Management (Americas) Inc.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452 5th Avenue, 18th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10018</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Huntrise Capital Leveraged Partners, LLC..............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Indianapolis Life Insurance Co.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21,100,000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489,332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Inflective Convertible Opportunity Fund I, L.P.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16,813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Inflective Convertible Opportunity Fund I,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Injured Workers Insurance 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33,627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Intl. Truck &amp; Engine Corp. Non Contributory</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Retirement Plan Trust.................................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Intl. Truck &amp; Engine Corp. Retirement Plan for</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Salaried Employee's Trust.............................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39,424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Jefferies Umbrella Fund US Convertible Bonds..........</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Jefferies Asset Management LTD.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Uraniastrasse 12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CH-8023</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Zurich, Switzerland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JP Morgan Securities Inc.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57,977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500 Stanton Christiana Road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Newark, DE 19713</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KBC Financial Products USA Inc.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97,402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KBC Financial Products</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140 East 45th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 Grand Central Tower, 42nd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10017-3144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KeySpan Foundation....................................</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KeySpan Insurance Company.............................</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90 Hudson Street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Jersey City, NJ 07302</w:t>
      </w:r>
    </w:p>
    <w:p>
      <w:pPr>
        <w:sectPr>
          <w:pgSz w:w="11900" w:h="16838" w:orient="portrait"/>
          <w:cols w:equalWidth="0" w:num="1">
            <w:col w:w="11040"/>
          </w:cols>
          <w:pgMar w:left="220" w:top="142" w:right="639" w:bottom="0" w:gutter="0" w:footer="0" w:header="0"/>
        </w:sectPr>
      </w:pPr>
    </w:p>
    <w:bookmarkStart w:id="63" w:name="page64"/>
    <w:bookmarkEnd w:id="63"/>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Lord Abbett Investment Trust - LA Convertible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Lydian Global Opportunities Master Fund Limited.......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173,933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495 Post Road East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Westport, CT 06880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Lydian Overseas Partners Master Fund LP..............</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495 Post Road East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Westport, CT 06880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Lyxor/AM Investment Fund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1,870,000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43,367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350 Park Avenue, 4th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Lyxor/Context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15,074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Lyxor/Inflective Convertible Opportunity Fund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7,537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Lyxor Master Fund Ref: Argent/LowLev CB c/o</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National Bank of Canada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12,755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National Benefit Life Insurance Company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112,000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2,597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Hartford, 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Nomura Securities Int'l Inc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347,866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Nomura Securities International Inc.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 World Financial Center, 18th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10281 USA</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Partners Group Alternative Strategies PCC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18,552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Primerica Life Insurance Company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1,031,000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23,910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Hartford, 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R2 Investments, LDC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15,306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 Amalgamated Gadget, L.P. as Investment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Manager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301 Commerce, Suite 2975</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Ft. Worth, TX 76102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Radian Asset Assurance, Inc.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60,876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Radian Group Convertible Securities...................</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30,148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Radian Guaranty.......................................</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137,987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Ramius Capital Group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9,856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666 Third 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Ramius Master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6,715,000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155,728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666 Third 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RCG Halifax Master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9,856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666 Third 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ectPr>
          <w:pgSz w:w="11900" w:h="16862" w:orient="portrait"/>
          <w:cols w:equalWidth="0" w:num="1">
            <w:col w:w="11040"/>
          </w:cols>
          <w:pgMar w:left="220" w:top="141" w:right="639" w:bottom="0" w:gutter="0" w:footer="0" w:header="0"/>
        </w:sectPr>
      </w:pPr>
    </w:p>
    <w:bookmarkStart w:id="64" w:name="page65"/>
    <w:bookmarkEnd w:id="64"/>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RCG Latitude Master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6,885,000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159,670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666 Third 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RCG Multi Strategy Master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19,712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666 Third 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Royal Bank of Canada (Norshield)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11,015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Silver Convertible Arbitrage Fund, LDC................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Sphinx Convertible Arbitrage Fund SPC.................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588,000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13,636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Deephaven Domestic Convertible Trading Ltd.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130 Chesire Lane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102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Minnetonka, MN 55305</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Teachers Insurance and Annuity Association of</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America..............................................</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23,300,000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540,352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TIAA-CREF</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730 Third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 USA</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Thomas Weisel Partners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81,168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Thomas Weisel Partners</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 Montgomery Street, 37th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Francisco, CA 94104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Thrivent Financial For Lutherans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Thrivent Financial for Lutherans</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625 Fourth Avenue South</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Minneapolis, MN 55415 USA</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Total Fina Elf Finance USA, Inc.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6,957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Travelers Insurance Company - Life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2,604,000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60,389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Hartford, 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Travelers Insurance Company Separate Account</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TLAC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2,040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Hartford, 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Travelers Life and Annuity Company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154,000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3,571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Hartford, 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Travelers Series Trust Convertible Bond Portfolio.....</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34,786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Hartford, 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University of Arkansas................................</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University of Arkansas Foundation.....................</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Univest Convertible Arbitrage Fund II LTD</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(Norshield)...........................................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Vermont Mutual Insurance Company......................</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White River Securities L.L.C.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144,944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Bear, Stearns &amp; Co. Inc.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383 Madison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23rd Floor, Global Fund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ectPr>
          <w:pgSz w:w="11900" w:h="16862" w:orient="portrait"/>
          <w:cols w:equalWidth="0" w:num="1">
            <w:col w:w="11040"/>
          </w:cols>
          <w:pgMar w:left="220" w:top="308" w:right="639" w:bottom="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NY</w:t>
            </w:r>
          </w:p>
        </w:tc>
        <w:tc>
          <w:tcPr>
            <w:tcW w:w="3000" w:type="dxa"/>
            <w:vAlign w:val="bottom"/>
          </w:tcPr>
          <w:p>
            <w:pPr>
              <w:ind w:left="60"/>
              <w:spacing w:after="0"/>
              <w:rPr>
                <w:sz w:val="20"/>
                <w:szCs w:val="20"/>
                <w:color w:val="auto"/>
              </w:rPr>
            </w:pPr>
            <w:r>
              <w:rPr>
                <w:rFonts w:ascii="Courier New" w:cs="Courier New" w:eastAsia="Courier New" w:hAnsi="Courier New"/>
                <w:sz w:val="14"/>
                <w:szCs w:val="14"/>
                <w:color w:val="auto"/>
              </w:rPr>
              <w:t>10179 USA</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3"/>
          </w:tcPr>
          <w:p>
            <w:pPr>
              <w:spacing w:after="0"/>
              <w:rPr>
                <w:sz w:val="20"/>
                <w:szCs w:val="20"/>
                <w:color w:val="auto"/>
              </w:rPr>
            </w:pPr>
            <w:r>
              <w:rPr>
                <w:rFonts w:ascii="Courier New" w:cs="Courier New" w:eastAsia="Courier New" w:hAnsi="Courier New"/>
                <w:sz w:val="14"/>
                <w:szCs w:val="14"/>
                <w:color w:val="auto"/>
                <w:w w:val="99"/>
              </w:rPr>
              <w:t>Worldwide Transactions Ltd............................</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221,000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5,125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Worldwide</w:t>
            </w:r>
          </w:p>
        </w:tc>
        <w:tc>
          <w:tcPr>
            <w:tcW w:w="32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Transactions Ltd.</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Washington Mall-Phase I</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Church Street, 3rd Floor</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Hamilton HM 11  Bermuda</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Xavex Convertible</w:t>
            </w:r>
          </w:p>
        </w:tc>
        <w:tc>
          <w:tcPr>
            <w:tcW w:w="3000" w:type="dxa"/>
            <w:vAlign w:val="bottom"/>
          </w:tcPr>
          <w:p>
            <w:pPr>
              <w:ind w:left="60"/>
              <w:spacing w:after="0"/>
              <w:rPr>
                <w:sz w:val="20"/>
                <w:szCs w:val="20"/>
                <w:color w:val="auto"/>
              </w:rPr>
            </w:pPr>
            <w:r>
              <w:rPr>
                <w:rFonts w:ascii="Courier New" w:cs="Courier New" w:eastAsia="Courier New" w:hAnsi="Courier New"/>
                <w:sz w:val="14"/>
                <w:szCs w:val="14"/>
                <w:color w:val="auto"/>
                <w:w w:val="96"/>
              </w:rPr>
              <w:t>Arbitrage 5 Fund....................</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7,884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32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Avenue, 26th Floor</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NY</w:t>
            </w:r>
          </w:p>
        </w:tc>
        <w:tc>
          <w:tcPr>
            <w:tcW w:w="3000" w:type="dxa"/>
            <w:vAlign w:val="bottom"/>
          </w:tcPr>
          <w:p>
            <w:pPr>
              <w:ind w:left="60"/>
              <w:spacing w:after="0"/>
              <w:rPr>
                <w:sz w:val="20"/>
                <w:szCs w:val="20"/>
                <w:color w:val="auto"/>
              </w:rPr>
            </w:pPr>
            <w:r>
              <w:rPr>
                <w:rFonts w:ascii="Courier New" w:cs="Courier New" w:eastAsia="Courier New" w:hAnsi="Courier New"/>
                <w:sz w:val="14"/>
                <w:szCs w:val="14"/>
                <w:color w:val="auto"/>
              </w:rPr>
              <w:t>10017</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Xavex Convertible</w:t>
            </w:r>
          </w:p>
        </w:tc>
        <w:tc>
          <w:tcPr>
            <w:tcW w:w="3000" w:type="dxa"/>
            <w:vAlign w:val="bottom"/>
          </w:tcPr>
          <w:p>
            <w:pPr>
              <w:ind w:left="60"/>
              <w:spacing w:after="0"/>
              <w:rPr>
                <w:sz w:val="20"/>
                <w:szCs w:val="20"/>
                <w:color w:val="auto"/>
              </w:rPr>
            </w:pPr>
            <w:r>
              <w:rPr>
                <w:rFonts w:ascii="Courier New" w:cs="Courier New" w:eastAsia="Courier New" w:hAnsi="Courier New"/>
                <w:sz w:val="14"/>
                <w:szCs w:val="14"/>
                <w:color w:val="auto"/>
                <w:w w:val="96"/>
              </w:rPr>
              <w:t>Arbitrage 10 Fund...................</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14,842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2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55 Vilcom</w:t>
            </w:r>
          </w:p>
        </w:tc>
        <w:tc>
          <w:tcPr>
            <w:tcW w:w="32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Circle</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2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Chapel Hill,</w:t>
            </w:r>
          </w:p>
        </w:tc>
        <w:tc>
          <w:tcPr>
            <w:tcW w:w="3000" w:type="dxa"/>
            <w:vAlign w:val="bottom"/>
          </w:tcPr>
          <w:p>
            <w:pPr>
              <w:ind w:left="60"/>
              <w:spacing w:after="0"/>
              <w:rPr>
                <w:sz w:val="20"/>
                <w:szCs w:val="20"/>
                <w:color w:val="auto"/>
              </w:rPr>
            </w:pPr>
            <w:r>
              <w:rPr>
                <w:rFonts w:ascii="Courier New" w:cs="Courier New" w:eastAsia="Courier New" w:hAnsi="Courier New"/>
                <w:sz w:val="14"/>
                <w:szCs w:val="14"/>
                <w:color w:val="auto"/>
              </w:rPr>
              <w:t>NC 27514</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Xavex Convertible</w:t>
            </w:r>
          </w:p>
        </w:tc>
        <w:tc>
          <w:tcPr>
            <w:tcW w:w="3000" w:type="dxa"/>
            <w:vAlign w:val="bottom"/>
          </w:tcPr>
          <w:p>
            <w:pPr>
              <w:ind w:left="60"/>
              <w:spacing w:after="0"/>
              <w:rPr>
                <w:sz w:val="20"/>
                <w:szCs w:val="20"/>
                <w:color w:val="auto"/>
              </w:rPr>
            </w:pPr>
            <w:r>
              <w:rPr>
                <w:rFonts w:ascii="Courier New" w:cs="Courier New" w:eastAsia="Courier New" w:hAnsi="Courier New"/>
                <w:sz w:val="14"/>
                <w:szCs w:val="14"/>
                <w:color w:val="auto"/>
                <w:w w:val="96"/>
              </w:rPr>
              <w:t>Arbitrage 2 Fund....................</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9,276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2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55 Vilcom</w:t>
            </w:r>
          </w:p>
        </w:tc>
        <w:tc>
          <w:tcPr>
            <w:tcW w:w="32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Circle</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2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Chapel Hill,</w:t>
            </w:r>
          </w:p>
        </w:tc>
        <w:tc>
          <w:tcPr>
            <w:tcW w:w="3000" w:type="dxa"/>
            <w:vAlign w:val="bottom"/>
          </w:tcPr>
          <w:p>
            <w:pPr>
              <w:ind w:left="60"/>
              <w:spacing w:after="0"/>
              <w:rPr>
                <w:sz w:val="20"/>
                <w:szCs w:val="20"/>
                <w:color w:val="auto"/>
              </w:rPr>
            </w:pPr>
            <w:r>
              <w:rPr>
                <w:rFonts w:ascii="Courier New" w:cs="Courier New" w:eastAsia="Courier New" w:hAnsi="Courier New"/>
                <w:sz w:val="14"/>
                <w:szCs w:val="14"/>
                <w:color w:val="auto"/>
              </w:rPr>
              <w:t>NC 27514</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3"/>
          </w:tcPr>
          <w:p>
            <w:pPr>
              <w:spacing w:after="0"/>
              <w:rPr>
                <w:sz w:val="20"/>
                <w:szCs w:val="20"/>
                <w:color w:val="auto"/>
              </w:rPr>
            </w:pPr>
            <w:r>
              <w:rPr>
                <w:rFonts w:ascii="Courier New" w:cs="Courier New" w:eastAsia="Courier New" w:hAnsi="Courier New"/>
                <w:sz w:val="14"/>
                <w:szCs w:val="14"/>
                <w:color w:val="auto"/>
              </w:rPr>
              <w:t>Any other holder of notes or future transferee,</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pledgee, donee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or</w:t>
            </w:r>
          </w:p>
        </w:tc>
        <w:tc>
          <w:tcPr>
            <w:tcW w:w="3000" w:type="dxa"/>
            <w:vAlign w:val="bottom"/>
          </w:tcPr>
          <w:p>
            <w:pPr>
              <w:ind w:left="60"/>
              <w:spacing w:after="0"/>
              <w:rPr>
                <w:sz w:val="20"/>
                <w:szCs w:val="20"/>
                <w:color w:val="auto"/>
              </w:rPr>
            </w:pPr>
            <w:r>
              <w:rPr>
                <w:rFonts w:ascii="Courier New" w:cs="Courier New" w:eastAsia="Courier New" w:hAnsi="Courier New"/>
                <w:sz w:val="14"/>
                <w:szCs w:val="14"/>
                <w:color w:val="auto"/>
              </w:rPr>
              <w:t>successor of any holder (3).......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103,365,000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2,397,190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1040"/>
          </w:cols>
          <w:pgMar w:left="220" w:top="142" w:right="639" w:bottom="1440" w:gutter="0" w:footer="0" w:header="0"/>
        </w:sectPr>
      </w:pPr>
    </w:p>
    <w:bookmarkStart w:id="66" w:name="page67"/>
    <w:bookmarkEnd w:id="66"/>
    <w:p>
      <w:pPr>
        <w:ind w:left="171" w:hanging="171"/>
        <w:spacing w:after="0"/>
        <w:tabs>
          <w:tab w:leader="none" w:pos="17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5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one percent.</w:t>
      </w:r>
    </w:p>
    <w:p>
      <w:pPr>
        <w:spacing w:after="0" w:line="175" w:lineRule="exact"/>
        <w:rPr>
          <w:sz w:val="20"/>
          <w:szCs w:val="20"/>
          <w:color w:val="auto"/>
        </w:rPr>
      </w:pPr>
    </w:p>
    <w:p>
      <w:pPr>
        <w:ind w:left="791" w:right="3379" w:hanging="531"/>
        <w:spacing w:after="0" w:line="254" w:lineRule="auto"/>
        <w:tabs>
          <w:tab w:leader="none" w:pos="79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securityholder is an affiliate of a registered broker-dealer and has informed us that it acquired the notes in the ordinary course of business, and at the time of the acquisition of the notes had no agreements, understandings or arrangements with any other persons, either directly or indirectly, to distribute the notes.</w:t>
      </w:r>
    </w:p>
    <w:p>
      <w:pPr>
        <w:spacing w:after="0" w:line="162" w:lineRule="exact"/>
        <w:rPr>
          <w:rFonts w:ascii="Courier New" w:cs="Courier New" w:eastAsia="Courier New" w:hAnsi="Courier New"/>
          <w:sz w:val="14"/>
          <w:szCs w:val="14"/>
          <w:color w:val="auto"/>
        </w:rPr>
      </w:pPr>
    </w:p>
    <w:p>
      <w:pPr>
        <w:ind w:left="791" w:right="3979" w:hanging="531"/>
        <w:spacing w:after="0" w:line="258" w:lineRule="auto"/>
        <w:tabs>
          <w:tab w:leader="none" w:pos="79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securityholder is a registered broker-dealer and an "underwriter" within the meaning of the Securities Act.</w:t>
      </w:r>
    </w:p>
    <w:p>
      <w:pPr>
        <w:spacing w:after="0" w:line="159" w:lineRule="exact"/>
        <w:rPr>
          <w:rFonts w:ascii="Courier New" w:cs="Courier New" w:eastAsia="Courier New" w:hAnsi="Courier New"/>
          <w:sz w:val="14"/>
          <w:szCs w:val="14"/>
          <w:color w:val="auto"/>
        </w:rPr>
      </w:pPr>
    </w:p>
    <w:p>
      <w:pPr>
        <w:ind w:left="791" w:right="3379" w:hanging="531"/>
        <w:spacing w:after="0" w:line="253" w:lineRule="auto"/>
        <w:tabs>
          <w:tab w:leader="none" w:pos="79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about other selling securityholders will be set forth in an amendment to the registration statement of which this prospectus is a part and information about future transferees, pledgees, donees or successors of any holder named as a selling securityholder in this prospectus will be set forth in prospectus amendments or supplements,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0"/>
          </w:cols>
          <w:pgMar w:left="229" w:top="620" w:right="1440" w:bottom="1440" w:gutter="0" w:footer="0" w:header="0"/>
        </w:sectPr>
      </w:pPr>
    </w:p>
    <w:bookmarkStart w:id="67" w:name="page68"/>
    <w:bookmarkEnd w:id="67"/>
    <w:p>
      <w:pPr>
        <w:spacing w:after="0" w:line="149"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VOTING/INVESTMENT CONTROL TABLE</w:t>
      </w:r>
    </w:p>
    <w:p>
      <w:pPr>
        <w:sectPr>
          <w:pgSz w:w="11900" w:h="16987" w:orient="portrait"/>
          <w:cols w:equalWidth="0" w:num="1">
            <w:col w:w="10260"/>
          </w:cols>
          <w:pgMar w:left="220" w:top="453"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 OF SELLING SECURITYHOLDER</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Courier New" w:cs="Courier New" w:eastAsia="Courier New" w:hAnsi="Courier New"/>
          <w:sz w:val="14"/>
          <w:szCs w:val="14"/>
          <w:color w:val="auto"/>
        </w:rPr>
        <w:t>NATURAL PERSON OR PERSONS WITH VOTING/INVESTMENT CONTROL --------------------------------------------------------</w:t>
      </w:r>
    </w:p>
    <w:p>
      <w:pPr>
        <w:spacing w:after="0" w:line="200" w:lineRule="exact"/>
        <w:rPr>
          <w:sz w:val="20"/>
          <w:szCs w:val="20"/>
          <w:color w:val="auto"/>
        </w:rPr>
      </w:pPr>
    </w:p>
    <w:p>
      <w:pPr>
        <w:sectPr>
          <w:pgSz w:w="11900" w:h="16987" w:orient="portrait"/>
          <w:cols w:equalWidth="0" w:num="2">
            <w:col w:w="4680" w:space="720"/>
            <w:col w:w="4860"/>
          </w:cols>
          <w:pgMar w:left="220" w:top="453" w:right="1419" w:bottom="0" w:gutter="0" w:footer="0" w:header="0"/>
          <w:type w:val="continuous"/>
        </w:sectPr>
      </w:pP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Acuity Master Fund, Ltd. .....................................Howard Needle and David J. Harris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Allstate Insurance Company....................................(1)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Allstate Life Insurance Company...............................(1)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 Master Fund I, LP. ........................................Adam Stern and Mark Friedman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 International E MAC 63 Ltd. ...............................Adam Sterm and Mark Friedman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Investors Life Insurance Co. ........................Thomas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AmerUs Life Insurance Company.................................Thomas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Animi Master Fund, Ltd. ..................................(2)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Arbitex Master Fund L.P. .....................................Clark Hunt, Jonathan Bren and Ken Tananbaum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Classic Convertible Arbitrage Fund (Bermuda)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Classic Convertible Arbitrage Fund II, L.P.............Nathanial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Classic Convertible Arbitrage Fund L.P.................Nathanial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LowLev Convertible Arbitrage Fund LLC.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LowLev Convertible Arbitrage Fund II, LLC.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LowLev Convertible Arbitrage Fund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Aviva Life Insurance Co. .....................................David Clott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Aviva Life Insurance Co. .....................................David Clott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Bankers Life Insurance Company of New York....................Thomas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Bear, Stearns &amp; Co. Inc. .....................................Yan Erlikh &amp; David Liebowitz</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Black Diamond Convertible Offshore LDC........................Clint D. Carlson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Black Diamond Offshore Ltd. ..................................Clint D. Carlson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Citadel Credit Trading Ltd. ..................................(4)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Citadel Equity Fund Ltd. .....................................(4)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Citigroup Global Markets Inc. ................................(5)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C Trading Company,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Commissioners of the Land Office..............................Maren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Context Convertible Arbitrage Fund, LP. ......................Michael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Context Convertible Arbitrage Offshore Fund, LTD. ............Michael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 Investments PCC,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Deephaven Domestic Convertible Trading Ltd. ..................Colin Smith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Deutsche Bank Securities Inc. ................................(6)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Diaco Investments LP. ........................................Simon Glick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Double Black Diamond Offshore LDC. ...........................Clint D. Carlson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Georgia Firefighters Pension Fund.............................Maren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GLG Market Neutral Fund.......................................(7)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Guggenheim Portfolio Co. XV, LLC.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HFR CA Global Select Master Trust Account. ...................Nathanial Brown and Robert Richardson</w:t>
      </w:r>
    </w:p>
    <w:p>
      <w:pPr>
        <w:spacing w:after="0" w:line="342" w:lineRule="exact"/>
        <w:rPr>
          <w:sz w:val="20"/>
          <w:szCs w:val="20"/>
          <w:color w:val="auto"/>
        </w:rPr>
      </w:pPr>
    </w:p>
    <w:p>
      <w:pPr>
        <w:ind w:right="1840"/>
        <w:spacing w:after="0" w:line="464" w:lineRule="auto"/>
        <w:rPr>
          <w:sz w:val="20"/>
          <w:szCs w:val="20"/>
          <w:color w:val="auto"/>
        </w:rPr>
      </w:pPr>
      <w:r>
        <w:rPr>
          <w:rFonts w:ascii="Courier New" w:cs="Courier New" w:eastAsia="Courier New" w:hAnsi="Courier New"/>
          <w:sz w:val="14"/>
          <w:szCs w:val="14"/>
          <w:color w:val="auto"/>
        </w:rPr>
        <w:t>HSBC Asset Management (Americas) Inc. for the HSBC Multi-Strategy Arbitrage Fund.................................Warren Stein and John Moore Stanley Huntrise Capital Leveraged Partners, LLC. ....................Thomas J. Ray Indianapolis Life Insurance Co. ..............................Thomas J. Ray Inflective Convertible Opportunity Fund I, L.P. ..............Thomas J. Ray Inflective Convertible Opportunity Fund I, LTD. ..............Thomas J. Ray Injured Workers Insurance Fund................................Maren Lindstrom</w:t>
      </w:r>
    </w:p>
    <w:p>
      <w:pPr>
        <w:sectPr>
          <w:pgSz w:w="11900" w:h="16987" w:orient="portrait"/>
          <w:cols w:equalWidth="0" w:num="1">
            <w:col w:w="10260"/>
          </w:cols>
          <w:pgMar w:left="220" w:top="453" w:right="1419" w:bottom="0" w:gutter="0" w:footer="0" w:header="0"/>
          <w:type w:val="continuous"/>
        </w:sectPr>
      </w:pPr>
    </w:p>
    <w:bookmarkStart w:id="68" w:name="page69"/>
    <w:bookmarkEnd w:id="68"/>
    <w:p>
      <w:pPr>
        <w:spacing w:after="0"/>
        <w:rPr>
          <w:sz w:val="20"/>
          <w:szCs w:val="20"/>
          <w:color w:val="auto"/>
        </w:rPr>
      </w:pPr>
      <w:r>
        <w:rPr>
          <w:rFonts w:ascii="Courier New" w:cs="Courier New" w:eastAsia="Courier New" w:hAnsi="Courier New"/>
          <w:sz w:val="14"/>
          <w:szCs w:val="14"/>
          <w:color w:val="auto"/>
        </w:rPr>
        <w:t>Intl. Truck &amp; Engine Corp. Non Contributory Retirement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Trust....................................................Maren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Intl. Truck &amp; Engine Corp. Retirement Plan for Salaried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 Trust..............................................Maren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Jefferies Umbrella Fund US Convertible Bonds..................Andre Sager and Evelyne Kaser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JP Morgan Securities Inc. ....................................Craig Petherick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KBC Financial Products USA Inc. ..............................(8)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KeySpan Foundation............................................Maren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KeySpan Insurance Company.....................................Maren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Lord Abbett Investment Trust - LA Convertible Fund............Maren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Lydian Overseas Partners Master Fund..........................(9)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Lydian Global Opportunities Master Fund Limited...............(9)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Lyxor/AM Investment Fund LTD. ................................(3)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Lyxor/Context Fund LTD. ......................................Michael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Lyxor/Inflective Convertible Opportunity Fund LTD. ...........Thomas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Lyxor Master Fund Ref: Argent/LowLev CB c/o Argent............Nathanial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Bank of Canada.......................................Michael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Benefit Life Insurance Company.......................David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Nomura Securities Int'l Inc. .................................Simon Pharr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Partners Group Alternative Strategies PCC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Primerica Life Insurance Company..............................David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R2 Investments, LDC. .........................................(10)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Radian Asset Assurance, Inc. .................................Maren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Radian Group Convertible Securities...........................Maren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Radian Guaranty...............................................Maren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Ramius Capital Group..........................................Alex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Ramius Master Fund, LTD.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RCG Halifax Master Fund, LTD.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RCG Latitude Master Fund, LTD.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RCG Multi Strategy Master Fund, LTD.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Royal Bank of Canada (Norshield)..............................Michael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Silver Convertible Arbitrage Fund, LDC.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Sphinx Convertible Arbitrage Fund SPC. .......................Colin Smith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Teachers Insurance and Annuity Association of America.........Elizabeth Black and Edward L. Toy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Thrivent Financial For Lutherans..............................(11)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Thomas Weisel Partners........................................Tim Heekin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Fina Elf Finance USA, Inc. .............................Maren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Travelers Insurance Company - Life............................David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Travelers Insurance Company Separate Account TLAC.............David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Travelers Life and Annuity Company............................David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Travelers Series Trust Convertible Bond Portfolio.............David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University of Arkansas........................................Maren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University of Arkansas Foundation.............................Maren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Univest Convertible Arbitrage Fund II LTD (Norshield).........Michael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Vermont Mutual Insurance Company..............................Maren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White River Securities L.L.C..................................Yan Erlikh &amp; David Liebowitz</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Worldwide Transactions Ltd. ..................................(12)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Xavex Convertible Arbitrage 5 Fund............................Alex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Xavex Convertible Arbitrage 10 Fund...........................Nathanial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Xavex Convertible Arbitrage 2 Fund............................Nathanial Brown and Robert Richardson</w:t>
      </w:r>
    </w:p>
    <w:p>
      <w:pPr>
        <w:sectPr>
          <w:pgSz w:w="11900" w:h="16838" w:orient="portrait"/>
          <w:cols w:equalWidth="0" w:num="1">
            <w:col w:w="10239"/>
          </w:cols>
          <w:pgMar w:left="220" w:top="308" w:right="1440" w:bottom="0" w:gutter="0" w:footer="0" w:header="0"/>
        </w:sectPr>
      </w:pPr>
    </w:p>
    <w:bookmarkStart w:id="69" w:name="page70"/>
    <w:bookmarkEnd w:id="69"/>
    <w:p>
      <w:pPr>
        <w:ind w:left="791" w:right="3379" w:hanging="791"/>
        <w:spacing w:after="0" w:line="254" w:lineRule="auto"/>
        <w:tabs>
          <w:tab w:leader="none" w:pos="79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securityholder is a wholly owned subsidiary of The Allstate Corporation, a reporting entity with the Securities and Exchange Commission. The Allstate Corporation has voting and investment control over the securities held by the securityholder.</w:t>
      </w:r>
    </w:p>
    <w:p>
      <w:pPr>
        <w:spacing w:after="0" w:line="163" w:lineRule="exact"/>
        <w:rPr>
          <w:rFonts w:ascii="Courier New" w:cs="Courier New" w:eastAsia="Courier New" w:hAnsi="Courier New"/>
          <w:sz w:val="14"/>
          <w:szCs w:val="14"/>
          <w:color w:val="auto"/>
        </w:rPr>
      </w:pPr>
    </w:p>
    <w:p>
      <w:pPr>
        <w:ind w:left="791" w:right="3279" w:hanging="791"/>
        <w:spacing w:after="0" w:line="253" w:lineRule="auto"/>
        <w:tabs>
          <w:tab w:leader="none" w:pos="79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Archeus Capital Management, LLC is the Investment Manager for The Animi Master Fund, Ltd., the selling securityholder. Peter Hirsch is a Managing Member of Archeus Capital Management, LLC and its Chief Investment Officer on behalf of The Animi Master Fund, Ltd. and, as a result, exercises voting and dispositive power of the securities held by the selling securityholder. Mr. Hirsch disclaims beneficial ownership of the securities held by Animi Master Fund, Ltd.</w:t>
      </w:r>
    </w:p>
    <w:p>
      <w:pPr>
        <w:spacing w:after="0" w:line="164" w:lineRule="exact"/>
        <w:rPr>
          <w:rFonts w:ascii="Courier New" w:cs="Courier New" w:eastAsia="Courier New" w:hAnsi="Courier New"/>
          <w:sz w:val="14"/>
          <w:szCs w:val="14"/>
          <w:color w:val="auto"/>
        </w:rPr>
      </w:pPr>
    </w:p>
    <w:p>
      <w:pPr>
        <w:ind w:left="791" w:right="3279" w:hanging="791"/>
        <w:spacing w:after="0" w:line="254" w:lineRule="auto"/>
        <w:tabs>
          <w:tab w:leader="none" w:pos="79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 Investment Partners LLC has the authority to vote over the Company's securities as Investment Managers. The principals of AM Investment Partners LLC are Adam Stern and Mark Friedman and as a result, they exercise voting and investment control over the securities held by the selling securityholder.</w:t>
      </w:r>
    </w:p>
    <w:p>
      <w:pPr>
        <w:spacing w:after="0" w:line="162" w:lineRule="exact"/>
        <w:rPr>
          <w:rFonts w:ascii="Courier New" w:cs="Courier New" w:eastAsia="Courier New" w:hAnsi="Courier New"/>
          <w:sz w:val="14"/>
          <w:szCs w:val="14"/>
          <w:color w:val="auto"/>
        </w:rPr>
      </w:pPr>
    </w:p>
    <w:p>
      <w:pPr>
        <w:ind w:left="791" w:right="3379" w:hanging="791"/>
        <w:spacing w:after="0" w:line="253" w:lineRule="auto"/>
        <w:tabs>
          <w:tab w:leader="none" w:pos="79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Citadel Limited Partnership ("Citadel") is the trading manager of this securityholder and consequently has investment discretion over the referenced securities held by the securityholder. Citadel disclaims beneficial ownership of the shares beneficially owned by the securityholder. Kenneth C. Griffin indirectly controls Citadel and therefore has ultimate investment discretion over securities held by the securityholder. Mr. Griffin disclaims beneficial ownership of the shares held by the securityholder.</w:t>
      </w:r>
    </w:p>
    <w:p>
      <w:pPr>
        <w:spacing w:after="0" w:line="164" w:lineRule="exact"/>
        <w:rPr>
          <w:rFonts w:ascii="Courier New" w:cs="Courier New" w:eastAsia="Courier New" w:hAnsi="Courier New"/>
          <w:sz w:val="14"/>
          <w:szCs w:val="14"/>
          <w:color w:val="auto"/>
        </w:rPr>
      </w:pPr>
    </w:p>
    <w:p>
      <w:pPr>
        <w:ind w:left="791" w:right="3899" w:hanging="791"/>
        <w:spacing w:after="0" w:line="255" w:lineRule="auto"/>
        <w:tabs>
          <w:tab w:leader="none" w:pos="79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Citigroup Global Markets Inc. is an indirect wholly owned subsidiary of Citigroup Inc., which is a reporting company under the Exchange Act.</w:t>
      </w:r>
    </w:p>
    <w:p>
      <w:pPr>
        <w:spacing w:after="0" w:line="162" w:lineRule="exact"/>
        <w:rPr>
          <w:rFonts w:ascii="Courier New" w:cs="Courier New" w:eastAsia="Courier New" w:hAnsi="Courier New"/>
          <w:sz w:val="14"/>
          <w:szCs w:val="14"/>
          <w:color w:val="auto"/>
        </w:rPr>
      </w:pPr>
    </w:p>
    <w:p>
      <w:pPr>
        <w:ind w:left="791" w:right="4239" w:hanging="791"/>
        <w:spacing w:after="0" w:line="258" w:lineRule="auto"/>
        <w:tabs>
          <w:tab w:leader="none" w:pos="79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securityholder is a reporting entity with the Securities and Exchange Commission.</w:t>
      </w:r>
    </w:p>
    <w:p>
      <w:pPr>
        <w:spacing w:after="0" w:line="159" w:lineRule="exact"/>
        <w:rPr>
          <w:rFonts w:ascii="Courier New" w:cs="Courier New" w:eastAsia="Courier New" w:hAnsi="Courier New"/>
          <w:sz w:val="14"/>
          <w:szCs w:val="14"/>
          <w:color w:val="auto"/>
        </w:rPr>
      </w:pPr>
    </w:p>
    <w:p>
      <w:pPr>
        <w:ind w:left="791" w:right="3279" w:hanging="791"/>
        <w:spacing w:after="0" w:line="253" w:lineRule="auto"/>
        <w:tabs>
          <w:tab w:leader="none" w:pos="79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GLG Market Neutral Fund is a publicly owned company listed on the Irish Stock Exchange. GLG Partners LP, an English limited partnership, acts as the investment manager of the fund and has voting and dispositive power over the securities held by the fund. The general partner of GLG Partners LP GLG Partners Limited, an English limited company. The shareholders of GLG Partners Limited are Noam Gottesman, Pierre Lagrange, Jonathan Green, Philippe Jabre and Lehman (Cayman) Limited, a subsidiary of Lehman Brothers, Inc., a publicly held entity, and as a result, each has voting and dispositive power over the securities held by the selling securityholder. GLG Partners LP, GLG Partners Limited, Noam Gottesman, Pierre Lagrange, Jonathan Green, Philippe Jabre and Lehman (Cayman) Limited disclaim beneficial ownership of the securities held by the fund, except for their pecuniary interest therein.</w:t>
      </w:r>
    </w:p>
    <w:p>
      <w:pPr>
        <w:spacing w:after="0" w:line="163" w:lineRule="exact"/>
        <w:rPr>
          <w:rFonts w:ascii="Courier New" w:cs="Courier New" w:eastAsia="Courier New" w:hAnsi="Courier New"/>
          <w:sz w:val="14"/>
          <w:szCs w:val="14"/>
          <w:color w:val="auto"/>
        </w:rPr>
      </w:pPr>
    </w:p>
    <w:p>
      <w:pPr>
        <w:ind w:left="791" w:right="3279" w:hanging="791"/>
        <w:spacing w:after="0" w:line="254" w:lineRule="auto"/>
        <w:tabs>
          <w:tab w:leader="none" w:pos="79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KBC Financial Products USA Inc. exercises voting and investment control over any ordinary shares issuable upon conversion of the notes owned by this selling securityholder. Luke Edwards, Managing Director, exercises voting and investment control on behalf of KBC Financial Products USA Inc.</w:t>
      </w:r>
    </w:p>
    <w:p>
      <w:pPr>
        <w:spacing w:after="0" w:line="162" w:lineRule="exact"/>
        <w:rPr>
          <w:rFonts w:ascii="Courier New" w:cs="Courier New" w:eastAsia="Courier New" w:hAnsi="Courier New"/>
          <w:sz w:val="14"/>
          <w:szCs w:val="14"/>
          <w:color w:val="auto"/>
        </w:rPr>
      </w:pPr>
    </w:p>
    <w:p>
      <w:pPr>
        <w:ind w:left="791" w:right="3379" w:hanging="791"/>
        <w:spacing w:after="0" w:line="254" w:lineRule="auto"/>
        <w:tabs>
          <w:tab w:leader="none" w:pos="79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Lydian Asset Management is the investment advisor for the selling securityholder. David Friezo is a principal of Lydian Asset Management and, as a result, exercises voting and dispositive power over the securities held by the selling securityholder.</w:t>
      </w:r>
    </w:p>
    <w:p>
      <w:pPr>
        <w:spacing w:after="0" w:line="163" w:lineRule="exact"/>
        <w:rPr>
          <w:rFonts w:ascii="Courier New" w:cs="Courier New" w:eastAsia="Courier New" w:hAnsi="Courier New"/>
          <w:sz w:val="14"/>
          <w:szCs w:val="14"/>
          <w:color w:val="auto"/>
        </w:rPr>
      </w:pPr>
    </w:p>
    <w:p>
      <w:pPr>
        <w:jc w:val="both"/>
        <w:ind w:left="791" w:right="3379" w:hanging="791"/>
        <w:spacing w:after="0" w:line="252" w:lineRule="auto"/>
        <w:tabs>
          <w:tab w:leader="none" w:pos="79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Amalgamated Gadget, L.P. has the sole power to vote or direct the vote and to dispose or direct the disposition of the securities pursuant to an Investment Management Agreement with R2 Investments, LDC.</w:t>
      </w:r>
    </w:p>
    <w:p>
      <w:pPr>
        <w:spacing w:after="0" w:line="1" w:lineRule="exact"/>
        <w:rPr>
          <w:rFonts w:ascii="Courier New" w:cs="Courier New" w:eastAsia="Courier New" w:hAnsi="Courier New"/>
          <w:sz w:val="14"/>
          <w:szCs w:val="14"/>
          <w:color w:val="auto"/>
        </w:rPr>
      </w:pPr>
    </w:p>
    <w:p>
      <w:pPr>
        <w:jc w:val="both"/>
        <w:ind w:left="791" w:right="34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Amalgamated Gadget, L.P. is controlled by Scepter Holdings, Inc., its sole general partner, which is in turn controlled by Geoffrey Raynor, the president and sole shareholder of Scepter Holdings, Inc.</w:t>
      </w:r>
    </w:p>
    <w:p>
      <w:pPr>
        <w:spacing w:after="0" w:line="162" w:lineRule="exact"/>
        <w:rPr>
          <w:rFonts w:ascii="Courier New" w:cs="Courier New" w:eastAsia="Courier New" w:hAnsi="Courier New"/>
          <w:sz w:val="14"/>
          <w:szCs w:val="14"/>
          <w:color w:val="auto"/>
        </w:rPr>
      </w:pPr>
    </w:p>
    <w:p>
      <w:pPr>
        <w:ind w:left="791" w:hanging="791"/>
        <w:spacing w:after="0"/>
        <w:tabs>
          <w:tab w:leader="none" w:pos="79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John Pickering, Michael Swendsen, Mark Swanson and Rand Mattsson</w:t>
      </w:r>
    </w:p>
    <w:p>
      <w:pPr>
        <w:spacing w:after="0" w:line="175" w:lineRule="exact"/>
        <w:rPr>
          <w:rFonts w:ascii="Courier New" w:cs="Courier New" w:eastAsia="Courier New" w:hAnsi="Courier New"/>
          <w:sz w:val="14"/>
          <w:szCs w:val="14"/>
          <w:color w:val="auto"/>
        </w:rPr>
      </w:pPr>
    </w:p>
    <w:p>
      <w:pPr>
        <w:ind w:left="791" w:right="3279" w:hanging="791"/>
        <w:spacing w:after="0" w:line="253" w:lineRule="auto"/>
        <w:tabs>
          <w:tab w:leader="none" w:pos="79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an Investment Management Agreement between Carlson Capital, L.P. and Worldwide Transactions Ltd., Carlson Capital, L.P. exercises voting and investment control over the securities held by the selling securityholder. Clint D. Carlson is the CIO of Carlson Capital, L.P. and therefore exercises voting and investment control over the securities held by the selling securityholder. Mr. Carlson disclaims beneficial ownership of the securities held by the selling securityholder.</w:t>
      </w:r>
    </w:p>
    <w:p>
      <w:pPr>
        <w:sectPr>
          <w:pgSz w:w="11900" w:h="16838" w:orient="portrait"/>
          <w:cols w:equalWidth="0" w:num="1">
            <w:col w:w="10230"/>
          </w:cols>
          <w:pgMar w:left="229" w:top="809" w:right="1440" w:bottom="1440" w:gutter="0" w:footer="0" w:header="0"/>
        </w:sectPr>
      </w:pPr>
    </w:p>
    <w:bookmarkStart w:id="70" w:name="page71"/>
    <w:bookmarkEnd w:id="70"/>
    <w:p>
      <w:pPr>
        <w:ind w:left="2620"/>
        <w:spacing w:after="0"/>
        <w:rPr>
          <w:sz w:val="20"/>
          <w:szCs w:val="20"/>
          <w:color w:val="auto"/>
        </w:rPr>
      </w:pPr>
      <w:r>
        <w:rPr>
          <w:rFonts w:ascii="Courier New" w:cs="Courier New" w:eastAsia="Courier New" w:hAnsi="Courier New"/>
          <w:sz w:val="14"/>
          <w:szCs w:val="14"/>
          <w:color w:val="auto"/>
        </w:rPr>
        <w:t>PLAN OF DISTRIBUTION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not receive any of the proceeds from the sale of the notes and the ordinary shares issuable upon conversion of the notes offered by this prospectus. The selling securityholders may offer and sell the notes and ordinary shares covered by this prospectus from time to time. The selling securityholders will act independently of us in making decisions with respect to the timing, manner and size of each sale. If the notes and the ordinary shares issuable upon conversion of the notes are sold through underwriters, broker-dealers or agents, the selling securityholders will be responsible for underwriting discounts or commissions or agent's commissions. Such notes and shares may be sold in one or more transactions at fixed prices, at prevailing market prices at the time of sale, at varying prices determined at the time or at negotiated prices. Such sales may be effected in one or more transactions, which may involve block transactions:</w:t>
      </w:r>
    </w:p>
    <w:p>
      <w:pPr>
        <w:spacing w:after="0" w:line="330" w:lineRule="exact"/>
        <w:rPr>
          <w:sz w:val="20"/>
          <w:szCs w:val="20"/>
          <w:color w:val="auto"/>
        </w:rPr>
      </w:pPr>
    </w:p>
    <w:p>
      <w:pPr>
        <w:jc w:val="both"/>
        <w:ind w:left="1320" w:right="3279" w:hanging="530"/>
        <w:spacing w:after="0" w:line="258" w:lineRule="auto"/>
        <w:tabs>
          <w:tab w:leader="none" w:pos="13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any national securities exchange or quotation service on which the notes and shares may be listed or quoted at the time of sale;</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over-the-counter market; or</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transactions otherwise than on such exchanges or services or in the over-the-counter market.</w:t>
      </w:r>
    </w:p>
    <w:p>
      <w:pPr>
        <w:spacing w:after="0" w:line="160"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In addition, the selling securityholders may sell ordinary shares issuable upon conversion of the notes by one or more of, or a combination of, the following methods:</w:t>
      </w:r>
    </w:p>
    <w:p>
      <w:pPr>
        <w:spacing w:after="0" w:line="162" w:lineRule="exact"/>
        <w:rPr>
          <w:sz w:val="20"/>
          <w:szCs w:val="20"/>
          <w:color w:val="auto"/>
        </w:rPr>
      </w:pPr>
    </w:p>
    <w:p>
      <w:pPr>
        <w:ind w:left="1320" w:right="3539" w:hanging="530"/>
        <w:spacing w:after="0" w:line="258" w:lineRule="auto"/>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purchases by a broker-dealer as principal and resale by such broker-dealer for its own account pursuant to this prospectus;</w:t>
      </w:r>
    </w:p>
    <w:p>
      <w:pPr>
        <w:spacing w:after="0" w:line="159" w:lineRule="exact"/>
        <w:rPr>
          <w:rFonts w:ascii="Courier New" w:cs="Courier New" w:eastAsia="Courier New" w:hAnsi="Courier New"/>
          <w:sz w:val="14"/>
          <w:szCs w:val="14"/>
          <w:color w:val="auto"/>
        </w:rPr>
      </w:pPr>
    </w:p>
    <w:p>
      <w:pPr>
        <w:ind w:left="1320" w:right="3639" w:hanging="530"/>
        <w:spacing w:after="0" w:line="258" w:lineRule="auto"/>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ordinary brokerage transactions and transactions in which the broker solicits purchasers;</w:t>
      </w:r>
    </w:p>
    <w:p>
      <w:pPr>
        <w:spacing w:after="0" w:line="159"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block trades in which the broker-dealer so engaged will attempt to sell the shares as agent but may position and resell a portion of the block as principal to facilitate the transaction;</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privately negotiated transactions; and</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options transactions.</w:t>
      </w:r>
    </w:p>
    <w:p>
      <w:pPr>
        <w:spacing w:after="0" w:line="175"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In addition, the selling securityholders may sell any shares that qualify for sale under Rule 144 rather than pursuant to this prospectus.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To the extent required, this prospectus may be amended or supplemented from time to time to describe a specific plan of distribution. In connection with distributions of the notes and the ordinary shares issuable upon conversion of the notes, the selling securityholders may pledge the notes and the ordinary shares issuable upon conversion of the notes to a broker-dealer or other financial institution, and, upon a default, such broker-dealer or other financial institution, may effect sales of the pledged notes and the ordinary shares issuable upon conversion of the notes pursuant to this prospectus, as supplemented or amended to reflect such transaction. The selling securityholders may also loan the notes and the ordinary shares issuable upon conversion of the notes to a broker-dealer that in turn may sell the securities.</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In effecting sales, broker-dealers or agents engaged by the selling securityholders may arrange for other broker-dealers to participate. Broker-dealers or agents may receive commissions, discounts or concessions from the selling securityholders in customary or specifically negotiated amounts.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In offering the notes and ordinary shares issuable upon conversion of the notes covered by this prospectus, the selling securityholders and any broker-dealers who execute sales for the selling securityholders may be treated as "underwriters" within the meaning of the Securities Act in connection</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620" w:right="1440" w:bottom="1440" w:gutter="0" w:footer="0" w:header="0"/>
        </w:sectPr>
      </w:pPr>
    </w:p>
    <w:bookmarkStart w:id="71" w:name="page72"/>
    <w:bookmarkEnd w:id="71"/>
    <w:p>
      <w:pPr>
        <w:ind w:right="3459"/>
        <w:spacing w:after="0" w:line="255" w:lineRule="auto"/>
        <w:rPr>
          <w:sz w:val="20"/>
          <w:szCs w:val="20"/>
          <w:color w:val="auto"/>
        </w:rPr>
      </w:pPr>
      <w:r>
        <w:rPr>
          <w:rFonts w:ascii="Courier New" w:cs="Courier New" w:eastAsia="Courier New" w:hAnsi="Courier New"/>
          <w:sz w:val="14"/>
          <w:szCs w:val="14"/>
          <w:color w:val="auto"/>
        </w:rPr>
        <w:t>with such sales. Any profits realized by the selling securityholders and the compensation of any broker-dealer may be treated as underwriting discounts and commissions.</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Our ordinary shares are listed on the New York Stock Exchange.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order to comply with the securities laws of some states, if applicable, the selling securityholders may be required to sell their notes and ordinary shares issuable upon conversion of the notes in such jurisdictions only through registered or licensed brokers or dealers. In addition, some states may restrict the selling securityholders from selling notes and ordinary shares issuable upon conversion of the notes unless the securities have been registered or qualified for sale in the applicable state or an exemption from the registration or qualification requirement is available and is complied with.</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advised the selling securityholders that the anti-manipulation rules of Regulation M under the Exchange Act may apply to sales of notes and ordinary shares issuable upon conversion of the notes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which may include delivery through the facilities of the New York Stock Exchange pursuant to Rule 153 under the Securities Act with respect to our ordinary shares. The selling securityholders may indemnify any broker-dealer that participates in transactions involving the sale of the notes and ordinary shares issuable upon conversion of the notes against certain liabilities, including liabilities arising under the Securities Act.</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At the time a particular offer of notes and ordinary shares issuable upon conversion of the notes is made, if required, we will distribute a prospectus supplement that will set forth the number of notes and ordinary shares issuable upon conversion of the notes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In addition, to the extent required, we may amend or supplement this prospectus from time to time to describe a particular plan of distribution.</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 addition, upon receiving notice from a selling securityholder that a donee, pledgee or transferee or other successor-in-interest intends to sell notes or ordinary shares covered by this prospectus, we will file a supplement to this prospectus pursuant to Rule 424(b) under the Securities Act to identify the transferee.</w:t>
      </w:r>
    </w:p>
    <w:p>
      <w:pPr>
        <w:spacing w:after="0" w:line="162"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We have agreed to indemnify the selling securityholders against certain liabilities, including certain liabilities under the Securities Act.</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agreed with the selling securityholders to keep the registration statement of which this prospectus constitutes a part effective until the earlier of (1) the date there are no longer any registrable securities and (2) the date on which all of the securities being offered hereby held by persons that are not our affiliates can be sold under Rule 144(k) under the Securities Act, whichever occurs first.</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620" w:right="1440" w:bottom="1440" w:gutter="0" w:footer="0" w:header="0"/>
        </w:sectPr>
      </w:pPr>
    </w:p>
    <w:bookmarkStart w:id="72" w:name="page73"/>
    <w:bookmarkEnd w:id="72"/>
    <w:p>
      <w:pPr>
        <w:spacing w:after="0" w:line="13"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LEGAL MATTERS</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validity of the ordinary shares and the notes offered hereby will be passed upon for us by Carey Olsen, Island of Guernsey. Certain legal matters in connection with the offering will be passed upon for us by Wilmer Cutler Pickering Hale and Dorr LLP, New York, New York.</w:t>
      </w:r>
    </w:p>
    <w:p>
      <w:pPr>
        <w:spacing w:after="0" w:line="163" w:lineRule="exact"/>
        <w:rPr>
          <w:sz w:val="20"/>
          <w:szCs w:val="20"/>
          <w:color w:val="auto"/>
        </w:rPr>
      </w:pPr>
    </w:p>
    <w:p>
      <w:pPr>
        <w:jc w:val="both"/>
        <w:ind w:right="3279" w:firstLine="781"/>
        <w:spacing w:after="0" w:line="252" w:lineRule="auto"/>
        <w:rPr>
          <w:sz w:val="20"/>
          <w:szCs w:val="20"/>
          <w:color w:val="auto"/>
        </w:rPr>
      </w:pPr>
      <w:r>
        <w:rPr>
          <w:rFonts w:ascii="Courier New" w:cs="Courier New" w:eastAsia="Courier New" w:hAnsi="Courier New"/>
          <w:sz w:val="14"/>
          <w:szCs w:val="14"/>
          <w:color w:val="auto"/>
        </w:rPr>
        <w:t>Carey Olson has rendered an opinion as to the validity of the Notes and Wilmer Cutler Pickering Hale and Dorr LLP has rendered an opinion that the Notes are binding obligations of the Company under the laws of the state of New York.</w:t>
      </w:r>
    </w:p>
    <w:p>
      <w:pPr>
        <w:spacing w:after="0" w:line="1"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The foregoing opinions are exhibits to the registration statement of which this prospectus is included and are subject to the qualifications and assumptions set forth in such opinions.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EXPERTS</w:t>
      </w:r>
    </w:p>
    <w:p>
      <w:pPr>
        <w:spacing w:after="0" w:line="17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The consolidated financial statements and schedule of Amdocs Limited appearing in Amdocs Limited's Annual Report (Form 20-F) for the year ended September 30, 2003, have been audited by Ernst &amp; Young LLP, independent registered public accountants, as set forth in their report thereon included therein and incorporated herein by reference. Such consolidated financial statements and schedule are incorporated herein by reference in reliance upon such report given on the authority of such firm as experts in accounting and auditing.</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consolidated financial statements of Certen Inc. incorporated in this prospectus by reference from Amdocs Limited's Annual Report on Form 20-F/A (Amendment No. 1) for the year ended September 30, 2003, have been audited by Deloitte &amp; Touche LLP, an independent registered accounting firm as stated in their report, which is incorporated by reference and has been so incorporated in reliance upon the report of such firm given their authority as experts in accounting and auditing.</w:t>
      </w:r>
    </w:p>
    <w:p>
      <w:pPr>
        <w:spacing w:after="0" w:line="16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ENFORCEABILITY OF CIVIL LIABILITIES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incorporated under the laws of the Island of Guernsey. Several of our directors and officers are not residents of the United States, and a significant portion of our assets and the assets of those persons are located outside the United States. Where legal proceedings are commenced in the courts of the United States under the civil liability provisions of the U.S. federal securities laws against us, our officers or directors resident in a foreign country, or against any underwriters or experts named in the registration statement, the question of service will be governed by U.S. law for the purposes of the action.</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United States and the United Kingdom are parties to the Hague Convention of November 15, 1965 on the service abroad of judicial and extrajudicial documents in civil and commercial matters (the "Hague Convention") and the United Kingdom has extended the application of the Hague Convention to the Channel Islands, including Guernsey. It is expected that it would be possible for U.S. court documents to be served in Guernsey on us, our officers or directors, or any underwriters or experts named in the registration statement (provided such persons are resident in Guernsey) in the manners permitted under the terms of the Hague Convention.</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It is doubtful that the Royal Court of Guernsey would recognize service of Guernsey legal proceedings on us or any officer or director, or any underwriter or expert named in the registration statement, outside of Guernsey unless permission had first been obtained from that court so to do. The Royal Court of Guernsey does recognize service of Guernsey legal proceedings by the Sergeant's office in Guernsey on us at our registered office in Guernsey.</w:t>
      </w:r>
    </w:p>
    <w:p>
      <w:pPr>
        <w:spacing w:after="0" w:line="16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have been advised by Carey Olsen,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non-Guernsey resident investors obtained a judgment based on the civil liability provisions of the U.S. federal securities laws from the Royal Court of Guernsey against us, our officers or directors, underwriters or experts named in the registration statement, such judgment would be enforceable against any of the defendants in the same manner as any judgment of the Royal Court of Guernsey. That is to say that the judgment creditors would be entitled to enforce their judgment against any Guernsey assets (whether personalty or realty) of the judgment debtors.</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There is no statutory regime under which the reciprocal enforcement of judgments may be effected between the United States and Guernsey. However, subject to certain time and other limitations, the Royal Court of Guernsey may permit the foreign judgment creditor to sue in Guernsey on the foreign judgment.</w:t>
      </w:r>
    </w:p>
    <w:p>
      <w:pPr>
        <w:spacing w:after="0" w:line="2" w:lineRule="exact"/>
        <w:rPr>
          <w:sz w:val="20"/>
          <w:szCs w:val="20"/>
          <w:color w:val="auto"/>
        </w:rPr>
      </w:pPr>
    </w:p>
    <w:p>
      <w:pPr>
        <w:jc w:val="both"/>
        <w:ind w:right="3379" w:firstLine="781"/>
        <w:spacing w:after="0" w:line="255" w:lineRule="auto"/>
        <w:rPr>
          <w:sz w:val="20"/>
          <w:szCs w:val="20"/>
          <w:color w:val="auto"/>
        </w:rPr>
      </w:pPr>
      <w:r>
        <w:rPr>
          <w:rFonts w:ascii="Courier New" w:cs="Courier New" w:eastAsia="Courier New" w:hAnsi="Courier New"/>
          <w:sz w:val="14"/>
          <w:szCs w:val="14"/>
          <w:color w:val="auto"/>
        </w:rPr>
        <w:t>In order for the Royal Court of Guernsey to entertain an action to sue on a foreign judgment, it is expected that the following criteria would have to be met:</w:t>
      </w:r>
    </w:p>
    <w:p>
      <w:pPr>
        <w:spacing w:after="0" w:line="329" w:lineRule="exact"/>
        <w:rPr>
          <w:sz w:val="20"/>
          <w:szCs w:val="20"/>
          <w:color w:val="auto"/>
        </w:rPr>
      </w:pPr>
    </w:p>
    <w:p>
      <w:pPr>
        <w:ind w:left="800" w:right="3539" w:hanging="791"/>
        <w:spacing w:after="0" w:line="255" w:lineRule="auto"/>
        <w:tabs>
          <w:tab w:leader="none" w:pos="80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foreign court is recognized by the Royal Court of Guernsey as having jurisdiction to determine the dispute. It is likely that such jurisdiction will be recognized in the following circumstances:</w:t>
      </w:r>
    </w:p>
    <w:p>
      <w:pPr>
        <w:spacing w:after="0" w:line="162" w:lineRule="exact"/>
        <w:rPr>
          <w:rFonts w:ascii="Courier New" w:cs="Courier New" w:eastAsia="Courier New" w:hAnsi="Courier New"/>
          <w:sz w:val="14"/>
          <w:szCs w:val="14"/>
          <w:color w:val="auto"/>
        </w:rPr>
      </w:pPr>
    </w:p>
    <w:p>
      <w:pPr>
        <w:ind w:left="1220" w:right="3459" w:hanging="430"/>
        <w:spacing w:after="0" w:line="258" w:lineRule="auto"/>
        <w:tabs>
          <w:tab w:leader="none" w:pos="122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was present in the foreign country at the time the foreign proceedings were instituted;</w:t>
      </w:r>
    </w:p>
    <w:p>
      <w:pPr>
        <w:spacing w:after="0" w:line="159" w:lineRule="exact"/>
        <w:rPr>
          <w:rFonts w:ascii="Courier New" w:cs="Courier New" w:eastAsia="Courier New" w:hAnsi="Courier New"/>
          <w:sz w:val="14"/>
          <w:szCs w:val="14"/>
          <w:color w:val="auto"/>
        </w:rPr>
      </w:pPr>
    </w:p>
    <w:p>
      <w:pPr>
        <w:ind w:left="1220" w:right="3719" w:hanging="430"/>
        <w:spacing w:after="0" w:line="252" w:lineRule="auto"/>
        <w:tabs>
          <w:tab w:leader="none" w:pos="122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was claimant or counterclaimant in the proceedings in the foreign court;</w:t>
      </w:r>
    </w:p>
    <w:p>
      <w:pPr>
        <w:ind w:left="1220" w:right="3539" w:hanging="430"/>
        <w:spacing w:after="0" w:line="258" w:lineRule="auto"/>
        <w:tabs>
          <w:tab w:leader="none" w:pos="122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being a defendant in the foreign court, submitted to the jurisdiction of that court by voluntarily</w:t>
      </w:r>
    </w:p>
    <w:p>
      <w:pPr>
        <w:sectPr>
          <w:pgSz w:w="11900" w:h="16851" w:orient="portrait"/>
          <w:cols w:equalWidth="0" w:num="1">
            <w:col w:w="10239"/>
          </w:cols>
          <w:pgMar w:left="220" w:top="453" w:right="1440" w:bottom="0" w:gutter="0" w:footer="0" w:header="0"/>
        </w:sectPr>
      </w:pPr>
    </w:p>
    <w:bookmarkStart w:id="73" w:name="page74"/>
    <w:bookmarkEnd w:id="73"/>
    <w:p>
      <w:pPr>
        <w:ind w:left="1211"/>
        <w:spacing w:after="0"/>
        <w:rPr>
          <w:sz w:val="20"/>
          <w:szCs w:val="20"/>
          <w:color w:val="auto"/>
        </w:rPr>
      </w:pPr>
      <w:r>
        <w:rPr>
          <w:rFonts w:ascii="Courier New" w:cs="Courier New" w:eastAsia="Courier New" w:hAnsi="Courier New"/>
          <w:sz w:val="14"/>
          <w:szCs w:val="14"/>
          <w:color w:val="auto"/>
        </w:rPr>
        <w:t>appearing in the proceedings; or</w:t>
      </w:r>
    </w:p>
    <w:p>
      <w:pPr>
        <w:spacing w:after="0" w:line="8" w:lineRule="exact"/>
        <w:rPr>
          <w:sz w:val="20"/>
          <w:szCs w:val="20"/>
          <w:color w:val="auto"/>
        </w:rPr>
      </w:pPr>
    </w:p>
    <w:p>
      <w:pPr>
        <w:ind w:left="1211" w:right="3379" w:hanging="430"/>
        <w:spacing w:after="0" w:line="252" w:lineRule="auto"/>
        <w:tabs>
          <w:tab w:leader="none" w:pos="1211"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being a defendant in the original court, had before the commencement of the proceedings agreed, in respect of the subject matter of the proceedings to submit to the jurisdiction of that court or of the courts of that country.</w:t>
      </w:r>
    </w:p>
    <w:p>
      <w:pPr>
        <w:spacing w:after="0" w:line="1" w:lineRule="exact"/>
        <w:rPr>
          <w:rFonts w:ascii="Courier New" w:cs="Courier New" w:eastAsia="Courier New" w:hAnsi="Courier New"/>
          <w:sz w:val="14"/>
          <w:szCs w:val="14"/>
          <w:color w:val="auto"/>
        </w:rPr>
      </w:pPr>
    </w:p>
    <w:p>
      <w:pPr>
        <w:ind w:left="791" w:right="3279" w:hanging="791"/>
        <w:spacing w:after="0" w:line="254" w:lineRule="auto"/>
        <w:tabs>
          <w:tab w:leader="none" w:pos="79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foreign judgment was not obtained by fraud, is not contrary to public policy in Guernsey and the proceedings were not contrary to the principles of natural justice. This is likely to include the requirement that the judgment debtor was given sufficient notice of the proceedings.</w:t>
      </w:r>
    </w:p>
    <w:p>
      <w:pPr>
        <w:spacing w:after="0" w:line="163" w:lineRule="exact"/>
        <w:rPr>
          <w:rFonts w:ascii="Courier New" w:cs="Courier New" w:eastAsia="Courier New" w:hAnsi="Courier New"/>
          <w:sz w:val="14"/>
          <w:szCs w:val="14"/>
          <w:color w:val="auto"/>
        </w:rPr>
      </w:pPr>
    </w:p>
    <w:p>
      <w:pPr>
        <w:ind w:left="791"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foreign judgment must be final and conclusive on the merits and is for a definite sum of money, other than a sum in respect of taxes, fines or other penalties.</w:t>
      </w:r>
    </w:p>
    <w:p>
      <w:pPr>
        <w:spacing w:after="0" w:line="162"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0"/>
          </w:cols>
          <w:pgMar w:left="229" w:top="142" w:right="1440" w:bottom="1440" w:gutter="0" w:footer="0" w:header="0"/>
        </w:sectPr>
      </w:pPr>
    </w:p>
    <w:bookmarkStart w:id="74" w:name="page75"/>
    <w:bookmarkEnd w:id="74"/>
    <w:p>
      <w:pPr>
        <w:ind w:left="1840"/>
        <w:spacing w:after="0"/>
        <w:rPr>
          <w:sz w:val="20"/>
          <w:szCs w:val="20"/>
          <w:color w:val="auto"/>
        </w:rPr>
      </w:pPr>
      <w:r>
        <w:rPr>
          <w:rFonts w:ascii="Courier New" w:cs="Courier New" w:eastAsia="Courier New" w:hAnsi="Courier New"/>
          <w:sz w:val="14"/>
          <w:szCs w:val="14"/>
          <w:color w:val="auto"/>
        </w:rPr>
        <w:t>INCORPORATION OF DOCUMENTS BY REFERENCE</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incorporate by reference into this prospectus the documents listed below and any future filings we make with the SEC, under Sections 13(a), 13(c) or 15(d) of the Exchange Act, including any filings or submissions after the date of this prospectus, until the selling securityholders have sold all of the ordinary shares to which this prospectus relates:</w:t>
      </w:r>
    </w:p>
    <w:p>
      <w:pPr>
        <w:spacing w:after="0" w:line="162" w:lineRule="exact"/>
        <w:rPr>
          <w:sz w:val="20"/>
          <w:szCs w:val="20"/>
          <w:color w:val="auto"/>
        </w:rPr>
      </w:pPr>
    </w:p>
    <w:p>
      <w:pPr>
        <w:ind w:left="1220" w:right="3279" w:hanging="430"/>
        <w:spacing w:after="0" w:line="258"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annual report on Form 20-F for the fiscal year ended September 30, 2003, filed on December 24, 2003;</w:t>
      </w:r>
    </w:p>
    <w:p>
      <w:pPr>
        <w:spacing w:after="0" w:line="159" w:lineRule="exact"/>
        <w:rPr>
          <w:rFonts w:ascii="Courier New" w:cs="Courier New" w:eastAsia="Courier New" w:hAnsi="Courier New"/>
          <w:sz w:val="14"/>
          <w:szCs w:val="14"/>
          <w:color w:val="auto"/>
        </w:rPr>
      </w:pPr>
    </w:p>
    <w:p>
      <w:pPr>
        <w:ind w:left="1220" w:right="3459" w:hanging="430"/>
        <w:spacing w:after="0" w:line="258"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1 to our annual report on Form 20-F for the fiscal year ended September 30, 2003, filed on September 21, 2004;</w:t>
      </w:r>
    </w:p>
    <w:p>
      <w:pPr>
        <w:spacing w:after="0" w:line="326" w:lineRule="exact"/>
        <w:rPr>
          <w:rFonts w:ascii="Courier New" w:cs="Courier New" w:eastAsia="Courier New" w:hAnsi="Courier New"/>
          <w:sz w:val="14"/>
          <w:szCs w:val="14"/>
          <w:color w:val="auto"/>
        </w:rPr>
      </w:pPr>
    </w:p>
    <w:p>
      <w:pPr>
        <w:ind w:left="1220" w:right="3459" w:hanging="430"/>
        <w:spacing w:after="0" w:line="255"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reports on Form 6-K with respect to our offering of 0.50% Convertible Senior Notes due 2024, filed on March 1, March 2 and March 5, 2004;</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left="1220" w:right="3459" w:hanging="430"/>
        <w:spacing w:after="0" w:line="258"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reports on Form 6-K, filed on September 30, 2004 and October 1, 2004; and</w:t>
      </w:r>
    </w:p>
    <w:p>
      <w:pPr>
        <w:spacing w:after="0" w:line="200" w:lineRule="exact"/>
        <w:rPr>
          <w:rFonts w:ascii="Courier New" w:cs="Courier New" w:eastAsia="Courier New" w:hAnsi="Courier New"/>
          <w:sz w:val="14"/>
          <w:szCs w:val="14"/>
          <w:color w:val="auto"/>
        </w:rPr>
      </w:pPr>
    </w:p>
    <w:p>
      <w:pPr>
        <w:spacing w:after="0" w:line="293" w:lineRule="exact"/>
        <w:rPr>
          <w:rFonts w:ascii="Courier New" w:cs="Courier New" w:eastAsia="Courier New" w:hAnsi="Courier New"/>
          <w:sz w:val="14"/>
          <w:szCs w:val="14"/>
          <w:color w:val="auto"/>
        </w:rPr>
      </w:pPr>
    </w:p>
    <w:p>
      <w:pPr>
        <w:ind w:left="1220" w:right="3379" w:hanging="430"/>
        <w:spacing w:after="0" w:line="254"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our ordinary shares contained in our Registration Statement on Form 8-A filed on June 17, 1998 under Section 12 of the Exchange Act, including any amendment or report updating this description.</w:t>
      </w:r>
    </w:p>
    <w:p>
      <w:pPr>
        <w:spacing w:after="0" w:line="200" w:lineRule="exact"/>
        <w:rPr>
          <w:sz w:val="20"/>
          <w:szCs w:val="20"/>
          <w:color w:val="auto"/>
        </w:rPr>
      </w:pPr>
    </w:p>
    <w:p>
      <w:pPr>
        <w:spacing w:after="0" w:line="297"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The information incorporated by reference is an important part of this prospectus. Any statement in a document incorporated by reference into this prospectus will be deemed to be modified or superseded for purposes of this prospectus to the extent that a statement contained in (1) this prospectus or</w:t>
      </w:r>
    </w:p>
    <w:p>
      <w:pPr>
        <w:spacing w:after="0" w:line="2" w:lineRule="exact"/>
        <w:rPr>
          <w:sz w:val="20"/>
          <w:szCs w:val="20"/>
          <w:color w:val="auto"/>
        </w:rPr>
      </w:pPr>
    </w:p>
    <w:p>
      <w:pPr>
        <w:ind w:right="3279" w:firstLine="9"/>
        <w:spacing w:after="0" w:line="258" w:lineRule="auto"/>
        <w:tabs>
          <w:tab w:leader="none" w:pos="347"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subsequently filed document that is incorporated by reference into this prospectus modifies or supersedes such statement.</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You may request a copy of any or all of the documents referred to above other than exhibits to such documents that are not specifically incorporated by reference therein. Written or telephone requests should be directed to Thomas G. O'Brien, Secretary and Treasurer, Amdocs, Inc., 1390 Timberlake Manor Parkway, Chesterfield, Missouri 63017, telephone (314) 212-8328. Copies of such documents may also be obtained from various alternative sources. See "Where You Can Find More Information."</w:t>
      </w:r>
    </w:p>
    <w:p>
      <w:pPr>
        <w:spacing w:after="0" w:line="33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WHERE YOU CAN FIND MORE INFORMATION</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subject to the reporting requirements of foreign private issuers under the Exchange Act. Pursuant to the Exchange Act, we file reports with the SEC, including an Annual Report on Form 20-F, and we submit reports to the SEC, including Reports of Foreign Private Issuers on Form 6-K. These reports and other information may be inspected and copied at the Public Reference Section of the SEC at 450 Fifth Street, N.W, Judiciary Plaza, Washington, D.C. 20549-1004. Information on the operation of the Public Reference Room may be obtained by calling the SEC at 1-800-SEC-0330. Reports and information statements and other information filed electronically with the SEC are available at the SEC's website at http://www.sec.gov. Some of this information may also be found on our website at www.amdocs.com.</w:t>
      </w:r>
    </w:p>
    <w:p>
      <w:pPr>
        <w:spacing w:after="0" w:line="331"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This prospectus is part of a registration statement that we filed with the SEC. The registration statement contains more information than this prospectus regarding us and our ordinary shares, including certain exhibits and schedules. You can obtain a copy of the registration statement from the SEC at the address listed above or from the SEC's Internet site.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620" w:right="1440"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2"/>
        </w:trPr>
        <w:tc>
          <w:tcPr>
            <w:tcW w:w="782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UNAUDITED CONSOLIDATED FINANCIAL</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STATEMENTS FOR THE THREE AND NINE</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MONTH PERIODS ENDED JUNE 30, 2004</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7820" w:type="dxa"/>
            <w:vAlign w:val="bottom"/>
          </w:tcPr>
          <w:p>
            <w:pPr>
              <w:ind w:left="2880"/>
              <w:spacing w:after="0"/>
              <w:rPr>
                <w:sz w:val="20"/>
                <w:szCs w:val="20"/>
                <w:color w:val="auto"/>
              </w:rPr>
            </w:pPr>
            <w:r>
              <w:rPr>
                <w:rFonts w:ascii="Courier New" w:cs="Courier New" w:eastAsia="Courier New" w:hAnsi="Courier New"/>
                <w:sz w:val="14"/>
                <w:szCs w:val="14"/>
                <w:color w:val="auto"/>
              </w:rPr>
              <w:t>AMDOCS LIMITED</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7820" w:type="dxa"/>
            <w:vAlign w:val="bottom"/>
          </w:tcPr>
          <w:p>
            <w:pPr>
              <w:ind w:left="2360"/>
              <w:spacing w:after="0"/>
              <w:rPr>
                <w:sz w:val="20"/>
                <w:szCs w:val="20"/>
                <w:color w:val="auto"/>
              </w:rPr>
            </w:pPr>
            <w:r>
              <w:rPr>
                <w:rFonts w:ascii="Courier New" w:cs="Courier New" w:eastAsia="Courier New" w:hAnsi="Courier New"/>
                <w:sz w:val="14"/>
                <w:szCs w:val="14"/>
                <w:color w:val="auto"/>
              </w:rPr>
              <w:t>CONSOLIDATED BALANCE SHEETS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1660"/>
              <w:spacing w:after="0"/>
              <w:rPr>
                <w:sz w:val="20"/>
                <w:szCs w:val="20"/>
                <w:color w:val="auto"/>
              </w:rPr>
            </w:pPr>
            <w:r>
              <w:rPr>
                <w:rFonts w:ascii="Courier New" w:cs="Courier New" w:eastAsia="Courier New" w:hAnsi="Courier New"/>
                <w:sz w:val="14"/>
                <w:szCs w:val="14"/>
                <w:color w:val="auto"/>
              </w:rPr>
              <w:t>(in U.S. dollars, unless otherwise stated)</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1920"/>
              <w:spacing w:after="0"/>
              <w:rPr>
                <w:sz w:val="20"/>
                <w:szCs w:val="20"/>
                <w:color w:val="auto"/>
              </w:rPr>
            </w:pPr>
            <w:r>
              <w:rPr>
                <w:rFonts w:ascii="Courier New" w:cs="Courier New" w:eastAsia="Courier New" w:hAnsi="Courier New"/>
                <w:sz w:val="14"/>
                <w:szCs w:val="14"/>
                <w:color w:val="auto"/>
              </w:rPr>
              <w:t>(in thousands, except per share data)</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68"/>
        </w:trPr>
        <w:tc>
          <w:tcPr>
            <w:tcW w:w="7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As of</w:t>
            </w:r>
          </w:p>
        </w:tc>
        <w:tc>
          <w:tcPr>
            <w:tcW w:w="900" w:type="dxa"/>
            <w:vAlign w:val="bottom"/>
          </w:tcPr>
          <w:p>
            <w:pPr>
              <w:spacing w:after="0"/>
              <w:rPr>
                <w:sz w:val="24"/>
                <w:szCs w:val="24"/>
                <w:color w:val="auto"/>
              </w:rPr>
            </w:pPr>
          </w:p>
        </w:tc>
      </w:tr>
      <w:tr>
        <w:trPr>
          <w:trHeight w:val="167"/>
        </w:trPr>
        <w:tc>
          <w:tcPr>
            <w:tcW w:w="7820" w:type="dxa"/>
            <w:vAlign w:val="bottom"/>
          </w:tcPr>
          <w:p>
            <w:pPr>
              <w:spacing w:after="0"/>
              <w:rPr>
                <w:sz w:val="14"/>
                <w:szCs w:val="14"/>
                <w:color w:val="auto"/>
              </w:rPr>
            </w:pPr>
          </w:p>
        </w:tc>
        <w:tc>
          <w:tcPr>
            <w:tcW w:w="31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June 30,</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7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2004</w:t>
            </w:r>
          </w:p>
        </w:tc>
        <w:tc>
          <w:tcPr>
            <w:tcW w:w="3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spacing w:after="0"/>
              <w:rPr>
                <w:sz w:val="14"/>
                <w:szCs w:val="14"/>
                <w:color w:val="auto"/>
              </w:rPr>
            </w:pPr>
          </w:p>
        </w:tc>
        <w:tc>
          <w:tcPr>
            <w:tcW w:w="190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(Unaudited)</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9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492,446</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847,600</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Short-term interest-bearing investments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735,779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443,292</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 net</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270,560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198,274</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 and taxes receivable</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68,180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60,868</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66,769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85,902</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current assets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1,633,734</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1,635,936</w:t>
            </w: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Equipment, vehicles and leasehold improvements, net</w:t>
            </w:r>
          </w:p>
        </w:tc>
        <w:tc>
          <w:tcPr>
            <w:tcW w:w="92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174,801</w:t>
            </w:r>
          </w:p>
        </w:tc>
        <w:tc>
          <w:tcPr>
            <w:tcW w:w="3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203,467</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108,033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105,943</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803,606</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797,134</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Intangible assets, net</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52,653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58,841</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Other noncurrent assets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125,145</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76,196</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assets</w:t>
            </w: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$ 2,897,972</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$ 2,877,517</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w:t>
            </w:r>
          </w:p>
        </w:tc>
        <w:tc>
          <w:tcPr>
            <w:tcW w:w="9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93,540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101,116</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Accrued expenses and other current liabilities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141,044</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123,223</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Accrued personnel costs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126,959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106,857</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2% convertible notes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400,454</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Financing arrangements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2,076</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2,179</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230,952</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174,616</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Short-term portion of capital lease obligations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19,863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27,140</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 and taxes payable</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161,376</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133,002</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current liabilities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775,810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1,068,587</w:t>
            </w: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92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37,424</w:t>
            </w:r>
          </w:p>
        </w:tc>
        <w:tc>
          <w:tcPr>
            <w:tcW w:w="3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44,835</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0.50% convertible notes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450,000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Noncurrent liabilities and other</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151,777</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172,495</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liabilities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1,415,011</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1,285,917</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Preferred Shares - Authorized 25,000 shares;(pound)0.01 par value; 0 shares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440"/>
              <w:spacing w:after="0"/>
              <w:rPr>
                <w:sz w:val="20"/>
                <w:szCs w:val="20"/>
                <w:color w:val="auto"/>
              </w:rPr>
            </w:pPr>
            <w:r>
              <w:rPr>
                <w:rFonts w:ascii="Courier New" w:cs="Courier New" w:eastAsia="Courier New" w:hAnsi="Courier New"/>
                <w:sz w:val="14"/>
                <w:szCs w:val="14"/>
                <w:color w:val="auto"/>
              </w:rPr>
              <w:t>issued and outstanding</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Ordinary Shares - Authorized 550,000 shares;(pound)0.01 par value; 224,854 and</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440"/>
              <w:spacing w:after="0"/>
              <w:rPr>
                <w:sz w:val="20"/>
                <w:szCs w:val="20"/>
                <w:color w:val="auto"/>
              </w:rPr>
            </w:pPr>
            <w:r>
              <w:rPr>
                <w:rFonts w:ascii="Courier New" w:cs="Courier New" w:eastAsia="Courier New" w:hAnsi="Courier New"/>
                <w:sz w:val="14"/>
                <w:szCs w:val="14"/>
                <w:color w:val="auto"/>
              </w:rPr>
              <w:t>223,790 issued and 206,135 and 216,058 outstanding, respectively</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3,599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3,580</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paid-in capital</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1,836,743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1,820,956</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Treasury stock, at cost - 18,719 and 7,732 Ordinary Shares, respectively</w:t>
            </w:r>
          </w:p>
        </w:tc>
        <w:tc>
          <w:tcPr>
            <w:tcW w:w="9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(402,360)</w:t>
            </w: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(109,281)</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Accumulated other comprehensive (loss) income</w:t>
            </w:r>
          </w:p>
        </w:tc>
        <w:tc>
          <w:tcPr>
            <w:tcW w:w="9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3,715</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Unearned compensation</w:t>
            </w:r>
          </w:p>
        </w:tc>
        <w:tc>
          <w:tcPr>
            <w:tcW w:w="9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(571)</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Retained earnings (accumulated deficit)</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45,908</w:t>
            </w: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(127,370)</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shareholders' equity</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1,482,961</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1,591,600</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liabilities and shareholders' equity</w:t>
            </w: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$ 2,897,972</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$ 2,877,517</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8"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940"/>
          </w:cols>
          <w:pgMar w:left="220" w:top="453" w:right="739" w:bottom="1440" w:gutter="0" w:footer="0" w:header="0"/>
        </w:sectPr>
      </w:pPr>
    </w:p>
    <w:bookmarkStart w:id="76" w:name="page77"/>
    <w:bookmarkEnd w:id="76"/>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CONSOLIDATED STATEMENTS OF INCOME (UNAUDITED)</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Three months ended</w:t>
            </w:r>
          </w:p>
        </w:tc>
        <w:tc>
          <w:tcPr>
            <w:tcW w:w="220" w:type="dxa"/>
            <w:vAlign w:val="bottom"/>
          </w:tcPr>
          <w:p>
            <w:pPr>
              <w:spacing w:after="0"/>
              <w:rPr>
                <w:sz w:val="14"/>
                <w:szCs w:val="14"/>
                <w:color w:val="auto"/>
              </w:rPr>
            </w:pPr>
          </w:p>
        </w:tc>
        <w:tc>
          <w:tcPr>
            <w:tcW w:w="19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June 30,</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3700" w:type="dxa"/>
            <w:vAlign w:val="bottom"/>
          </w:tcPr>
          <w:p>
            <w:pPr>
              <w:spacing w:after="0"/>
              <w:rPr>
                <w:sz w:val="14"/>
                <w:szCs w:val="14"/>
                <w:color w:val="auto"/>
              </w:rPr>
            </w:pPr>
          </w:p>
        </w:tc>
        <w:tc>
          <w:tcPr>
            <w:tcW w:w="2260" w:type="dxa"/>
            <w:vAlign w:val="bottom"/>
            <w:gridSpan w:val="4"/>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w:t>
            </w:r>
          </w:p>
        </w:tc>
        <w:tc>
          <w:tcPr>
            <w:tcW w:w="40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2003</w:t>
            </w:r>
          </w:p>
        </w:tc>
        <w:tc>
          <w:tcPr>
            <w:tcW w:w="2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License (*)</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17,298</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11,491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52,026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51,176</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Service (*)</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432,926</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365,677</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1,269,251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1,020,392</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450,224</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377,168</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1,321,277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1,071,568</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Cost of license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1,448</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1,455</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3,807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4,137</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Cost of service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283,109</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230,323</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833,470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646,389</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Research and development</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31,665</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29,941</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92,247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88,888</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 administrative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52,745</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50,943</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159,078</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153,644</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purchased intangible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4,558</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4,524</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13,423</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14,303</w:t>
            </w:r>
          </w:p>
        </w:tc>
      </w:tr>
      <w:tr>
        <w:trPr>
          <w:trHeight w:val="167"/>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assets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Restructuring charges</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9,956</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373,525</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317,186</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1,102,025</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917,317</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30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76,699</w:t>
            </w:r>
          </w:p>
        </w:tc>
        <w:tc>
          <w:tcPr>
            <w:tcW w:w="40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59,982</w:t>
            </w:r>
          </w:p>
        </w:tc>
        <w:tc>
          <w:tcPr>
            <w:tcW w:w="22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219,252</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154,251</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Interest income and other, net (*)</w:t>
            </w:r>
          </w:p>
        </w:tc>
        <w:tc>
          <w:tcPr>
            <w:tcW w:w="30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w:t>
            </w:r>
          </w:p>
        </w:tc>
        <w:tc>
          <w:tcPr>
            <w:tcW w:w="40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3,269</w:t>
            </w:r>
          </w:p>
        </w:tc>
        <w:tc>
          <w:tcPr>
            <w:tcW w:w="22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2,899</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12,432</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76,820</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63,251</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222,151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166,683</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16,900</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15,813</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48,873</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41,671</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59,920</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47,438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173,278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0.29</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0.58</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0.28</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0.57</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Basic weighted average number of shares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outstanding</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206,093</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215,938</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210,409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215,786</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Diluted weighted average number of shares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outstanding</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211,801</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220,792</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216,186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218,953</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 See Note 4.</w:t>
      </w:r>
    </w:p>
    <w:p>
      <w:pPr>
        <w:spacing w:after="0" w:line="342"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453" w:right="1440" w:bottom="1440" w:gutter="0" w:footer="0" w:header="0"/>
        </w:sectPr>
      </w:pPr>
    </w:p>
    <w:bookmarkStart w:id="77" w:name="page78"/>
    <w:bookmarkEnd w:id="77"/>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CONSOLIDATED STATEMENT OF CHANGES IN SHAREHOLDERS' EQUITY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835"/>
        </w:trPr>
        <w:tc>
          <w:tcPr>
            <w:tcW w:w="2620" w:type="dxa"/>
            <w:vAlign w:val="bottom"/>
          </w:tcPr>
          <w:p>
            <w:pPr>
              <w:spacing w:after="0"/>
              <w:rPr>
                <w:sz w:val="24"/>
                <w:szCs w:val="24"/>
                <w:color w:val="auto"/>
              </w:rPr>
            </w:pPr>
          </w:p>
        </w:tc>
        <w:tc>
          <w:tcPr>
            <w:tcW w:w="24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Ordinary Shares</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Additional</w:t>
            </w:r>
          </w:p>
        </w:tc>
        <w:tc>
          <w:tcPr>
            <w:tcW w:w="1480" w:type="dxa"/>
            <w:vAlign w:val="bottom"/>
          </w:tcPr>
          <w:p>
            <w:pPr>
              <w:spacing w:after="0"/>
              <w:rPr>
                <w:sz w:val="24"/>
                <w:szCs w:val="24"/>
                <w:color w:val="auto"/>
              </w:rPr>
            </w:pP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Accumulated Other</w:t>
            </w:r>
          </w:p>
        </w:tc>
      </w:tr>
      <w:tr>
        <w:trPr>
          <w:trHeight w:val="167"/>
        </w:trPr>
        <w:tc>
          <w:tcPr>
            <w:tcW w:w="2620" w:type="dxa"/>
            <w:vAlign w:val="bottom"/>
          </w:tcPr>
          <w:p>
            <w:pPr>
              <w:spacing w:after="0"/>
              <w:rPr>
                <w:sz w:val="14"/>
                <w:szCs w:val="14"/>
                <w:color w:val="auto"/>
              </w:rPr>
            </w:pPr>
          </w:p>
        </w:tc>
        <w:tc>
          <w:tcPr>
            <w:tcW w:w="2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Paid-in</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Treasury</w:t>
            </w:r>
          </w:p>
        </w:tc>
        <w:tc>
          <w:tcPr>
            <w:tcW w:w="19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Comprehensive</w:t>
            </w:r>
          </w:p>
        </w:tc>
      </w:tr>
      <w:tr>
        <w:trPr>
          <w:trHeight w:val="167"/>
        </w:trPr>
        <w:tc>
          <w:tcPr>
            <w:tcW w:w="26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Shares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Capital</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Stock</w:t>
            </w:r>
          </w:p>
        </w:tc>
        <w:tc>
          <w:tcPr>
            <w:tcW w:w="19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(Loss) Income</w:t>
            </w:r>
          </w:p>
        </w:tc>
      </w:tr>
      <w:tr>
        <w:trPr>
          <w:trHeight w:val="167"/>
        </w:trPr>
        <w:tc>
          <w:tcPr>
            <w:tcW w:w="2620" w:type="dxa"/>
            <w:vAlign w:val="bottom"/>
          </w:tcPr>
          <w:p>
            <w:pPr>
              <w:spacing w:after="0"/>
              <w:rPr>
                <w:sz w:val="14"/>
                <w:szCs w:val="14"/>
                <w:color w:val="auto"/>
              </w:rPr>
            </w:pP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2620" w:type="dxa"/>
            <w:vAlign w:val="bottom"/>
          </w:tcPr>
          <w:p>
            <w:pPr>
              <w:spacing w:after="0"/>
              <w:rPr>
                <w:sz w:val="20"/>
                <w:szCs w:val="20"/>
                <w:color w:val="auto"/>
              </w:rPr>
            </w:pPr>
            <w:r>
              <w:rPr>
                <w:rFonts w:ascii="Courier New" w:cs="Courier New" w:eastAsia="Courier New" w:hAnsi="Courier New"/>
                <w:sz w:val="14"/>
                <w:szCs w:val="14"/>
                <w:color w:val="auto"/>
              </w:rPr>
              <w:t>Balance as of September</w:t>
            </w: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30, 2003</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216,058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$ 3,580</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$ 1,820,956</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(109,281)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3,715</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hedging contracts,</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net of $(991) tax</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(2,846)</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 cash</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equivalents and</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short-term</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interest-bearing</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investments, net of</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$(348) tax</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(1,227)</w:t>
            </w:r>
          </w:p>
        </w:tc>
      </w:tr>
      <w:tr>
        <w:trPr>
          <w:trHeight w:val="334"/>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Comprehensive income</w:t>
            </w: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01"/>
        </w:trPr>
        <w:tc>
          <w:tcPr>
            <w:tcW w:w="2620" w:type="dxa"/>
            <w:vAlign w:val="bottom"/>
          </w:tcPr>
          <w:p>
            <w:pPr>
              <w:spacing w:after="0"/>
              <w:rPr>
                <w:sz w:val="20"/>
                <w:szCs w:val="20"/>
                <w:color w:val="auto"/>
              </w:rPr>
            </w:pPr>
            <w:r>
              <w:rPr>
                <w:rFonts w:ascii="Courier New" w:cs="Courier New" w:eastAsia="Courier New" w:hAnsi="Courier New"/>
                <w:sz w:val="14"/>
                <w:szCs w:val="14"/>
                <w:color w:val="auto"/>
              </w:rPr>
              <w:t>Issuance of ordinary</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561</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747</w:t>
            </w:r>
          </w:p>
        </w:tc>
        <w:tc>
          <w:tcPr>
            <w:tcW w:w="1480" w:type="dxa"/>
            <w:vAlign w:val="bottom"/>
          </w:tcPr>
          <w:p>
            <w:pPr>
              <w:jc w:val="center"/>
              <w:ind w:left="8"/>
              <w:spacing w:after="0"/>
              <w:rPr>
                <w:sz w:val="20"/>
                <w:szCs w:val="20"/>
                <w:color w:val="auto"/>
              </w:rPr>
            </w:pPr>
            <w:r>
              <w:rPr>
                <w:rFonts w:ascii="Courier New" w:cs="Courier New" w:eastAsia="Courier New" w:hAnsi="Courier New"/>
                <w:sz w:val="14"/>
                <w:szCs w:val="14"/>
                <w:color w:val="auto"/>
              </w:rPr>
              <w:t>14,392</w:t>
            </w:r>
          </w:p>
        </w:tc>
        <w:tc>
          <w:tcPr>
            <w:tcW w:w="74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shares related to</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acquisition, net</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Employee stock options</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exercised</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1,064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11,345</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Tax benefit of stock</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options exercised</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2,738</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Repurchase of ordinary</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(11,548)</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(307,471)</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Expense related to vesting</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of stock options</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Stock options granted</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951</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Amortization of unearned</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compensation</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206,135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$ 3,599</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$ 1,836,743</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(402,360)</w:t>
            </w:r>
          </w:p>
        </w:tc>
        <w:tc>
          <w:tcPr>
            <w:tcW w:w="7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(358)</w:t>
            </w:r>
          </w:p>
        </w:tc>
      </w:tr>
      <w:tr>
        <w:trPr>
          <w:trHeight w:val="167"/>
        </w:trPr>
        <w:tc>
          <w:tcPr>
            <w:tcW w:w="26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Retained</w:t>
            </w:r>
          </w:p>
        </w:tc>
        <w:tc>
          <w:tcPr>
            <w:tcW w:w="1420" w:type="dxa"/>
            <w:vAlign w:val="bottom"/>
          </w:tcPr>
          <w:p>
            <w:pPr>
              <w:spacing w:after="0"/>
              <w:rPr>
                <w:sz w:val="14"/>
                <w:szCs w:val="14"/>
                <w:color w:val="auto"/>
              </w:rPr>
            </w:pP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Earnings</w:t>
            </w:r>
          </w:p>
        </w:tc>
        <w:tc>
          <w:tcPr>
            <w:tcW w:w="1420" w:type="dxa"/>
            <w:vAlign w:val="bottom"/>
          </w:tcPr>
          <w:p>
            <w:pPr>
              <w:spacing w:after="0"/>
              <w:rPr>
                <w:sz w:val="14"/>
                <w:szCs w:val="14"/>
                <w:color w:val="auto"/>
              </w:rPr>
            </w:pP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Unearned</w:t>
            </w:r>
          </w:p>
        </w:tc>
        <w:tc>
          <w:tcPr>
            <w:tcW w:w="200" w:type="dxa"/>
            <w:vAlign w:val="bottom"/>
          </w:tcPr>
          <w:p>
            <w:pPr>
              <w:spacing w:after="0"/>
              <w:rPr>
                <w:sz w:val="14"/>
                <w:szCs w:val="14"/>
                <w:color w:val="auto"/>
              </w:rPr>
            </w:pPr>
          </w:p>
        </w:tc>
        <w:tc>
          <w:tcPr>
            <w:tcW w:w="13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(Accumulated</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Accumulated</w:t>
            </w: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Compensation</w:t>
            </w:r>
          </w:p>
        </w:tc>
        <w:tc>
          <w:tcPr>
            <w:tcW w:w="200" w:type="dxa"/>
            <w:vAlign w:val="bottom"/>
          </w:tcPr>
          <w:p>
            <w:pPr>
              <w:spacing w:after="0"/>
              <w:rPr>
                <w:sz w:val="14"/>
                <w:szCs w:val="14"/>
                <w:color w:val="auto"/>
              </w:rPr>
            </w:pP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Deficit)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Equity</w:t>
            </w: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Balance as of September</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30, 2003</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(127,370)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$ 1,591,600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173,278</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173,278</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hedging contracts,</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net of $(991) tax</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(2,846)</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 cash</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equivalents and</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short-term</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interest-bearing</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investments, net of</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$(348) tax</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(1,227)</w:t>
            </w: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Comprehensive income</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169,205</w:t>
            </w: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Issuance of ordinary</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15,139</w:t>
            </w: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shares related to</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acquisition, net</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Employee stock options</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exercised</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11,364</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Tax benefit of stock</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options exercised</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2,738</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Repurchase of ordinary</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(307,471)</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Expense related to vesting</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of stock options</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Stock options granted</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(951)</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Amortization of unearned</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compensation</w:t>
            </w:r>
          </w:p>
        </w:tc>
        <w:tc>
          <w:tcPr>
            <w:tcW w:w="440" w:type="dxa"/>
            <w:vAlign w:val="bottom"/>
          </w:tcPr>
          <w:p>
            <w:pPr>
              <w:spacing w:after="0"/>
              <w:rPr>
                <w:sz w:val="14"/>
                <w:szCs w:val="14"/>
                <w:color w:val="auto"/>
              </w:rPr>
            </w:pPr>
          </w:p>
        </w:tc>
        <w:tc>
          <w:tcPr>
            <w:tcW w:w="1180" w:type="dxa"/>
            <w:vAlign w:val="bottom"/>
          </w:tcPr>
          <w:p>
            <w:pPr>
              <w:ind w:left="600"/>
              <w:spacing w:after="0"/>
              <w:rPr>
                <w:sz w:val="20"/>
                <w:szCs w:val="20"/>
                <w:color w:val="auto"/>
              </w:rPr>
            </w:pPr>
            <w:r>
              <w:rPr>
                <w:rFonts w:ascii="Courier New" w:cs="Courier New" w:eastAsia="Courier New" w:hAnsi="Courier New"/>
                <w:sz w:val="14"/>
                <w:szCs w:val="14"/>
                <w:color w:val="auto"/>
              </w:rPr>
              <w:t>380</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380</w:t>
            </w: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(571)</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45,908</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$ 1,482,961</w:t>
            </w: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787" w:right="1440" w:bottom="0" w:gutter="0" w:footer="0" w:header="0"/>
        </w:sectPr>
      </w:pPr>
    </w:p>
    <w:bookmarkStart w:id="78" w:name="page79"/>
    <w:bookmarkEnd w:id="78"/>
    <w:p>
      <w:pPr>
        <w:ind w:right="3539"/>
        <w:spacing w:after="0" w:line="254" w:lineRule="auto"/>
        <w:rPr>
          <w:sz w:val="20"/>
          <w:szCs w:val="20"/>
          <w:color w:val="auto"/>
        </w:rPr>
      </w:pPr>
      <w:r>
        <w:rPr>
          <w:rFonts w:ascii="Courier New" w:cs="Courier New" w:eastAsia="Courier New" w:hAnsi="Courier New"/>
          <w:sz w:val="14"/>
          <w:szCs w:val="14"/>
          <w:color w:val="auto"/>
        </w:rPr>
        <w:t>As of June 30, 2004 and September 30, 2003, accumulated other comprehensive (loss) income is comprised of unrealized gain on derivatives, net of tax, of $837 and $3,683, respectively, and unrealized (loss) gain on cash equivalents and short-term interest-bearing investments, net of tax, of $(1,195) and $32, respectively.</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141" w:right="1440" w:bottom="1440" w:gutter="0" w:footer="0" w:header="0"/>
        </w:sectPr>
      </w:pPr>
    </w:p>
    <w:bookmarkStart w:id="79" w:name="page80"/>
    <w:bookmarkEnd w:id="79"/>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CONSOLIDATED STATEMENTS OF CASH FLOWS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ind w:left="2880"/>
              <w:spacing w:after="0"/>
              <w:rPr>
                <w:sz w:val="20"/>
                <w:szCs w:val="20"/>
                <w:color w:val="auto"/>
              </w:rPr>
            </w:pPr>
            <w:r>
              <w:rPr>
                <w:rFonts w:ascii="Courier New" w:cs="Courier New" w:eastAsia="Courier New" w:hAnsi="Courier New"/>
                <w:sz w:val="14"/>
                <w:szCs w:val="14"/>
                <w:color w:val="auto"/>
              </w:rPr>
              <w:t>(in thousands)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4920" w:type="dxa"/>
            <w:vAlign w:val="bottom"/>
          </w:tcPr>
          <w:p>
            <w:pPr>
              <w:spacing w:after="0"/>
              <w:rPr>
                <w:sz w:val="24"/>
                <w:szCs w:val="24"/>
                <w:color w:val="auto"/>
              </w:rPr>
            </w:pPr>
          </w:p>
        </w:tc>
        <w:tc>
          <w:tcPr>
            <w:tcW w:w="2460" w:type="dxa"/>
            <w:vAlign w:val="bottom"/>
            <w:gridSpan w:val="4"/>
          </w:tcPr>
          <w:p>
            <w:pPr>
              <w:ind w:left="120"/>
              <w:spacing w:after="0"/>
              <w:rPr>
                <w:sz w:val="20"/>
                <w:szCs w:val="20"/>
                <w:color w:val="auto"/>
              </w:rPr>
            </w:pPr>
            <w:r>
              <w:rPr>
                <w:rFonts w:ascii="Courier New" w:cs="Courier New" w:eastAsia="Courier New" w:hAnsi="Courier New"/>
                <w:sz w:val="14"/>
                <w:szCs w:val="14"/>
                <w:color w:val="auto"/>
              </w:rPr>
              <w:t>Nine months ended June 30,</w:t>
            </w:r>
          </w:p>
        </w:tc>
      </w:tr>
      <w:tr>
        <w:trPr>
          <w:trHeight w:val="167"/>
        </w:trPr>
        <w:tc>
          <w:tcPr>
            <w:tcW w:w="4920" w:type="dxa"/>
            <w:vAlign w:val="bottom"/>
          </w:tcPr>
          <w:p>
            <w:pPr>
              <w:spacing w:after="0"/>
              <w:rPr>
                <w:sz w:val="14"/>
                <w:szCs w:val="14"/>
                <w:color w:val="auto"/>
              </w:rPr>
            </w:pPr>
          </w:p>
        </w:tc>
        <w:tc>
          <w:tcPr>
            <w:tcW w:w="24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 from Operating Activities: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173,278</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Reconciliation of net income to net cash provided by</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operating activities: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76,944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69,973</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(Gain) loss on sale of equipment</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427</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Gain on repurchase of 2% convertible notes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(8,093)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10,556</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Tax benefit of stock options exercised</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2,738</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Realized  loss from short-term interest-bearing</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investments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1,039</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changes in operating assets and liabilities, net of</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amounts acquired:</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(69,503)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32,365</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14,879</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(12,597)</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Other noncurrent assets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(41,941)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(18,795)</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 and accrued expenses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32,947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20,436</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54,543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47,889</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Income taxes payable</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27,735</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5,411</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Noncurrent liabilities and other</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(6,442)</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2,920</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257,667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284,017</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 from Investing Activities: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Proceeds from sale of equipment, vehicles and leasehold</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improvements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1,841</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1,710</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Payments for purchase of equipment, vehicles, leasehold</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improvements and other</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(33,532)</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(47,192)</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Proceeds from sale of short-term interest-bearing</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investments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863,304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631,845</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Purchase of short-term interest-bearing investments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(1,158,407)</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(637,148)</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paid for) reimbursement of cash in acquisition</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(10,567)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11,111</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(337,361)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(39,674)</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 from Financing Activities: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Proceeds from employee stock options exercised</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11,364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2,024</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proceeds from issue of long-term 0.50% convertible</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notes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441,736</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Repurchase of ordinary shares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(307,471)</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Redemption of 2% convertible notes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(395,110)</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Repurchase of 2% convertible notes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(4,987)</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Borrowings under financing arrangements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910</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Principal payments under financing arrangements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(1,651)</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Principal payments on capital lease obligations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(20,251)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(7,714)</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cash used in financing activities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(275,460)</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(5,690)</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(decrease) increase in cash and cash equivalents</w:t>
            </w:r>
          </w:p>
        </w:tc>
        <w:tc>
          <w:tcPr>
            <w:tcW w:w="20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(355,154)</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238,653</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847,600</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466,655</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492,446</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705,308</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Supplementary Cash Flow Information</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paid for:</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Income taxes, net of refunds</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22,734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25,611</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9,733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9,323</w:t>
            </w:r>
          </w:p>
        </w:tc>
      </w:tr>
    </w:tbl>
    <w:p>
      <w:pPr>
        <w:spacing w:after="0" w:line="17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Non-Cash Investing and Financing Activities</w:t>
      </w:r>
    </w:p>
    <w:p>
      <w:pPr>
        <w:spacing w:after="0" w:line="342"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In the nine months ended June 30, 2004, the Company issued 561 ordinary shares in connection with the acquisition of XACCT (as defined below). See Note 10.</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620" w:right="1440" w:bottom="1440" w:gutter="0" w:footer="0" w:header="0"/>
        </w:sectPr>
      </w:pPr>
    </w:p>
    <w:bookmarkStart w:id="80" w:name="page81"/>
    <w:bookmarkEnd w:id="80"/>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ind w:left="440" w:hanging="431"/>
        <w:spacing w:after="0"/>
        <w:tabs>
          <w:tab w:leader="none" w:pos="4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w:t>
      </w:r>
    </w:p>
    <w:p>
      <w:pPr>
        <w:spacing w:after="0" w:line="17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Amdocs Limited (the "Company") is a leading provider of software products and services to the communications industry. The Company and its subsidiaries operate in one operating segment, providing integrated customer management systems and related services primarily for the communications industry. The Company designs, develops, markets, implements, supports and operates information systems solutions, including Managed Services, primarily for leading communications companies throughout the world.</w:t>
      </w:r>
    </w:p>
    <w:p>
      <w:pPr>
        <w:spacing w:after="0" w:line="16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unaudited consolidated financial statements of the Company have been prepared in accordance with accounting principles generally accepted in the United States ("GAAP"). In the opinion of the Company's management, all adjustments considered necessary for a fair presentation of the unaudited interim consolidated financial statements have been included herein and are of a normal recurring nature.</w:t>
      </w:r>
    </w:p>
    <w:p>
      <w:pPr>
        <w:spacing w:after="0" w:line="16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6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2003, set forth in the Company's Annual Report on Form 20-F filed on December 24, 2003 with the Securities and Exchange Commission.</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Reclassification</w:t>
      </w:r>
    </w:p>
    <w:p>
      <w:pPr>
        <w:spacing w:after="0" w:line="175" w:lineRule="exact"/>
        <w:rPr>
          <w:sz w:val="20"/>
          <w:szCs w:val="20"/>
          <w:color w:val="auto"/>
        </w:rPr>
      </w:pPr>
    </w:p>
    <w:p>
      <w:pPr>
        <w:ind w:right="3639" w:firstLine="781"/>
        <w:spacing w:after="0" w:line="258" w:lineRule="auto"/>
        <w:rPr>
          <w:sz w:val="20"/>
          <w:szCs w:val="20"/>
          <w:color w:val="auto"/>
        </w:rPr>
      </w:pPr>
      <w:r>
        <w:rPr>
          <w:rFonts w:ascii="Courier New" w:cs="Courier New" w:eastAsia="Courier New" w:hAnsi="Courier New"/>
          <w:sz w:val="14"/>
          <w:szCs w:val="14"/>
          <w:color w:val="auto"/>
        </w:rPr>
        <w:t>Certain prior year amounts have been reclassified to conform to the current year presentation.</w:t>
      </w:r>
    </w:p>
    <w:p>
      <w:pPr>
        <w:spacing w:after="0" w:line="160" w:lineRule="exact"/>
        <w:rPr>
          <w:sz w:val="20"/>
          <w:szCs w:val="20"/>
          <w:color w:val="auto"/>
        </w:rPr>
      </w:pPr>
    </w:p>
    <w:p>
      <w:pPr>
        <w:ind w:left="800" w:right="6059" w:hanging="791"/>
        <w:spacing w:after="0" w:line="505" w:lineRule="auto"/>
        <w:tabs>
          <w:tab w:leader="none" w:pos="80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Accounting Policy Accounting for Stock-Based Compensation</w:t>
      </w: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Company follows Accounting Principles Board ("APB") Opinion No. 25, "Accounting for Stock Issued to Employees" in accounting for its employee stock options.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Employee stock-based compensation cost of $354 and $380 is reflected in net income for the three months and nine months ended June 30, 2004, respectively. No employee stock-based compensation cost was reflected in net income for the three months and nine months ended June 30, 2003.</w:t>
      </w:r>
    </w:p>
    <w:p>
      <w:pPr>
        <w:spacing w:after="0" w:line="331" w:lineRule="exact"/>
        <w:rPr>
          <w:sz w:val="20"/>
          <w:szCs w:val="20"/>
          <w:color w:val="auto"/>
        </w:rPr>
      </w:pP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As presented below, the Company determined net income and earnings per share information as if the fair value method described in Statements of Financial Accounting Standards ("SFAS") No. 123, "Accounting for Stock-Based Compensation", as amended by SFAS No. 148, "Accounting for Stock-Based Compensation - Transition and Disclosure - an Amendment of Financial Accounting Standards Board Statement No. 123", had been applied to its employee stock-based compensation. The Company utilized the Black-Scholes option-pricing model to estimate fair value, which is one of several methods that can be used under SFAS No. 123. The Black-Scholes option valuation model was developed for use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453" w:right="1440" w:bottom="1440" w:gutter="0" w:footer="0" w:header="0"/>
        </w:sectPr>
      </w:pPr>
    </w:p>
    <w:bookmarkStart w:id="81" w:name="page82"/>
    <w:bookmarkEnd w:id="81"/>
    <w:p>
      <w:pPr>
        <w:jc w:val="center"/>
        <w:ind w:right="371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estimating the fair value of traded options that have no vesting restrictions and are fully transferable. Option valuation models require the input of highly subjective assumptions, including the expected share price volatility. The Company's options have characteristics significantly different from those of traded options, and changes in the subjective input assumptions can materially affect the fair value estimates.</w:t>
      </w:r>
    </w:p>
    <w:p>
      <w:pPr>
        <w:spacing w:after="0" w:line="165" w:lineRule="exact"/>
        <w:rPr>
          <w:sz w:val="20"/>
          <w:szCs w:val="20"/>
          <w:color w:val="auto"/>
        </w:rPr>
      </w:pPr>
    </w:p>
    <w:p>
      <w:pPr>
        <w:jc w:val="both"/>
        <w:ind w:right="3539" w:firstLine="347"/>
        <w:spacing w:after="0" w:line="255" w:lineRule="auto"/>
        <w:rPr>
          <w:sz w:val="20"/>
          <w:szCs w:val="20"/>
          <w:color w:val="auto"/>
        </w:rPr>
      </w:pPr>
      <w:r>
        <w:rPr>
          <w:rFonts w:ascii="Courier New" w:cs="Courier New" w:eastAsia="Courier New" w:hAnsi="Courier New"/>
          <w:sz w:val="14"/>
          <w:szCs w:val="14"/>
          <w:color w:val="auto"/>
        </w:rPr>
        <w:t>The fair value of options granted was estimated at the date of grant using the Black-Scholes pricing model with the following assumptions for the presented periods (all in weighted averages):</w:t>
      </w:r>
    </w:p>
    <w:p>
      <w:pPr>
        <w:spacing w:after="0" w:line="200" w:lineRule="exact"/>
        <w:rPr>
          <w:sz w:val="20"/>
          <w:szCs w:val="20"/>
          <w:color w:val="auto"/>
        </w:rPr>
      </w:pPr>
    </w:p>
    <w:p>
      <w:pPr>
        <w:spacing w:after="0" w:line="296"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Three months ended</w:t>
            </w:r>
          </w:p>
        </w:tc>
        <w:tc>
          <w:tcPr>
            <w:tcW w:w="440" w:type="dxa"/>
            <w:vAlign w:val="bottom"/>
          </w:tcPr>
          <w:p>
            <w:pPr>
              <w:spacing w:after="0"/>
              <w:rPr>
                <w:sz w:val="14"/>
                <w:szCs w:val="14"/>
                <w:color w:val="auto"/>
              </w:rPr>
            </w:pPr>
          </w:p>
        </w:tc>
        <w:tc>
          <w:tcPr>
            <w:tcW w:w="260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June 30,</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June 30,</w:t>
            </w:r>
          </w:p>
        </w:tc>
        <w:tc>
          <w:tcPr>
            <w:tcW w:w="1080" w:type="dxa"/>
            <w:vAlign w:val="bottom"/>
          </w:tcPr>
          <w:p>
            <w:pPr>
              <w:spacing w:after="0"/>
              <w:rPr>
                <w:sz w:val="14"/>
                <w:szCs w:val="14"/>
                <w:color w:val="auto"/>
              </w:rPr>
            </w:pPr>
          </w:p>
        </w:tc>
      </w:tr>
      <w:tr>
        <w:trPr>
          <w:trHeight w:val="167"/>
        </w:trPr>
        <w:tc>
          <w:tcPr>
            <w:tcW w:w="2900" w:type="dxa"/>
            <w:vAlign w:val="bottom"/>
          </w:tcPr>
          <w:p>
            <w:pPr>
              <w:spacing w:after="0"/>
              <w:rPr>
                <w:sz w:val="14"/>
                <w:szCs w:val="14"/>
                <w:color w:val="auto"/>
              </w:rPr>
            </w:pPr>
          </w:p>
        </w:tc>
        <w:tc>
          <w:tcPr>
            <w:tcW w:w="65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7"/>
        </w:trPr>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52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2004</w:t>
            </w:r>
          </w:p>
        </w:tc>
        <w:tc>
          <w:tcPr>
            <w:tcW w:w="400" w:type="dxa"/>
            <w:vAlign w:val="bottom"/>
          </w:tcPr>
          <w:p>
            <w:pPr>
              <w:spacing w:after="0"/>
              <w:rPr>
                <w:sz w:val="14"/>
                <w:szCs w:val="14"/>
                <w:color w:val="auto"/>
              </w:rPr>
            </w:pPr>
          </w:p>
        </w:tc>
        <w:tc>
          <w:tcPr>
            <w:tcW w:w="1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290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1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68"/>
        </w:trPr>
        <w:tc>
          <w:tcPr>
            <w:tcW w:w="290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10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3.10%</w:t>
            </w:r>
          </w:p>
        </w:tc>
        <w:tc>
          <w:tcPr>
            <w:tcW w:w="520" w:type="dxa"/>
            <w:vAlign w:val="bottom"/>
          </w:tcPr>
          <w:p>
            <w:pPr>
              <w:spacing w:after="0"/>
              <w:rPr>
                <w:sz w:val="24"/>
                <w:szCs w:val="2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2.56%</w:t>
            </w:r>
          </w:p>
        </w:tc>
        <w:tc>
          <w:tcPr>
            <w:tcW w:w="440" w:type="dxa"/>
            <w:vAlign w:val="bottom"/>
          </w:tcPr>
          <w:p>
            <w:pPr>
              <w:spacing w:after="0"/>
              <w:rPr>
                <w:sz w:val="24"/>
                <w:szCs w:val="2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2.14%</w:t>
            </w:r>
          </w:p>
        </w:tc>
        <w:tc>
          <w:tcPr>
            <w:tcW w:w="400" w:type="dxa"/>
            <w:vAlign w:val="bottom"/>
          </w:tcPr>
          <w:p>
            <w:pPr>
              <w:spacing w:after="0"/>
              <w:rPr>
                <w:sz w:val="24"/>
                <w:szCs w:val="2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2.70%</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Expected life of options</w:t>
            </w:r>
          </w:p>
        </w:tc>
        <w:tc>
          <w:tcPr>
            <w:tcW w:w="10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3.00</w:t>
            </w:r>
          </w:p>
        </w:tc>
        <w:tc>
          <w:tcPr>
            <w:tcW w:w="52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2.98</w:t>
            </w:r>
          </w:p>
        </w:tc>
        <w:tc>
          <w:tcPr>
            <w:tcW w:w="44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3.00</w:t>
            </w:r>
          </w:p>
        </w:tc>
        <w:tc>
          <w:tcPr>
            <w:tcW w:w="400" w:type="dxa"/>
            <w:vAlign w:val="bottom"/>
          </w:tcPr>
          <w:p>
            <w:pPr>
              <w:spacing w:after="0"/>
              <w:rPr>
                <w:sz w:val="14"/>
                <w:szCs w:val="1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2.93</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Expected annual volatility</w:t>
            </w:r>
          </w:p>
        </w:tc>
        <w:tc>
          <w:tcPr>
            <w:tcW w:w="10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44.1%</w:t>
            </w:r>
          </w:p>
        </w:tc>
        <w:tc>
          <w:tcPr>
            <w:tcW w:w="52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51.1%</w:t>
            </w:r>
          </w:p>
        </w:tc>
        <w:tc>
          <w:tcPr>
            <w:tcW w:w="44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44.3%</w:t>
            </w:r>
          </w:p>
        </w:tc>
        <w:tc>
          <w:tcPr>
            <w:tcW w:w="400" w:type="dxa"/>
            <w:vAlign w:val="bottom"/>
          </w:tcPr>
          <w:p>
            <w:pPr>
              <w:spacing w:after="0"/>
              <w:rPr>
                <w:sz w:val="14"/>
                <w:szCs w:val="1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57.0%</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Expected dividend yield</w:t>
            </w:r>
          </w:p>
        </w:tc>
        <w:tc>
          <w:tcPr>
            <w:tcW w:w="10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None</w:t>
            </w:r>
          </w:p>
        </w:tc>
        <w:tc>
          <w:tcPr>
            <w:tcW w:w="52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None</w:t>
            </w:r>
          </w:p>
        </w:tc>
        <w:tc>
          <w:tcPr>
            <w:tcW w:w="44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None</w:t>
            </w:r>
          </w:p>
        </w:tc>
        <w:tc>
          <w:tcPr>
            <w:tcW w:w="400" w:type="dxa"/>
            <w:vAlign w:val="bottom"/>
          </w:tcPr>
          <w:p>
            <w:pPr>
              <w:spacing w:after="0"/>
              <w:rPr>
                <w:sz w:val="14"/>
                <w:szCs w:val="1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None</w:t>
            </w:r>
          </w:p>
        </w:tc>
      </w:tr>
      <w:tr>
        <w:trPr>
          <w:trHeight w:val="334"/>
        </w:trPr>
        <w:tc>
          <w:tcPr>
            <w:tcW w:w="2900" w:type="dxa"/>
            <w:vAlign w:val="bottom"/>
          </w:tcPr>
          <w:p>
            <w:pPr>
              <w:spacing w:after="0"/>
              <w:rPr>
                <w:sz w:val="20"/>
                <w:szCs w:val="20"/>
                <w:color w:val="auto"/>
              </w:rPr>
            </w:pPr>
            <w:r>
              <w:rPr>
                <w:rFonts w:ascii="Courier New" w:cs="Courier New" w:eastAsia="Courier New" w:hAnsi="Courier New"/>
                <w:sz w:val="14"/>
                <w:szCs w:val="14"/>
                <w:color w:val="auto"/>
              </w:rPr>
              <w:t>Fair value per option</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11.2</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7.01</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10.4</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5.02</w:t>
            </w:r>
          </w:p>
        </w:tc>
      </w:tr>
    </w:tbl>
    <w:p>
      <w:pPr>
        <w:spacing w:after="0" w:line="338" w:lineRule="exact"/>
        <w:rPr>
          <w:sz w:val="20"/>
          <w:szCs w:val="20"/>
          <w:color w:val="auto"/>
        </w:rPr>
      </w:pPr>
    </w:p>
    <w:p>
      <w:pPr>
        <w:ind w:right="3379" w:firstLine="347"/>
        <w:spacing w:after="0" w:line="255" w:lineRule="auto"/>
        <w:rPr>
          <w:sz w:val="20"/>
          <w:szCs w:val="20"/>
          <w:color w:val="auto"/>
        </w:rPr>
      </w:pPr>
      <w:r>
        <w:rPr>
          <w:rFonts w:ascii="Courier New" w:cs="Courier New" w:eastAsia="Courier New" w:hAnsi="Courier New"/>
          <w:sz w:val="14"/>
          <w:szCs w:val="14"/>
          <w:color w:val="auto"/>
        </w:rPr>
        <w:t>The following table sets forth the pro forma effect of applying SFAS No. 123 on net income and earnings per share for the three months and nine months ended June 30, 2004 and 2003:</w:t>
      </w:r>
    </w:p>
    <w:p>
      <w:pPr>
        <w:spacing w:after="0" w:line="200" w:lineRule="exact"/>
        <w:rPr>
          <w:sz w:val="20"/>
          <w:szCs w:val="20"/>
          <w:color w:val="auto"/>
        </w:rPr>
      </w:pPr>
    </w:p>
    <w:p>
      <w:pPr>
        <w:spacing w:after="0" w:line="296"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0" w:type="dxa"/>
            <w:vAlign w:val="bottom"/>
            <w:gridSpan w:val="3"/>
          </w:tcPr>
          <w:p>
            <w:pPr>
              <w:jc w:val="center"/>
              <w:ind w:right="348"/>
              <w:spacing w:after="0"/>
              <w:rPr>
                <w:sz w:val="20"/>
                <w:szCs w:val="20"/>
                <w:color w:val="auto"/>
              </w:rPr>
            </w:pPr>
            <w:r>
              <w:rPr>
                <w:rFonts w:ascii="Courier New" w:cs="Courier New" w:eastAsia="Courier New" w:hAnsi="Courier New"/>
                <w:sz w:val="14"/>
                <w:szCs w:val="14"/>
                <w:color w:val="auto"/>
              </w:rPr>
              <w:t>Three months ended</w:t>
            </w:r>
          </w:p>
        </w:tc>
        <w:tc>
          <w:tcPr>
            <w:tcW w:w="360" w:type="dxa"/>
            <w:vAlign w:val="bottom"/>
          </w:tcPr>
          <w:p>
            <w:pPr>
              <w:spacing w:after="0"/>
              <w:rPr>
                <w:sz w:val="14"/>
                <w:szCs w:val="14"/>
                <w:color w:val="auto"/>
              </w:rPr>
            </w:pPr>
          </w:p>
        </w:tc>
        <w:tc>
          <w:tcPr>
            <w:tcW w:w="256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gridSpan w:val="2"/>
          </w:tcPr>
          <w:p>
            <w:pPr>
              <w:jc w:val="center"/>
              <w:ind w:left="588"/>
              <w:spacing w:after="0"/>
              <w:rPr>
                <w:sz w:val="20"/>
                <w:szCs w:val="20"/>
                <w:color w:val="auto"/>
              </w:rPr>
            </w:pPr>
            <w:r>
              <w:rPr>
                <w:rFonts w:ascii="Courier New" w:cs="Courier New" w:eastAsia="Courier New" w:hAnsi="Courier New"/>
                <w:sz w:val="14"/>
                <w:szCs w:val="14"/>
                <w:color w:val="auto"/>
              </w:rPr>
              <w:t>June 30,</w:t>
            </w: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June 30,</w:t>
            </w:r>
          </w:p>
        </w:tc>
        <w:tc>
          <w:tcPr>
            <w:tcW w:w="1000" w:type="dxa"/>
            <w:vAlign w:val="bottom"/>
          </w:tcPr>
          <w:p>
            <w:pPr>
              <w:spacing w:after="0"/>
              <w:rPr>
                <w:sz w:val="14"/>
                <w:szCs w:val="14"/>
                <w:color w:val="auto"/>
              </w:rPr>
            </w:pPr>
          </w:p>
        </w:tc>
      </w:tr>
      <w:tr>
        <w:trPr>
          <w:trHeight w:val="167"/>
        </w:trPr>
        <w:tc>
          <w:tcPr>
            <w:tcW w:w="3380" w:type="dxa"/>
            <w:vAlign w:val="bottom"/>
          </w:tcPr>
          <w:p>
            <w:pPr>
              <w:spacing w:after="0"/>
              <w:rPr>
                <w:sz w:val="14"/>
                <w:szCs w:val="14"/>
                <w:color w:val="auto"/>
              </w:rPr>
            </w:pPr>
          </w:p>
        </w:tc>
        <w:tc>
          <w:tcPr>
            <w:tcW w:w="3160" w:type="dxa"/>
            <w:vAlign w:val="bottom"/>
            <w:gridSpan w:val="4"/>
          </w:tcPr>
          <w:p>
            <w:pPr>
              <w:ind w:left="340"/>
              <w:spacing w:after="0"/>
              <w:rPr>
                <w:sz w:val="20"/>
                <w:szCs w:val="20"/>
                <w:color w:val="auto"/>
              </w:rPr>
            </w:pPr>
            <w:r>
              <w:rPr>
                <w:rFonts w:ascii="Courier New" w:cs="Courier New" w:eastAsia="Courier New" w:hAnsi="Courier New"/>
                <w:sz w:val="14"/>
                <w:szCs w:val="14"/>
                <w:color w:val="auto"/>
              </w:rPr>
              <w:t>-------------------------------</w:t>
            </w:r>
          </w:p>
        </w:tc>
        <w:tc>
          <w:tcPr>
            <w:tcW w:w="292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2004</w:t>
            </w:r>
          </w:p>
        </w:tc>
        <w:tc>
          <w:tcPr>
            <w:tcW w:w="420" w:type="dxa"/>
            <w:vAlign w:val="bottom"/>
          </w:tcPr>
          <w:p>
            <w:pPr>
              <w:spacing w:after="0"/>
              <w:rPr>
                <w:sz w:val="14"/>
                <w:szCs w:val="14"/>
                <w:color w:val="auto"/>
              </w:rPr>
            </w:pPr>
          </w:p>
        </w:tc>
        <w:tc>
          <w:tcPr>
            <w:tcW w:w="1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2003</w:t>
            </w:r>
          </w:p>
        </w:tc>
        <w:tc>
          <w:tcPr>
            <w:tcW w:w="360" w:type="dxa"/>
            <w:vAlign w:val="bottom"/>
          </w:tcPr>
          <w:p>
            <w:pPr>
              <w:spacing w:after="0"/>
              <w:rPr>
                <w:sz w:val="14"/>
                <w:szCs w:val="14"/>
                <w:color w:val="auto"/>
              </w:rPr>
            </w:pPr>
          </w:p>
        </w:tc>
        <w:tc>
          <w:tcPr>
            <w:tcW w:w="1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2004</w:t>
            </w:r>
          </w:p>
        </w:tc>
        <w:tc>
          <w:tcPr>
            <w:tcW w:w="4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380" w:type="dxa"/>
            <w:vAlign w:val="bottom"/>
          </w:tcPr>
          <w:p>
            <w:pPr>
              <w:spacing w:after="0"/>
              <w:rPr>
                <w:sz w:val="14"/>
                <w:szCs w:val="14"/>
                <w:color w:val="auto"/>
              </w:rPr>
            </w:pPr>
          </w:p>
        </w:tc>
        <w:tc>
          <w:tcPr>
            <w:tcW w:w="16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501"/>
        </w:trPr>
        <w:tc>
          <w:tcPr>
            <w:tcW w:w="3380" w:type="dxa"/>
            <w:vAlign w:val="bottom"/>
          </w:tcPr>
          <w:p>
            <w:pPr>
              <w:spacing w:after="0"/>
              <w:rPr>
                <w:sz w:val="20"/>
                <w:szCs w:val="20"/>
                <w:color w:val="auto"/>
              </w:rPr>
            </w:pPr>
            <w:r>
              <w:rPr>
                <w:rFonts w:ascii="Courier New" w:cs="Courier New" w:eastAsia="Courier New" w:hAnsi="Courier New"/>
                <w:sz w:val="14"/>
                <w:szCs w:val="14"/>
                <w:color w:val="auto"/>
              </w:rPr>
              <w:t>Net income, as reported</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59,920</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47,438</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173,278</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Add: Stock-based employee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compensation expense included</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in net income, net of related</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tax effects</w:t>
            </w:r>
          </w:p>
        </w:tc>
        <w:tc>
          <w:tcPr>
            <w:tcW w:w="560" w:type="dxa"/>
            <w:vAlign w:val="bottom"/>
          </w:tcPr>
          <w:p>
            <w:pPr>
              <w:spacing w:after="0"/>
              <w:rPr>
                <w:sz w:val="14"/>
                <w:szCs w:val="14"/>
                <w:color w:val="auto"/>
              </w:rPr>
            </w:pP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276</w:t>
            </w:r>
          </w:p>
        </w:tc>
        <w:tc>
          <w:tcPr>
            <w:tcW w:w="4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36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w:t>
            </w:r>
          </w:p>
        </w:tc>
        <w:tc>
          <w:tcPr>
            <w:tcW w:w="4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Less: Total stock-based employee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compensation expense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determined under fair value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method for all awards, net of</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related tax effects</w:t>
            </w:r>
          </w:p>
        </w:tc>
        <w:tc>
          <w:tcPr>
            <w:tcW w:w="56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(7,131)</w:t>
            </w:r>
          </w:p>
        </w:tc>
        <w:tc>
          <w:tcPr>
            <w:tcW w:w="4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(17,182)</w:t>
            </w:r>
          </w:p>
        </w:tc>
        <w:tc>
          <w:tcPr>
            <w:tcW w:w="3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(26,335)</w:t>
            </w:r>
          </w:p>
        </w:tc>
        <w:tc>
          <w:tcPr>
            <w:tcW w:w="4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(47,189)</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Pro forma net income</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53,065</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30,260</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147,244</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77,846</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As reported</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0.29</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0.22</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0.82</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0.58</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Pro forma</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0.26</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0.14</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0.70</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0.36</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As reported</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0.28</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0.21</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0.80</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0.57</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Pro forma</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0.25</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0.14</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0.68</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0.36</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pro forma results for the three months and nine months ended June 30, 2003 have been revised due to a correction of the stock based employee compensation expense amounts for such periods. These corrections resulted in a decrease in pro forma net income of $15,499 and $32,552 in the three months and nine months ended June 30, 2003, respectively, and a decrease in pro forma diluted earnings per share of $0.07 and $0.15 in the three months and nine months ended June 30, 2003, respectively. The correction for fiscal 2003 resulted in a decrease in pro forma net income of $33,732 and a decrease in pro forma diluted earnings per share of $0.15. The Company has analyzed the impact of the correction only for the aforementioned periods.</w:t>
      </w:r>
    </w:p>
    <w:p>
      <w:pPr>
        <w:spacing w:after="0" w:line="16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9799"/>
          </w:cols>
          <w:pgMar w:left="660" w:top="620" w:right="1440" w:bottom="1440" w:gutter="0" w:footer="0" w:header="0"/>
        </w:sectPr>
      </w:pPr>
    </w:p>
    <w:bookmarkStart w:id="82" w:name="page83"/>
    <w:bookmarkEnd w:id="82"/>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800" w:right="7199" w:hanging="791"/>
        <w:spacing w:after="0" w:line="505" w:lineRule="auto"/>
        <w:tabs>
          <w:tab w:leader="none" w:pos="80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Accounting Standards Variable Interest Entities</w:t>
      </w: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In January 2003, the Financial Accounting Standards Board ("FASB") issued Interpretation No. 46 ("FIN No. 46"), "Consolidation of Variable Interest Entities", which was further revised in December 2003. FIN No. 46 requires the consolidation of entities in which an enterprise absorbs a majority of the entity's expected losses, receives a majority of the entity's expected residual returns, or both, as a result of ownership, contractual or other financial interests in the entity. FIN No. 46 currently has no effect on the Company's consolidated financial position and results of operations.</w:t>
      </w:r>
    </w:p>
    <w:p>
      <w:pPr>
        <w:spacing w:after="0" w:line="164" w:lineRule="exact"/>
        <w:rPr>
          <w:sz w:val="20"/>
          <w:szCs w:val="20"/>
          <w:color w:val="auto"/>
        </w:rPr>
      </w:pPr>
    </w:p>
    <w:p>
      <w:pPr>
        <w:ind w:left="800" w:hanging="791"/>
        <w:spacing w:after="0"/>
        <w:tabs>
          <w:tab w:leader="none" w:pos="80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Party Transactions</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The Company had licensed software and provided computer systems integration and related services to Certen Inc. ("Certen") prior to the acquisition of the remaining 90% of Certen by the Company on July 2, 2003 (see Note 10). As a result of the acquisition of the remaining 90% of Certen by the Company, commencing on the acquisition date, the fair market value of Certen's assets and liabilities has been included in the Company's consolidated balance sheet and the results of Certen's operations are included in the Company's consolidated statements of income. Certen is now a wholly owned subsidiary of the Company, and Certen ceased to be a related party as of July 2, 2003, according to SFAS No. 57, "Related Party Disclosures".</w:t>
      </w:r>
    </w:p>
    <w:p>
      <w:pPr>
        <w:spacing w:after="0" w:line="164" w:lineRule="exact"/>
        <w:rPr>
          <w:sz w:val="20"/>
          <w:szCs w:val="20"/>
          <w:color w:val="auto"/>
        </w:rPr>
      </w:pPr>
    </w:p>
    <w:p>
      <w:pPr>
        <w:ind w:left="440" w:right="3539" w:firstLine="347"/>
        <w:spacing w:after="0" w:line="258" w:lineRule="auto"/>
        <w:rPr>
          <w:sz w:val="20"/>
          <w:szCs w:val="20"/>
          <w:color w:val="auto"/>
        </w:rPr>
      </w:pPr>
      <w:r>
        <w:rPr>
          <w:rFonts w:ascii="Courier New" w:cs="Courier New" w:eastAsia="Courier New" w:hAnsi="Courier New"/>
          <w:sz w:val="14"/>
          <w:szCs w:val="14"/>
          <w:color w:val="auto"/>
        </w:rPr>
        <w:t>The following related party revenue is included in the statements of income for the three months and nine months ended June 30, 2003:</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Three months</w:t>
            </w:r>
          </w:p>
        </w:tc>
        <w:tc>
          <w:tcPr>
            <w:tcW w:w="4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Nine months</w:t>
            </w:r>
          </w:p>
        </w:tc>
      </w:tr>
      <w:tr>
        <w:trPr>
          <w:trHeight w:val="167"/>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ended</w:t>
            </w:r>
          </w:p>
        </w:tc>
        <w:tc>
          <w:tcPr>
            <w:tcW w:w="4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June 30,</w:t>
            </w:r>
          </w:p>
        </w:tc>
        <w:tc>
          <w:tcPr>
            <w:tcW w:w="4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2160" w:type="dxa"/>
            <w:vAlign w:val="bottom"/>
          </w:tcPr>
          <w:p>
            <w:pPr>
              <w:spacing w:after="0"/>
              <w:rPr>
                <w:sz w:val="14"/>
                <w:szCs w:val="14"/>
                <w:color w:val="auto"/>
              </w:rPr>
            </w:pPr>
          </w:p>
        </w:tc>
        <w:tc>
          <w:tcPr>
            <w:tcW w:w="2480" w:type="dxa"/>
            <w:vAlign w:val="bottom"/>
            <w:gridSpan w:val="2"/>
          </w:tcPr>
          <w:p>
            <w:pPr>
              <w:ind w:left="1140"/>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2003</w:t>
            </w:r>
          </w:p>
        </w:tc>
        <w:tc>
          <w:tcPr>
            <w:tcW w:w="4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2160" w:type="dxa"/>
            <w:vAlign w:val="bottom"/>
          </w:tcPr>
          <w:p>
            <w:pPr>
              <w:spacing w:after="0"/>
              <w:rPr>
                <w:sz w:val="14"/>
                <w:szCs w:val="14"/>
                <w:color w:val="auto"/>
              </w:rPr>
            </w:pPr>
          </w:p>
        </w:tc>
        <w:tc>
          <w:tcPr>
            <w:tcW w:w="2480" w:type="dxa"/>
            <w:vAlign w:val="bottom"/>
            <w:gridSpan w:val="2"/>
          </w:tcPr>
          <w:p>
            <w:pPr>
              <w:ind w:left="1140"/>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1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License</w:t>
            </w:r>
          </w:p>
        </w:tc>
        <w:tc>
          <w:tcPr>
            <w:tcW w:w="1220" w:type="dxa"/>
            <w:vAlign w:val="bottom"/>
          </w:tcPr>
          <w:p>
            <w:pPr>
              <w:ind w:left="114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583</w:t>
            </w: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3,827</w:t>
            </w:r>
          </w:p>
        </w:tc>
      </w:tr>
      <w:tr>
        <w:trPr>
          <w:trHeight w:val="167"/>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Service</w:t>
            </w:r>
          </w:p>
        </w:tc>
        <w:tc>
          <w:tcPr>
            <w:tcW w:w="12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32,374</w:t>
            </w:r>
          </w:p>
        </w:tc>
        <w:tc>
          <w:tcPr>
            <w:tcW w:w="4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84,122</w:t>
            </w:r>
          </w:p>
        </w:tc>
      </w:tr>
    </w:tbl>
    <w:p>
      <w:pPr>
        <w:spacing w:after="0" w:line="338" w:lineRule="exact"/>
        <w:rPr>
          <w:sz w:val="20"/>
          <w:szCs w:val="20"/>
          <w:color w:val="auto"/>
        </w:rPr>
      </w:pPr>
    </w:p>
    <w:p>
      <w:pPr>
        <w:ind w:left="440" w:right="3539" w:firstLine="347"/>
        <w:spacing w:after="0" w:line="258" w:lineRule="auto"/>
        <w:rPr>
          <w:sz w:val="20"/>
          <w:szCs w:val="20"/>
          <w:color w:val="auto"/>
        </w:rPr>
      </w:pPr>
      <w:r>
        <w:rPr>
          <w:rFonts w:ascii="Courier New" w:cs="Courier New" w:eastAsia="Courier New" w:hAnsi="Courier New"/>
          <w:sz w:val="14"/>
          <w:szCs w:val="14"/>
          <w:color w:val="auto"/>
        </w:rPr>
        <w:t>The following related party expense is included in the statements of income for the three months and nine months ended June 30, 2003:</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Interest income and other, net (1)</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Three months</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ended</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June 30,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2003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564</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Nine months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ended</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June 30,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2003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1,662</w:t>
      </w:r>
    </w:p>
    <w:p>
      <w:pPr>
        <w:spacing w:after="0" w:line="175" w:lineRule="exact"/>
        <w:rPr>
          <w:sz w:val="20"/>
          <w:szCs w:val="20"/>
          <w:color w:val="auto"/>
        </w:rPr>
      </w:pPr>
    </w:p>
    <w:p>
      <w:pPr>
        <w:sectPr>
          <w:pgSz w:w="11900" w:h="16838" w:orient="portrait"/>
          <w:cols w:equalWidth="0" w:num="3">
            <w:col w:w="3560" w:space="360"/>
            <w:col w:w="1300" w:space="340"/>
            <w:col w:w="4679"/>
          </w:cols>
          <w:pgMar w:left="220" w:top="620" w:right="1440" w:bottom="1440" w:gutter="0" w:footer="0" w:header="0"/>
          <w:type w:val="continuous"/>
        </w:sectPr>
      </w:pPr>
    </w:p>
    <w:p>
      <w:pPr>
        <w:ind w:left="960" w:right="3279" w:hanging="951"/>
        <w:spacing w:after="0" w:line="254" w:lineRule="auto"/>
        <w:tabs>
          <w:tab w:leader="none" w:pos="9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interest and exchange rate differences, net of hedging, on the convertible debentures of Certen. Absent hedging, these amounts would be $4,733 and $9,344 for the three and nine months ended June 30, 2003, respectively.</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620" w:right="1440" w:bottom="1440" w:gutter="0" w:footer="0" w:header="0"/>
          <w:type w:val="continuous"/>
        </w:sectPr>
      </w:pPr>
    </w:p>
    <w:bookmarkStart w:id="83" w:name="page84"/>
    <w:bookmarkEnd w:id="83"/>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ind w:left="360" w:hanging="351"/>
        <w:spacing w:after="0"/>
        <w:tabs>
          <w:tab w:leader="none" w:pos="3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Accounts Receivable, Net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Accounts receivable, net consists of the following:</w:t>
      </w:r>
    </w:p>
    <w:p>
      <w:pPr>
        <w:spacing w:after="0" w:line="342"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As of</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820" w:type="dxa"/>
            <w:vAlign w:val="bottom"/>
          </w:tcPr>
          <w:p>
            <w:pPr>
              <w:spacing w:after="0"/>
              <w:rPr>
                <w:sz w:val="14"/>
                <w:szCs w:val="14"/>
                <w:color w:val="auto"/>
              </w:rPr>
            </w:pPr>
          </w:p>
        </w:tc>
        <w:tc>
          <w:tcPr>
            <w:tcW w:w="32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June 30,</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2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2820" w:type="dxa"/>
            <w:vAlign w:val="bottom"/>
          </w:tcPr>
          <w:p>
            <w:pPr>
              <w:spacing w:after="0"/>
              <w:rPr>
                <w:sz w:val="14"/>
                <w:szCs w:val="14"/>
                <w:color w:val="auto"/>
              </w:rPr>
            </w:pPr>
          </w:p>
        </w:tc>
        <w:tc>
          <w:tcPr>
            <w:tcW w:w="196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2820" w:type="dxa"/>
            <w:vAlign w:val="bottom"/>
          </w:tcPr>
          <w:p>
            <w:pPr>
              <w:spacing w:after="0"/>
              <w:rPr>
                <w:sz w:val="20"/>
                <w:szCs w:val="20"/>
                <w:color w:val="auto"/>
              </w:rPr>
            </w:pPr>
            <w:r>
              <w:rPr>
                <w:rFonts w:ascii="Courier New" w:cs="Courier New" w:eastAsia="Courier New" w:hAnsi="Courier New"/>
                <w:sz w:val="14"/>
                <w:szCs w:val="14"/>
                <w:color w:val="auto"/>
              </w:rPr>
              <w:t>Accounts receivable -billed</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269,660</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200,220</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Accounts receivable -unbilled</w:t>
            </w:r>
          </w:p>
        </w:tc>
        <w:tc>
          <w:tcPr>
            <w:tcW w:w="560" w:type="dxa"/>
            <w:vAlign w:val="bottom"/>
          </w:tcPr>
          <w:p>
            <w:pPr>
              <w:spacing w:after="0"/>
              <w:rPr>
                <w:sz w:val="14"/>
                <w:szCs w:val="14"/>
                <w:color w:val="auto"/>
              </w:rPr>
            </w:pPr>
          </w:p>
        </w:tc>
        <w:tc>
          <w:tcPr>
            <w:tcW w:w="1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16,086</w:t>
            </w:r>
          </w:p>
        </w:tc>
        <w:tc>
          <w:tcPr>
            <w:tcW w:w="3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16,072</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Less - allowances</w:t>
            </w:r>
          </w:p>
        </w:tc>
        <w:tc>
          <w:tcPr>
            <w:tcW w:w="560" w:type="dxa"/>
            <w:vAlign w:val="bottom"/>
          </w:tcPr>
          <w:p>
            <w:pPr>
              <w:spacing w:after="0"/>
              <w:rPr>
                <w:sz w:val="14"/>
                <w:szCs w:val="14"/>
                <w:color w:val="auto"/>
              </w:rPr>
            </w:pP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(15,186)</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(18,018)</w:t>
            </w:r>
          </w:p>
        </w:tc>
      </w:tr>
      <w:tr>
        <w:trPr>
          <w:trHeight w:val="167"/>
        </w:trPr>
        <w:tc>
          <w:tcPr>
            <w:tcW w:w="2820" w:type="dxa"/>
            <w:vAlign w:val="bottom"/>
          </w:tcPr>
          <w:p>
            <w:pPr>
              <w:spacing w:after="0"/>
              <w:rPr>
                <w:sz w:val="14"/>
                <w:szCs w:val="14"/>
                <w:color w:val="auto"/>
              </w:rPr>
            </w:pPr>
          </w:p>
        </w:tc>
        <w:tc>
          <w:tcPr>
            <w:tcW w:w="196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Accounts receivable, net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270,560</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198,274</w:t>
            </w:r>
          </w:p>
        </w:tc>
      </w:tr>
      <w:tr>
        <w:trPr>
          <w:trHeight w:val="167"/>
        </w:trPr>
        <w:tc>
          <w:tcPr>
            <w:tcW w:w="2820" w:type="dxa"/>
            <w:vAlign w:val="bottom"/>
          </w:tcPr>
          <w:p>
            <w:pPr>
              <w:spacing w:after="0"/>
              <w:rPr>
                <w:sz w:val="14"/>
                <w:szCs w:val="14"/>
                <w:color w:val="auto"/>
              </w:rPr>
            </w:pPr>
          </w:p>
        </w:tc>
        <w:tc>
          <w:tcPr>
            <w:tcW w:w="196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60" w:hanging="351"/>
        <w:spacing w:after="0"/>
        <w:tabs>
          <w:tab w:leader="none" w:pos="36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Comprehensive Income</w:t>
      </w:r>
    </w:p>
    <w:p>
      <w:pPr>
        <w:spacing w:after="0" w:line="175" w:lineRule="exact"/>
        <w:rPr>
          <w:sz w:val="20"/>
          <w:szCs w:val="20"/>
          <w:color w:val="auto"/>
        </w:rPr>
      </w:pPr>
    </w:p>
    <w:p>
      <w:pPr>
        <w:ind w:left="440" w:right="3379" w:firstLine="347"/>
        <w:spacing w:after="0" w:line="254" w:lineRule="auto"/>
        <w:rPr>
          <w:sz w:val="20"/>
          <w:szCs w:val="20"/>
          <w:color w:val="auto"/>
        </w:rPr>
      </w:pPr>
      <w:r>
        <w:rPr>
          <w:rFonts w:ascii="Courier New" w:cs="Courier New" w:eastAsia="Courier New" w:hAnsi="Courier New"/>
          <w:sz w:val="14"/>
          <w:szCs w:val="14"/>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63" w:lineRule="exact"/>
        <w:rPr>
          <w:sz w:val="20"/>
          <w:szCs w:val="20"/>
          <w:color w:val="auto"/>
        </w:rPr>
      </w:pPr>
    </w:p>
    <w:p>
      <w:pPr>
        <w:ind w:left="440" w:right="3539" w:firstLine="347"/>
        <w:spacing w:after="0" w:line="258" w:lineRule="auto"/>
        <w:rPr>
          <w:sz w:val="20"/>
          <w:szCs w:val="20"/>
          <w:color w:val="auto"/>
        </w:rPr>
      </w:pPr>
      <w:r>
        <w:rPr>
          <w:rFonts w:ascii="Courier New" w:cs="Courier New" w:eastAsia="Courier New" w:hAnsi="Courier New"/>
          <w:sz w:val="14"/>
          <w:szCs w:val="14"/>
          <w:color w:val="auto"/>
        </w:rPr>
        <w:t>The following table sets forth the reconciliation from net income to comprehensive income for the following periods: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2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Three months ended</w:t>
            </w:r>
          </w:p>
        </w:tc>
        <w:tc>
          <w:tcPr>
            <w:tcW w:w="400" w:type="dxa"/>
            <w:vAlign w:val="bottom"/>
          </w:tcPr>
          <w:p>
            <w:pPr>
              <w:spacing w:after="0"/>
              <w:rPr>
                <w:sz w:val="14"/>
                <w:szCs w:val="14"/>
                <w:color w:val="auto"/>
              </w:rPr>
            </w:pPr>
          </w:p>
        </w:tc>
        <w:tc>
          <w:tcPr>
            <w:tcW w:w="2480" w:type="dxa"/>
            <w:vAlign w:val="bottom"/>
            <w:gridSpan w:val="3"/>
          </w:tcPr>
          <w:p>
            <w:pPr>
              <w:jc w:val="right"/>
              <w:ind w:right="54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June 30,</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June 30,</w:t>
            </w:r>
          </w:p>
        </w:tc>
        <w:tc>
          <w:tcPr>
            <w:tcW w:w="920" w:type="dxa"/>
            <w:vAlign w:val="bottom"/>
          </w:tcPr>
          <w:p>
            <w:pPr>
              <w:spacing w:after="0"/>
              <w:rPr>
                <w:sz w:val="14"/>
                <w:szCs w:val="14"/>
                <w:color w:val="auto"/>
              </w:rPr>
            </w:pPr>
          </w:p>
        </w:tc>
      </w:tr>
      <w:tr>
        <w:trPr>
          <w:trHeight w:val="167"/>
        </w:trPr>
        <w:tc>
          <w:tcPr>
            <w:tcW w:w="3340" w:type="dxa"/>
            <w:vAlign w:val="bottom"/>
          </w:tcPr>
          <w:p>
            <w:pPr>
              <w:spacing w:after="0"/>
              <w:rPr>
                <w:sz w:val="14"/>
                <w:szCs w:val="14"/>
                <w:color w:val="auto"/>
              </w:rPr>
            </w:pPr>
          </w:p>
        </w:tc>
        <w:tc>
          <w:tcPr>
            <w:tcW w:w="1640" w:type="dxa"/>
            <w:vAlign w:val="bottom"/>
            <w:gridSpan w:val="2"/>
          </w:tcPr>
          <w:p>
            <w:pPr>
              <w:ind w:left="380"/>
              <w:spacing w:after="0"/>
              <w:rPr>
                <w:sz w:val="20"/>
                <w:szCs w:val="20"/>
                <w:color w:val="auto"/>
              </w:rPr>
            </w:pPr>
            <w:r>
              <w:rPr>
                <w:rFonts w:ascii="Courier New" w:cs="Courier New" w:eastAsia="Courier New" w:hAnsi="Courier New"/>
                <w:sz w:val="10"/>
                <w:szCs w:val="10"/>
                <w:color w:val="auto"/>
                <w:w w:val="71"/>
              </w:rPr>
              <w:t>-----------------------------</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8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2004</w:t>
            </w:r>
          </w:p>
        </w:tc>
        <w:tc>
          <w:tcPr>
            <w:tcW w:w="48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2003</w:t>
            </w:r>
          </w:p>
        </w:tc>
        <w:tc>
          <w:tcPr>
            <w:tcW w:w="400" w:type="dxa"/>
            <w:vAlign w:val="bottom"/>
          </w:tcPr>
          <w:p>
            <w:pPr>
              <w:spacing w:after="0"/>
              <w:rPr>
                <w:sz w:val="14"/>
                <w:szCs w:val="14"/>
                <w:color w:val="auto"/>
              </w:rPr>
            </w:pP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2004</w:t>
            </w:r>
          </w:p>
        </w:tc>
        <w:tc>
          <w:tcPr>
            <w:tcW w:w="44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34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3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59,920</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47,438</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173,278</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340" w:type="dxa"/>
            <w:vAlign w:val="bottom"/>
          </w:tcPr>
          <w:p>
            <w:pPr>
              <w:spacing w:after="0"/>
              <w:rPr>
                <w:sz w:val="20"/>
                <w:szCs w:val="20"/>
                <w:color w:val="auto"/>
              </w:rPr>
            </w:pPr>
            <w:r>
              <w:rPr>
                <w:rFonts w:ascii="Courier New" w:cs="Courier New" w:eastAsia="Courier New" w:hAnsi="Courier New"/>
                <w:sz w:val="14"/>
                <w:szCs w:val="14"/>
                <w:color w:val="auto"/>
              </w:rPr>
              <w:t>Other comprehensive income (loss):</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340"/>
              <w:spacing w:after="0"/>
              <w:rPr>
                <w:sz w:val="20"/>
                <w:szCs w:val="20"/>
                <w:color w:val="auto"/>
              </w:rPr>
            </w:pPr>
            <w:r>
              <w:rPr>
                <w:rFonts w:ascii="Courier New" w:cs="Courier New" w:eastAsia="Courier New" w:hAnsi="Courier New"/>
                <w:sz w:val="14"/>
                <w:szCs w:val="14"/>
                <w:color w:val="auto"/>
              </w:rPr>
              <w:t>Unrealized income (loss) on</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 hedging</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contracts, net of tax</w:t>
            </w:r>
          </w:p>
        </w:tc>
        <w:tc>
          <w:tcPr>
            <w:tcW w:w="7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2,716</w:t>
            </w:r>
          </w:p>
        </w:tc>
        <w:tc>
          <w:tcPr>
            <w:tcW w:w="4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6,151</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(2,846)</w:t>
            </w:r>
          </w:p>
        </w:tc>
        <w:tc>
          <w:tcPr>
            <w:tcW w:w="4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15,285</w:t>
            </w:r>
          </w:p>
        </w:tc>
      </w:tr>
      <w:tr>
        <w:trPr>
          <w:trHeight w:val="167"/>
        </w:trPr>
        <w:tc>
          <w:tcPr>
            <w:tcW w:w="3340" w:type="dxa"/>
            <w:vAlign w:val="bottom"/>
          </w:tcPr>
          <w:p>
            <w:pPr>
              <w:ind w:left="260"/>
              <w:spacing w:after="0"/>
              <w:rPr>
                <w:sz w:val="20"/>
                <w:szCs w:val="20"/>
                <w:color w:val="auto"/>
              </w:rPr>
            </w:pPr>
            <w:r>
              <w:rPr>
                <w:rFonts w:ascii="Courier New" w:cs="Courier New" w:eastAsia="Courier New" w:hAnsi="Courier New"/>
                <w:sz w:val="14"/>
                <w:szCs w:val="14"/>
                <w:color w:val="auto"/>
              </w:rPr>
              <w:t>Unrealized loss on short-term</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interest-bearing investments,</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net of tax</w:t>
            </w:r>
          </w:p>
        </w:tc>
        <w:tc>
          <w:tcPr>
            <w:tcW w:w="7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(1,687)</w:t>
            </w:r>
          </w:p>
        </w:tc>
        <w:tc>
          <w:tcPr>
            <w:tcW w:w="4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(882)</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(1,227)</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(1,931)</w:t>
            </w:r>
          </w:p>
        </w:tc>
      </w:tr>
      <w:tr>
        <w:trPr>
          <w:trHeight w:val="167"/>
        </w:trPr>
        <w:tc>
          <w:tcPr>
            <w:tcW w:w="334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4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60,949</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52,707</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169,205</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138,366</w:t>
            </w:r>
          </w:p>
        </w:tc>
      </w:tr>
      <w:tr>
        <w:trPr>
          <w:trHeight w:val="167"/>
        </w:trPr>
        <w:tc>
          <w:tcPr>
            <w:tcW w:w="334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60" w:hanging="351"/>
        <w:spacing w:after="0"/>
        <w:tabs>
          <w:tab w:leader="none" w:pos="3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The provision for income taxes for the following periods consisted of:</w:t>
      </w:r>
    </w:p>
    <w:p>
      <w:pPr>
        <w:spacing w:after="0" w:line="200" w:lineRule="exact"/>
        <w:rPr>
          <w:sz w:val="20"/>
          <w:szCs w:val="20"/>
          <w:color w:val="auto"/>
        </w:rPr>
      </w:pPr>
    </w:p>
    <w:p>
      <w:pPr>
        <w:spacing w:after="0" w:line="309"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460" w:type="dxa"/>
            <w:vAlign w:val="bottom"/>
            <w:gridSpan w:val="3"/>
          </w:tcPr>
          <w:p>
            <w:pPr>
              <w:jc w:val="right"/>
              <w:ind w:right="648"/>
              <w:spacing w:after="0"/>
              <w:rPr>
                <w:sz w:val="20"/>
                <w:szCs w:val="20"/>
                <w:color w:val="auto"/>
              </w:rPr>
            </w:pPr>
            <w:r>
              <w:rPr>
                <w:rFonts w:ascii="Courier New" w:cs="Courier New" w:eastAsia="Courier New" w:hAnsi="Courier New"/>
                <w:sz w:val="14"/>
                <w:szCs w:val="14"/>
                <w:color w:val="auto"/>
              </w:rPr>
              <w:t>Three months ended</w:t>
            </w:r>
          </w:p>
        </w:tc>
        <w:tc>
          <w:tcPr>
            <w:tcW w:w="440" w:type="dxa"/>
            <w:vAlign w:val="bottom"/>
          </w:tcPr>
          <w:p>
            <w:pPr>
              <w:spacing w:after="0"/>
              <w:rPr>
                <w:sz w:val="14"/>
                <w:szCs w:val="14"/>
                <w:color w:val="auto"/>
              </w:rPr>
            </w:pPr>
          </w:p>
        </w:tc>
        <w:tc>
          <w:tcPr>
            <w:tcW w:w="2400" w:type="dxa"/>
            <w:vAlign w:val="bottom"/>
            <w:gridSpan w:val="3"/>
          </w:tcPr>
          <w:p>
            <w:pPr>
              <w:jc w:val="right"/>
              <w:ind w:right="46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1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June 30,</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June 30,</w:t>
            </w:r>
          </w:p>
        </w:tc>
        <w:tc>
          <w:tcPr>
            <w:tcW w:w="880" w:type="dxa"/>
            <w:vAlign w:val="bottom"/>
          </w:tcPr>
          <w:p>
            <w:pPr>
              <w:spacing w:after="0"/>
              <w:rPr>
                <w:sz w:val="14"/>
                <w:szCs w:val="14"/>
                <w:color w:val="auto"/>
              </w:rPr>
            </w:pPr>
          </w:p>
        </w:tc>
      </w:tr>
      <w:tr>
        <w:trPr>
          <w:trHeight w:val="167"/>
        </w:trPr>
        <w:tc>
          <w:tcPr>
            <w:tcW w:w="1740" w:type="dxa"/>
            <w:vAlign w:val="bottom"/>
          </w:tcPr>
          <w:p>
            <w:pPr>
              <w:spacing w:after="0"/>
              <w:rPr>
                <w:sz w:val="14"/>
                <w:szCs w:val="14"/>
                <w:color w:val="auto"/>
              </w:rPr>
            </w:pPr>
          </w:p>
        </w:tc>
        <w:tc>
          <w:tcPr>
            <w:tcW w:w="3240" w:type="dxa"/>
            <w:vAlign w:val="bottom"/>
            <w:gridSpan w:val="2"/>
          </w:tcPr>
          <w:p>
            <w:pPr>
              <w:ind w:left="1980"/>
              <w:spacing w:after="0"/>
              <w:rPr>
                <w:sz w:val="20"/>
                <w:szCs w:val="20"/>
                <w:color w:val="auto"/>
              </w:rPr>
            </w:pPr>
            <w:r>
              <w:rPr>
                <w:rFonts w:ascii="Courier New" w:cs="Courier New" w:eastAsia="Courier New" w:hAnsi="Courier New"/>
                <w:sz w:val="9"/>
                <w:szCs w:val="9"/>
                <w:color w:val="auto"/>
                <w:w w:val="76"/>
              </w:rPr>
              <w:t>------------------------------</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2004</w:t>
            </w:r>
          </w:p>
        </w:tc>
        <w:tc>
          <w:tcPr>
            <w:tcW w:w="520" w:type="dxa"/>
            <w:vAlign w:val="bottom"/>
          </w:tcPr>
          <w:p>
            <w:pPr>
              <w:spacing w:after="0"/>
              <w:rPr>
                <w:sz w:val="14"/>
                <w:szCs w:val="14"/>
                <w:color w:val="auto"/>
              </w:rPr>
            </w:pP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2004</w:t>
            </w:r>
          </w:p>
        </w:tc>
        <w:tc>
          <w:tcPr>
            <w:tcW w:w="44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1740" w:type="dxa"/>
            <w:vAlign w:val="bottom"/>
          </w:tcPr>
          <w:p>
            <w:pPr>
              <w:spacing w:after="0"/>
              <w:rPr>
                <w:sz w:val="14"/>
                <w:szCs w:val="14"/>
                <w:color w:val="auto"/>
              </w:rPr>
            </w:pPr>
          </w:p>
        </w:tc>
        <w:tc>
          <w:tcPr>
            <w:tcW w:w="3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74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2340" w:type="dxa"/>
            <w:vAlign w:val="bottom"/>
          </w:tcPr>
          <w:p>
            <w:pPr>
              <w:ind w:left="19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32,755</w:t>
            </w:r>
          </w:p>
        </w:tc>
        <w:tc>
          <w:tcPr>
            <w:tcW w:w="5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10,571</w:t>
            </w: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56,966</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31,115</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3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(15,855)</w:t>
            </w:r>
          </w:p>
        </w:tc>
        <w:tc>
          <w:tcPr>
            <w:tcW w:w="52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5,242</w:t>
            </w:r>
          </w:p>
        </w:tc>
        <w:tc>
          <w:tcPr>
            <w:tcW w:w="4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(8,093)</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10,556</w:t>
            </w:r>
          </w:p>
        </w:tc>
      </w:tr>
      <w:tr>
        <w:trPr>
          <w:trHeight w:val="167"/>
        </w:trPr>
        <w:tc>
          <w:tcPr>
            <w:tcW w:w="1740" w:type="dxa"/>
            <w:vAlign w:val="bottom"/>
          </w:tcPr>
          <w:p>
            <w:pPr>
              <w:spacing w:after="0"/>
              <w:rPr>
                <w:sz w:val="14"/>
                <w:szCs w:val="14"/>
                <w:color w:val="auto"/>
              </w:rPr>
            </w:pPr>
          </w:p>
        </w:tc>
        <w:tc>
          <w:tcPr>
            <w:tcW w:w="3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740" w:type="dxa"/>
            <w:vAlign w:val="bottom"/>
          </w:tcPr>
          <w:p>
            <w:pPr>
              <w:spacing w:after="0"/>
              <w:rPr>
                <w:sz w:val="14"/>
                <w:szCs w:val="14"/>
                <w:color w:val="auto"/>
              </w:rPr>
            </w:pPr>
          </w:p>
        </w:tc>
        <w:tc>
          <w:tcPr>
            <w:tcW w:w="2340" w:type="dxa"/>
            <w:vAlign w:val="bottom"/>
          </w:tcPr>
          <w:p>
            <w:pPr>
              <w:ind w:left="19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16,900</w:t>
            </w:r>
          </w:p>
        </w:tc>
        <w:tc>
          <w:tcPr>
            <w:tcW w:w="5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15,813</w:t>
            </w: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48,873</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41,671</w:t>
            </w:r>
          </w:p>
        </w:tc>
      </w:tr>
      <w:tr>
        <w:trPr>
          <w:trHeight w:val="167"/>
        </w:trPr>
        <w:tc>
          <w:tcPr>
            <w:tcW w:w="1740" w:type="dxa"/>
            <w:vAlign w:val="bottom"/>
          </w:tcPr>
          <w:p>
            <w:pPr>
              <w:spacing w:after="0"/>
              <w:rPr>
                <w:sz w:val="14"/>
                <w:szCs w:val="14"/>
                <w:color w:val="auto"/>
              </w:rPr>
            </w:pPr>
          </w:p>
        </w:tc>
        <w:tc>
          <w:tcPr>
            <w:tcW w:w="3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68"/>
        </w:trPr>
        <w:tc>
          <w:tcPr>
            <w:tcW w:w="1740" w:type="dxa"/>
            <w:vAlign w:val="bottom"/>
          </w:tcPr>
          <w:p>
            <w:pPr>
              <w:spacing w:after="0"/>
              <w:rPr>
                <w:sz w:val="24"/>
                <w:szCs w:val="24"/>
                <w:color w:val="auto"/>
              </w:rPr>
            </w:pPr>
          </w:p>
        </w:tc>
        <w:tc>
          <w:tcPr>
            <w:tcW w:w="2340" w:type="dxa"/>
            <w:vAlign w:val="bottom"/>
          </w:tcPr>
          <w:p>
            <w:pPr>
              <w:jc w:val="right"/>
              <w:ind w:right="1071"/>
              <w:spacing w:after="0"/>
              <w:rPr>
                <w:sz w:val="20"/>
                <w:szCs w:val="20"/>
                <w:color w:val="auto"/>
              </w:rPr>
            </w:pPr>
            <w:r>
              <w:rPr>
                <w:rFonts w:ascii="Courier New" w:cs="Courier New" w:eastAsia="Courier New" w:hAnsi="Courier New"/>
                <w:sz w:val="14"/>
                <w:szCs w:val="14"/>
                <w:color w:val="auto"/>
              </w:rPr>
              <w:t>66</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453" w:right="1440" w:bottom="1440" w:gutter="0" w:footer="0" w:header="0"/>
        </w:sectPr>
      </w:pPr>
    </w:p>
    <w:bookmarkStart w:id="84" w:name="page85"/>
    <w:bookmarkEnd w:id="84"/>
    <w:p>
      <w:pPr>
        <w:jc w:val="center"/>
        <w:ind w:right="330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right="3560" w:firstLine="781"/>
        <w:spacing w:after="0" w:line="258" w:lineRule="auto"/>
        <w:rPr>
          <w:sz w:val="20"/>
          <w:szCs w:val="20"/>
          <w:color w:val="auto"/>
        </w:rPr>
      </w:pPr>
      <w:r>
        <w:rPr>
          <w:rFonts w:ascii="Courier New" w:cs="Courier New" w:eastAsia="Courier New" w:hAnsi="Courier New"/>
          <w:sz w:val="14"/>
          <w:szCs w:val="14"/>
          <w:color w:val="auto"/>
        </w:rPr>
        <w:t>The effective income tax rate varied from the statutory Guernsey tax rate as follows for the following periods:</w:t>
      </w:r>
    </w:p>
    <w:p>
      <w:pPr>
        <w:spacing w:after="0" w:line="200" w:lineRule="exact"/>
        <w:rPr>
          <w:sz w:val="20"/>
          <w:szCs w:val="20"/>
          <w:color w:val="auto"/>
        </w:rPr>
      </w:pPr>
    </w:p>
    <w:p>
      <w:pPr>
        <w:spacing w:after="0" w:line="294"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364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Three months ended</w:t>
            </w:r>
          </w:p>
        </w:tc>
        <w:tc>
          <w:tcPr>
            <w:tcW w:w="29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00" w:type="dxa"/>
            <w:vAlign w:val="bottom"/>
          </w:tcPr>
          <w:p>
            <w:pPr>
              <w:jc w:val="right"/>
              <w:ind w:right="1148"/>
              <w:spacing w:after="0"/>
              <w:rPr>
                <w:sz w:val="20"/>
                <w:szCs w:val="20"/>
                <w:color w:val="auto"/>
              </w:rPr>
            </w:pPr>
            <w:r>
              <w:rPr>
                <w:rFonts w:ascii="Courier New" w:cs="Courier New" w:eastAsia="Courier New" w:hAnsi="Courier New"/>
                <w:sz w:val="14"/>
                <w:szCs w:val="14"/>
                <w:color w:val="auto"/>
                <w:w w:val="98"/>
              </w:rPr>
              <w:t>June 30,</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June 30,</w:t>
            </w:r>
          </w:p>
        </w:tc>
        <w:tc>
          <w:tcPr>
            <w:tcW w:w="1060" w:type="dxa"/>
            <w:vAlign w:val="bottom"/>
          </w:tcPr>
          <w:p>
            <w:pPr>
              <w:spacing w:after="0"/>
              <w:rPr>
                <w:sz w:val="14"/>
                <w:szCs w:val="14"/>
                <w:color w:val="auto"/>
              </w:rPr>
            </w:pPr>
          </w:p>
        </w:tc>
      </w:tr>
      <w:tr>
        <w:trPr>
          <w:trHeight w:val="167"/>
        </w:trPr>
        <w:tc>
          <w:tcPr>
            <w:tcW w:w="3040" w:type="dxa"/>
            <w:vAlign w:val="bottom"/>
          </w:tcPr>
          <w:p>
            <w:pPr>
              <w:spacing w:after="0"/>
              <w:rPr>
                <w:sz w:val="14"/>
                <w:szCs w:val="14"/>
                <w:color w:val="auto"/>
              </w:rPr>
            </w:pPr>
          </w:p>
        </w:tc>
        <w:tc>
          <w:tcPr>
            <w:tcW w:w="3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14"/>
                <w:szCs w:val="14"/>
                <w:color w:val="auto"/>
              </w:rPr>
            </w:pPr>
          </w:p>
        </w:tc>
        <w:tc>
          <w:tcPr>
            <w:tcW w:w="174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2004</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2003</w:t>
            </w:r>
          </w:p>
        </w:tc>
        <w:tc>
          <w:tcPr>
            <w:tcW w:w="19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2004</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0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3040" w:type="dxa"/>
            <w:vAlign w:val="bottom"/>
          </w:tcPr>
          <w:p>
            <w:pPr>
              <w:spacing w:after="0"/>
              <w:rPr>
                <w:sz w:val="20"/>
                <w:szCs w:val="20"/>
                <w:color w:val="auto"/>
              </w:rPr>
            </w:pPr>
            <w:r>
              <w:rPr>
                <w:rFonts w:ascii="Courier New" w:cs="Courier New" w:eastAsia="Courier New" w:hAnsi="Courier New"/>
                <w:sz w:val="14"/>
                <w:szCs w:val="14"/>
                <w:color w:val="auto"/>
              </w:rPr>
              <w:t>Statutory Guernsey tax rate</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Guernsey tax-exempt status</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Foreign taxes</w:t>
            </w:r>
          </w:p>
        </w:tc>
        <w:tc>
          <w:tcPr>
            <w:tcW w:w="1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w:t>
            </w:r>
          </w:p>
        </w:tc>
        <w:tc>
          <w:tcPr>
            <w:tcW w:w="19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22</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w:t>
            </w:r>
          </w:p>
        </w:tc>
      </w:tr>
      <w:tr>
        <w:trPr>
          <w:trHeight w:val="167"/>
        </w:trPr>
        <w:tc>
          <w:tcPr>
            <w:tcW w:w="30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Effective income tax rate</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w:t>
            </w:r>
          </w:p>
        </w:tc>
      </w:tr>
      <w:tr>
        <w:trPr>
          <w:trHeight w:val="167"/>
        </w:trPr>
        <w:tc>
          <w:tcPr>
            <w:tcW w:w="30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right="3400" w:firstLine="260"/>
        <w:spacing w:after="0" w:line="255" w:lineRule="auto"/>
        <w:rPr>
          <w:sz w:val="20"/>
          <w:szCs w:val="20"/>
          <w:color w:val="auto"/>
        </w:rPr>
      </w:pPr>
      <w:r>
        <w:rPr>
          <w:rFonts w:ascii="Courier New" w:cs="Courier New" w:eastAsia="Courier New" w:hAnsi="Courier New"/>
          <w:sz w:val="14"/>
          <w:szCs w:val="14"/>
          <w:color w:val="auto"/>
        </w:rPr>
        <w:t>As a Guernsey corporation with tax-exempt status, the Company's overall effective tax rate is attributable solely to foreign taxes and for fiscal year 2004 is expected to approximate 22%.</w:t>
      </w:r>
    </w:p>
    <w:p>
      <w:pPr>
        <w:spacing w:after="0" w:line="162" w:lineRule="exact"/>
        <w:rPr>
          <w:sz w:val="20"/>
          <w:szCs w:val="20"/>
          <w:color w:val="auto"/>
        </w:rPr>
      </w:pPr>
    </w:p>
    <w:p>
      <w:pPr>
        <w:ind w:left="360" w:hanging="351"/>
        <w:spacing w:after="0"/>
        <w:tabs>
          <w:tab w:leader="none" w:pos="3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175" w:lineRule="exact"/>
        <w:rPr>
          <w:sz w:val="20"/>
          <w:szCs w:val="20"/>
          <w:color w:val="auto"/>
        </w:rPr>
      </w:pPr>
    </w:p>
    <w:p>
      <w:pPr>
        <w:ind w:right="3820" w:firstLine="608"/>
        <w:spacing w:after="0" w:line="258" w:lineRule="auto"/>
        <w:rPr>
          <w:sz w:val="20"/>
          <w:szCs w:val="20"/>
          <w:color w:val="auto"/>
        </w:rPr>
      </w:pPr>
      <w:r>
        <w:rPr>
          <w:rFonts w:ascii="Courier New" w:cs="Courier New" w:eastAsia="Courier New" w:hAnsi="Courier New"/>
          <w:sz w:val="14"/>
          <w:szCs w:val="14"/>
          <w:color w:val="auto"/>
        </w:rPr>
        <w:t>The following table sets forth the computation of basic and diluted earnings per share:</w:t>
      </w:r>
    </w:p>
    <w:p>
      <w:pPr>
        <w:spacing w:after="0" w:line="200" w:lineRule="exact"/>
        <w:rPr>
          <w:sz w:val="20"/>
          <w:szCs w:val="20"/>
          <w:color w:val="auto"/>
        </w:rPr>
      </w:pPr>
    </w:p>
    <w:p>
      <w:pPr>
        <w:spacing w:after="0" w:line="294"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20" w:type="dxa"/>
            <w:vAlign w:val="bottom"/>
            <w:gridSpan w:val="3"/>
          </w:tcPr>
          <w:p>
            <w:pPr>
              <w:jc w:val="right"/>
              <w:ind w:right="808"/>
              <w:spacing w:after="0"/>
              <w:rPr>
                <w:sz w:val="20"/>
                <w:szCs w:val="20"/>
                <w:color w:val="auto"/>
              </w:rPr>
            </w:pPr>
            <w:r>
              <w:rPr>
                <w:rFonts w:ascii="Courier New" w:cs="Courier New" w:eastAsia="Courier New" w:hAnsi="Courier New"/>
                <w:sz w:val="14"/>
                <w:szCs w:val="14"/>
                <w:color w:val="auto"/>
              </w:rPr>
              <w:t>Three months ended</w:t>
            </w:r>
          </w:p>
        </w:tc>
        <w:tc>
          <w:tcPr>
            <w:tcW w:w="260" w:type="dxa"/>
            <w:vAlign w:val="bottom"/>
          </w:tcPr>
          <w:p>
            <w:pPr>
              <w:spacing w:after="0"/>
              <w:rPr>
                <w:sz w:val="14"/>
                <w:szCs w:val="14"/>
                <w:color w:val="auto"/>
              </w:rPr>
            </w:pPr>
          </w:p>
        </w:tc>
        <w:tc>
          <w:tcPr>
            <w:tcW w:w="242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June 30,</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June 30,</w:t>
            </w:r>
          </w:p>
        </w:tc>
        <w:tc>
          <w:tcPr>
            <w:tcW w:w="860" w:type="dxa"/>
            <w:vAlign w:val="bottom"/>
          </w:tcPr>
          <w:p>
            <w:pPr>
              <w:spacing w:after="0"/>
              <w:rPr>
                <w:sz w:val="14"/>
                <w:szCs w:val="14"/>
                <w:color w:val="auto"/>
              </w:rPr>
            </w:pPr>
          </w:p>
        </w:tc>
      </w:tr>
      <w:tr>
        <w:trPr>
          <w:trHeight w:val="167"/>
        </w:trPr>
        <w:tc>
          <w:tcPr>
            <w:tcW w:w="3640" w:type="dxa"/>
            <w:vAlign w:val="bottom"/>
          </w:tcPr>
          <w:p>
            <w:pPr>
              <w:spacing w:after="0"/>
              <w:rPr>
                <w:sz w:val="14"/>
                <w:szCs w:val="14"/>
                <w:color w:val="auto"/>
              </w:rPr>
            </w:pPr>
          </w:p>
        </w:tc>
        <w:tc>
          <w:tcPr>
            <w:tcW w:w="32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w:t>
            </w:r>
          </w:p>
        </w:tc>
        <w:tc>
          <w:tcPr>
            <w:tcW w:w="268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w:t>
            </w:r>
          </w:p>
        </w:tc>
      </w:tr>
      <w:tr>
        <w:trPr>
          <w:trHeight w:val="167"/>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2004</w:t>
            </w:r>
          </w:p>
        </w:tc>
        <w:tc>
          <w:tcPr>
            <w:tcW w:w="80" w:type="dxa"/>
            <w:vAlign w:val="bottom"/>
          </w:tcPr>
          <w:p>
            <w:pPr>
              <w:spacing w:after="0"/>
              <w:rPr>
                <w:sz w:val="14"/>
                <w:szCs w:val="14"/>
                <w:color w:val="auto"/>
              </w:rPr>
            </w:pP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2003</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2004</w:t>
            </w:r>
          </w:p>
        </w:tc>
        <w:tc>
          <w:tcPr>
            <w:tcW w:w="7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640" w:type="dxa"/>
            <w:vAlign w:val="bottom"/>
          </w:tcPr>
          <w:p>
            <w:pPr>
              <w:spacing w:after="0"/>
              <w:rPr>
                <w:sz w:val="14"/>
                <w:szCs w:val="14"/>
                <w:color w:val="auto"/>
              </w:rPr>
            </w:pPr>
          </w:p>
        </w:tc>
        <w:tc>
          <w:tcPr>
            <w:tcW w:w="1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w:t>
            </w:r>
          </w:p>
        </w:tc>
      </w:tr>
      <w:tr>
        <w:trPr>
          <w:trHeight w:val="501"/>
        </w:trPr>
        <w:tc>
          <w:tcPr>
            <w:tcW w:w="3640" w:type="dxa"/>
            <w:vAlign w:val="bottom"/>
          </w:tcPr>
          <w:p>
            <w:pPr>
              <w:spacing w:after="0"/>
              <w:rPr>
                <w:sz w:val="20"/>
                <w:szCs w:val="20"/>
                <w:color w:val="auto"/>
              </w:rPr>
            </w:pPr>
            <w:r>
              <w:rPr>
                <w:rFonts w:ascii="Courier New" w:cs="Courier New" w:eastAsia="Courier New" w:hAnsi="Courier New"/>
                <w:sz w:val="14"/>
                <w:szCs w:val="14"/>
                <w:color w:val="auto"/>
              </w:rPr>
              <w:t>Numerator:</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59,920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47,438</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173,278</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640" w:type="dxa"/>
            <w:vAlign w:val="bottom"/>
          </w:tcPr>
          <w:p>
            <w:pPr>
              <w:spacing w:after="0"/>
              <w:rPr>
                <w:sz w:val="20"/>
                <w:szCs w:val="20"/>
                <w:color w:val="auto"/>
              </w:rPr>
            </w:pPr>
            <w:r>
              <w:rPr>
                <w:rFonts w:ascii="Courier New" w:cs="Courier New" w:eastAsia="Courier New" w:hAnsi="Courier New"/>
                <w:sz w:val="14"/>
                <w:szCs w:val="14"/>
                <w:color w:val="auto"/>
              </w:rPr>
              <w:t>Denominator:</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Denominator for basic earnings per</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share-</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340"/>
              <w:spacing w:after="0"/>
              <w:rPr>
                <w:sz w:val="20"/>
                <w:szCs w:val="20"/>
                <w:color w:val="auto"/>
              </w:rPr>
            </w:pPr>
            <w:r>
              <w:rPr>
                <w:rFonts w:ascii="Courier New" w:cs="Courier New" w:eastAsia="Courier New" w:hAnsi="Courier New"/>
                <w:sz w:val="14"/>
                <w:szCs w:val="14"/>
                <w:color w:val="auto"/>
              </w:rPr>
              <w:t>weighted average number of shares</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outstanding (1)</w:t>
            </w:r>
          </w:p>
        </w:tc>
        <w:tc>
          <w:tcPr>
            <w:tcW w:w="400" w:type="dxa"/>
            <w:vAlign w:val="bottom"/>
          </w:tcPr>
          <w:p>
            <w:pPr>
              <w:spacing w:after="0"/>
              <w:rPr>
                <w:sz w:val="14"/>
                <w:szCs w:val="14"/>
                <w:color w:val="auto"/>
              </w:rPr>
            </w:pP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206,093</w:t>
            </w:r>
          </w:p>
        </w:tc>
        <w:tc>
          <w:tcPr>
            <w:tcW w:w="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215,938</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210,409</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215,786</w:t>
            </w:r>
          </w:p>
        </w:tc>
      </w:tr>
      <w:tr>
        <w:trPr>
          <w:trHeight w:val="33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Effect of dilutive stock options</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granted</w:t>
            </w:r>
          </w:p>
        </w:tc>
        <w:tc>
          <w:tcPr>
            <w:tcW w:w="400" w:type="dxa"/>
            <w:vAlign w:val="bottom"/>
          </w:tcPr>
          <w:p>
            <w:pPr>
              <w:spacing w:after="0"/>
              <w:rPr>
                <w:sz w:val="14"/>
                <w:szCs w:val="14"/>
                <w:color w:val="auto"/>
              </w:rPr>
            </w:pP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5,708</w:t>
            </w:r>
          </w:p>
        </w:tc>
        <w:tc>
          <w:tcPr>
            <w:tcW w:w="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4,854</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5,777</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3,167</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Denominator for diluted earnings per</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share -</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340"/>
              <w:spacing w:after="0"/>
              <w:rPr>
                <w:sz w:val="20"/>
                <w:szCs w:val="20"/>
                <w:color w:val="auto"/>
              </w:rPr>
            </w:pPr>
            <w:r>
              <w:rPr>
                <w:rFonts w:ascii="Courier New" w:cs="Courier New" w:eastAsia="Courier New" w:hAnsi="Courier New"/>
                <w:sz w:val="14"/>
                <w:szCs w:val="14"/>
                <w:color w:val="auto"/>
              </w:rPr>
              <w:t>adjusted weighted average shares and</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340"/>
              <w:spacing w:after="0"/>
              <w:rPr>
                <w:sz w:val="20"/>
                <w:szCs w:val="20"/>
                <w:color w:val="auto"/>
              </w:rPr>
            </w:pPr>
            <w:r>
              <w:rPr>
                <w:rFonts w:ascii="Courier New" w:cs="Courier New" w:eastAsia="Courier New" w:hAnsi="Courier New"/>
                <w:sz w:val="14"/>
                <w:szCs w:val="14"/>
                <w:color w:val="auto"/>
              </w:rPr>
              <w:t>assumed conversions (1)</w:t>
            </w:r>
          </w:p>
        </w:tc>
        <w:tc>
          <w:tcPr>
            <w:tcW w:w="400" w:type="dxa"/>
            <w:vAlign w:val="bottom"/>
          </w:tcPr>
          <w:p>
            <w:pPr>
              <w:spacing w:after="0"/>
              <w:rPr>
                <w:sz w:val="14"/>
                <w:szCs w:val="14"/>
                <w:color w:val="auto"/>
              </w:rPr>
            </w:pP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211,801</w:t>
            </w:r>
          </w:p>
        </w:tc>
        <w:tc>
          <w:tcPr>
            <w:tcW w:w="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220,792</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216,186</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218,953</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Basic earnings per share</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0.29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0.22</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0.82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0.58</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Diluted earnings per share</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0.28</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0.21</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0.80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0.57</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1060" w:right="3300" w:hanging="357"/>
        <w:spacing w:after="0" w:line="253" w:lineRule="auto"/>
        <w:tabs>
          <w:tab w:leader="none" w:pos="1234"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weighted average number of shares outstanding during the three months and nine months ended June 30, 2003 includes exchangeable shares held by shareholders of Amdocs Canada, Inc. (formerly Solect Technology Group Inc. ("Solect")) pursuant to the Company's acquisition of Solect in April 2000, which were exchangeable for the Company's ordinary shares on a one-for-one basis. As of August 2003, none of the exchangeable shares remained outstanding.</w:t>
      </w:r>
    </w:p>
    <w:p>
      <w:pPr>
        <w:spacing w:after="0" w:line="165" w:lineRule="exact"/>
        <w:rPr>
          <w:sz w:val="20"/>
          <w:szCs w:val="20"/>
          <w:color w:val="auto"/>
        </w:rPr>
      </w:pPr>
    </w:p>
    <w:p>
      <w:pPr>
        <w:ind w:left="440" w:right="3300" w:firstLine="347"/>
        <w:spacing w:after="0" w:line="253" w:lineRule="auto"/>
        <w:rPr>
          <w:sz w:val="20"/>
          <w:szCs w:val="20"/>
          <w:color w:val="auto"/>
        </w:rPr>
      </w:pPr>
      <w:r>
        <w:rPr>
          <w:rFonts w:ascii="Courier New" w:cs="Courier New" w:eastAsia="Courier New" w:hAnsi="Courier New"/>
          <w:sz w:val="14"/>
          <w:szCs w:val="14"/>
          <w:color w:val="auto"/>
        </w:rPr>
        <w:t>The effect of the 2% Convertible Notes due June 1, 2008 issued by the Company in May 2001 (the "2% Notes") on diluted earnings per share was anti-dilutive for the three months and nine months ended June 30, 2004 and 2003, and, therefore, was not included in the above calculation. The effect of the 0.50% Convertible Senior Notes due 2024 (the "0.50% Notes") issued by the Company in March 2004 on diluted earnings per share was not included in the above calculation due to the conditions on their conversion (see Note 11). The weighted average effect of the repurchase of ordinary shares by the Company has been included in the calculation of basic earnings per share.</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60"/>
          </w:cols>
          <w:pgMar w:left="220" w:top="620" w:right="1419" w:bottom="306" w:gutter="0" w:footer="0" w:header="0"/>
        </w:sectPr>
      </w:pPr>
    </w:p>
    <w:bookmarkStart w:id="85" w:name="page86"/>
    <w:bookmarkEnd w:id="85"/>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800" w:right="7719" w:hanging="791"/>
        <w:spacing w:after="0" w:line="505" w:lineRule="auto"/>
        <w:tabs>
          <w:tab w:leader="none" w:pos="453"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 of Securities Ordinary Shares</w:t>
      </w: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On November 5, 2003, the Company announced that its board of directors had authorized a share repurchase program of up to 5,000 ordinary shares during fiscal 2004. The authorization permits the Company to purchase ordinary shares in the open market or in privately negotiated transactions and at prices the Company deems appropriate. The Company stated that one of the main purposes of the repurchase program was to offset the dilutive effect of any future share issuances, including issuances pursuant to employee equity plans or in connection with acquisitions. During the three months ended December 31, 2003 the Company repurchased 4,990 ordinary shares under this repurchase program, for an aggregate purchase price of $123,993. No share repurchases under this program were made in the six months ended June 30, 2004.</w:t>
      </w:r>
    </w:p>
    <w:p>
      <w:pPr>
        <w:spacing w:after="0" w:line="164"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In connection with the Company's acquisition of XACCT Technologies Ltd. (see Note 10), the Company's board of directors approved the repurchase of ordinary shares to offset the dilutive effect of share issuances in the acquisition. The closing of the acquisition occurred in February 2004, and the Company repurchased 484 ordinary shares in February 2004 for an aggregate purchase price of $13,417.</w:t>
      </w:r>
    </w:p>
    <w:p>
      <w:pPr>
        <w:spacing w:after="0" w:line="16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In connection with the Company's issuance of the 0.50% Notes (see Note 11), the board of directors approved the repurchase of ordinary shares sold short by purchasers of the 0.50% Notes in negotiated transactions, concurrently with the sale of the notes, to offset the dilutive effect of the ordinary shares issuable upon conversion of the 0.50% Notes. The closing of the sale of the 0.50% Notes occurred in March 2004, and the Company repurchased 6,074 ordinary shares for an aggregate purchase price of $170,061, out of the 10,436 ordinary shares issuable upon conversion of the 0.50% Notes, based on a conversion rate of 23.1911 shares per $1,000 principal amount.</w:t>
      </w:r>
    </w:p>
    <w:p>
      <w:pPr>
        <w:spacing w:after="0" w:line="164" w:lineRule="exact"/>
        <w:rPr>
          <w:sz w:val="20"/>
          <w:szCs w:val="20"/>
          <w:color w:val="auto"/>
        </w:rPr>
      </w:pP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On July 28, 2004 the Company announced that its board of directors had extended the Company's share repurchase program by authorizing the repurchase of up to $100,000 of its outstanding ordinary shares. The authorization permits the Company to purchase its ordinary shares in open market or privately negotiated transactions at times and prices considered appropriate by the Company. As of August 10, 2004, the Company had repurchased 2,219 ordinary shares under this repurchase program, for an aggregate purchase price of $46,811.</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Convertible Notes</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In July 2002, the board of directors authorized the Company to repurchase its outstanding 2% Notes, in such amounts, at such prices and at such times considered appropriate by the Company. During the three months ended December 31, 2003, the Company repurchased $5,000 aggregate principal amount of the 2% Notes for an aggregate purchase price of $4,987. During fiscal 2003 and 2002, the Company repurchased $99,546 aggregate principal amount of the 2% Notes for an aggregate purchase price of $93,087.</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On June 1, 2004, the Company completed a cash offer for the 2% Notes.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Pursuant to the indenture for the 2% Notes, each holder of the 2% Notes had</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right to require the Company to repurchase on June 1, 2004 all or any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part of such holder's notes at a price equal to 100% of the principal</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amount plus accrued and unpaid interest. Under the terms of the 2% Notes,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had the option to pay for the 2% Notes with cash, ordinary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shares, or a combination of cash and ordinary shares. The Company elected</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pay for the notes solely with cash. The Company accepted for payment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$395,110 principal amount of 2% Notes surrendered for repurchase pursuant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the offer. The untendered $344 principal amount of 2% Notes will remain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obligations of the Company, due June 1, 2008, in accordance with</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453" w:right="1440" w:bottom="1440" w:gutter="0" w:footer="0" w:header="0"/>
        </w:sectPr>
      </w:pPr>
    </w:p>
    <w:bookmarkStart w:id="86" w:name="page87"/>
    <w:bookmarkEnd w:id="86"/>
    <w:p>
      <w:pPr>
        <w:jc w:val="center"/>
        <w:ind w:right="371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their terms, and are included in "Noncurrent liabilities and other" in the accompanying consolidated balance sheet as of June 30, 2004.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ACQUISITIONS</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CERTEN INC.</w:t>
      </w:r>
    </w:p>
    <w:p>
      <w:pPr>
        <w:spacing w:after="0" w:line="175"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On July 2, 2003, the Company acquired from Bell Canada ("Bell") its 90% ownership interest in Certen (renamed Amdocs Canada Managed Services, Inc.) for approximately $66,000 in cash. In addition, the Company had related transaction costs of approximately $3,000. The Company and Bell formed Certen in January 2001 to provide customer care and billing solutions to Bell and a number of Bell's affiliated companies. Prior to this acquisition, the Company owned 10% of Certen. As a result of the acquisition, Certen is now a wholly owned subsidiary of the Company. Since Certen's inception, the Company has provided customer care and billing software required by Certen, including related customization, installation, maintenance and other services. This acquisition expanded the Company's Managed Services offerings and positioned it as a major provider of Managed Services to the communications industry, and was its next logical step in the evolution of its relationship with Bell. In addition, as a result of this acquisition, the Company continued to develop an integrated billing platform to replace legacy systems built on a product-by-product basis. Following the acquisition, Certen continued to provide Managed Services to Bell as it did prior to the acquisition, and the wholly owned subsidiary contributes a positive cash flow to the Company. The acquisition did not affect the Company's liquidity position. The fair market value of Certen's assets and liabilities has been included in the Company's consolidated balance sheet and the results of Certen's operations have been included in the Company's consolidated statements of income, commencing on July 2, 2003.</w:t>
      </w:r>
    </w:p>
    <w:p>
      <w:pPr>
        <w:spacing w:after="0" w:line="34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following is the revised allocation of the purchase price and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20"/>
                <w:szCs w:val="20"/>
                <w:color w:val="auto"/>
              </w:rPr>
            </w:pPr>
            <w:r>
              <w:rPr>
                <w:rFonts w:ascii="Courier New" w:cs="Courier New" w:eastAsia="Courier New" w:hAnsi="Courier New"/>
                <w:sz w:val="14"/>
                <w:szCs w:val="14"/>
                <w:color w:val="auto"/>
              </w:rPr>
              <w:t>deferred tax liability:</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35"/>
        </w:trPr>
        <w:tc>
          <w:tcPr>
            <w:tcW w:w="6980" w:type="dxa"/>
            <w:vAlign w:val="bottom"/>
          </w:tcPr>
          <w:p>
            <w:pPr>
              <w:ind w:left="520"/>
              <w:spacing w:after="0"/>
              <w:rPr>
                <w:sz w:val="20"/>
                <w:szCs w:val="20"/>
                <w:color w:val="auto"/>
              </w:rPr>
            </w:pPr>
            <w:r>
              <w:rPr>
                <w:rFonts w:ascii="Courier New" w:cs="Courier New" w:eastAsia="Courier New" w:hAnsi="Courier New"/>
                <w:sz w:val="14"/>
                <w:szCs w:val="14"/>
                <w:color w:val="auto"/>
              </w:rPr>
              <w:t>Purchase price</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65,887</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Estimated transaction costs</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2,925</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Total purchase price</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68,812</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Write-off of deferred revenue and allowance on Amdocs books, net of</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tax</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(33,666)</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Net amount for purchase price allocation</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35,146</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980" w:type="dxa"/>
            <w:vAlign w:val="bottom"/>
          </w:tcPr>
          <w:p>
            <w:pPr>
              <w:ind w:left="520"/>
              <w:spacing w:after="0"/>
              <w:rPr>
                <w:sz w:val="20"/>
                <w:szCs w:val="20"/>
                <w:color w:val="auto"/>
              </w:rPr>
            </w:pPr>
            <w:r>
              <w:rPr>
                <w:rFonts w:ascii="Courier New" w:cs="Courier New" w:eastAsia="Courier New" w:hAnsi="Courier New"/>
                <w:sz w:val="14"/>
                <w:szCs w:val="14"/>
                <w:color w:val="auto"/>
              </w:rPr>
              <w:t>Allocation of purchase price:</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90% tangible assets acquired, net of capitalized Amdocs system on</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Certen's books</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80,929</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90% liabilities assumed</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(241,460)</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Net liabilities acquired</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(160,531)</w:t>
            </w:r>
          </w:p>
        </w:tc>
      </w:tr>
      <w:tr>
        <w:trPr>
          <w:trHeight w:val="334"/>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Customer arrangement</w:t>
            </w:r>
          </w:p>
        </w:tc>
        <w:tc>
          <w:tcPr>
            <w:tcW w:w="48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36,385</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Adjustment to fair value of pension and other post-employment benefit</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liabilities</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(12,605)</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EITF 95-3 and other liabilities</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(2,857)</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Deferred taxes resulting from the difference between the assigned</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value of certain assets and liabilities and their respective tax</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bases</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73,673</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Net fair value of liabilities acquired</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(65,935)</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Goodwill</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101,081</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501"/>
        </w:trPr>
        <w:tc>
          <w:tcPr>
            <w:tcW w:w="6980" w:type="dxa"/>
            <w:vAlign w:val="bottom"/>
          </w:tcPr>
          <w:p>
            <w:pPr>
              <w:ind w:left="2960"/>
              <w:spacing w:after="0"/>
              <w:rPr>
                <w:sz w:val="20"/>
                <w:szCs w:val="20"/>
                <w:color w:val="auto"/>
              </w:rPr>
            </w:pPr>
            <w:r>
              <w:rPr>
                <w:rFonts w:ascii="Courier New" w:cs="Courier New" w:eastAsia="Courier New" w:hAnsi="Courier New"/>
                <w:sz w:val="14"/>
                <w:szCs w:val="14"/>
                <w:color w:val="auto"/>
              </w:rPr>
              <w:t>69</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9799"/>
          </w:cols>
          <w:pgMar w:left="660" w:top="453" w:right="1440" w:bottom="1440" w:gutter="0" w:footer="0" w:header="0"/>
        </w:sectPr>
      </w:pPr>
    </w:p>
    <w:bookmarkStart w:id="87" w:name="page88"/>
    <w:bookmarkEnd w:id="87"/>
    <w:p>
      <w:pPr>
        <w:jc w:val="center"/>
        <w:ind w:right="371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The following table sets forth the unaudited pro forma revenue, operating income, net income and earnings per share figures for the three months and nine months ended June 30, 2003, as if Certen had been acquired as of October 1, 2001:</w:t>
      </w:r>
    </w:p>
    <w:p>
      <w:pPr>
        <w:spacing w:after="0" w:line="200" w:lineRule="exact"/>
        <w:rPr>
          <w:sz w:val="20"/>
          <w:szCs w:val="20"/>
          <w:color w:val="auto"/>
        </w:rPr>
      </w:pPr>
    </w:p>
    <w:p>
      <w:pPr>
        <w:spacing w:after="0" w:line="29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THREE MONTHS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r>
      <w:tr>
        <w:trPr>
          <w:trHeight w:val="167"/>
        </w:trPr>
        <w:tc>
          <w:tcPr>
            <w:tcW w:w="2900" w:type="dxa"/>
            <w:vAlign w:val="bottom"/>
          </w:tcPr>
          <w:p>
            <w:pPr>
              <w:spacing w:after="0"/>
              <w:rPr>
                <w:sz w:val="14"/>
                <w:szCs w:val="14"/>
                <w:color w:val="auto"/>
              </w:rPr>
            </w:pP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ENDED</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2900" w:type="dxa"/>
            <w:vAlign w:val="bottom"/>
          </w:tcPr>
          <w:p>
            <w:pPr>
              <w:spacing w:after="0"/>
              <w:rPr>
                <w:sz w:val="14"/>
                <w:szCs w:val="14"/>
                <w:color w:val="auto"/>
              </w:rPr>
            </w:pPr>
          </w:p>
        </w:tc>
        <w:tc>
          <w:tcPr>
            <w:tcW w:w="1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00" w:type="dxa"/>
            <w:vAlign w:val="bottom"/>
          </w:tcPr>
          <w:p>
            <w:pPr>
              <w:spacing w:after="0"/>
              <w:rPr>
                <w:sz w:val="14"/>
                <w:szCs w:val="14"/>
                <w:color w:val="auto"/>
              </w:rPr>
            </w:pPr>
          </w:p>
        </w:tc>
        <w:tc>
          <w:tcPr>
            <w:tcW w:w="29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JUNE 30, 2003</w:t>
            </w:r>
          </w:p>
        </w:tc>
      </w:tr>
      <w:tr>
        <w:trPr>
          <w:trHeight w:val="167"/>
        </w:trPr>
        <w:tc>
          <w:tcPr>
            <w:tcW w:w="2900" w:type="dxa"/>
            <w:vAlign w:val="bottom"/>
          </w:tcPr>
          <w:p>
            <w:pPr>
              <w:spacing w:after="0"/>
              <w:rPr>
                <w:sz w:val="14"/>
                <w:szCs w:val="14"/>
                <w:color w:val="auto"/>
              </w:rPr>
            </w:pPr>
          </w:p>
        </w:tc>
        <w:tc>
          <w:tcPr>
            <w:tcW w:w="2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$ 432,383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$ 1,210,198</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51,727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129,381</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40,883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104,107</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0.19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0.48</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0.19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0.48</w:t>
            </w:r>
          </w:p>
        </w:tc>
      </w:tr>
    </w:tbl>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XACCT TECHNOLOGIES LIMITED</w:t>
      </w:r>
    </w:p>
    <w:p>
      <w:pPr>
        <w:spacing w:after="0" w:line="175"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On February 19, 2004, the Company acquired XACCT Technologies Ltd. ("XACCT"), a privately-held provider of mediation software to communications service providers. The Company acquired XACCT's outstanding shares for $28,425, of which $13,286 was paid in cash and the balance in 561 of the Company's ordinary shares. In addition, the Company had related transaction costs of approximately $750. This acquisition further expands the scope of the Company's billing capabilities in the network mediation space, enabling the collection, formatting and distribution of network usage events. With this acquisition, the Company achieves the capability to support end-to-end event processing, from network mediation through billing, for voice, data, content and commerce prepaid and postpaid transactions. The Company repurchased 484 ordinary shares in February 2004 to offset the dilutive effect of shares issued in the acquisition. The fair market value of XACCT's assets and liabilities has been included in the Company's balance sheet and the results of XACCT's operations have been included in the Company's consolidated statements of income, commencing on February 19, 2004.</w:t>
      </w:r>
    </w:p>
    <w:p>
      <w:pPr>
        <w:spacing w:after="0" w:line="340" w:lineRule="exact"/>
        <w:rPr>
          <w:sz w:val="20"/>
          <w:szCs w:val="20"/>
          <w:color w:val="auto"/>
        </w:rPr>
      </w:pPr>
    </w:p>
    <w:p>
      <w:pPr>
        <w:ind w:right="3639" w:firstLine="347"/>
        <w:spacing w:after="0" w:line="258" w:lineRule="auto"/>
        <w:rPr>
          <w:sz w:val="20"/>
          <w:szCs w:val="20"/>
          <w:color w:val="auto"/>
        </w:rPr>
      </w:pPr>
      <w:r>
        <w:rPr>
          <w:rFonts w:ascii="Courier New" w:cs="Courier New" w:eastAsia="Courier New" w:hAnsi="Courier New"/>
          <w:sz w:val="14"/>
          <w:szCs w:val="14"/>
          <w:color w:val="auto"/>
        </w:rPr>
        <w:t>The following is the revised preliminary allocation of the purchase price and deferred tax assets:</w:t>
      </w:r>
    </w:p>
    <w:p>
      <w:pPr>
        <w:spacing w:after="0" w:line="32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260" w:type="dxa"/>
            <w:vAlign w:val="bottom"/>
          </w:tcPr>
          <w:p>
            <w:pPr>
              <w:spacing w:after="0"/>
              <w:rPr>
                <w:sz w:val="20"/>
                <w:szCs w:val="20"/>
                <w:color w:val="auto"/>
              </w:rPr>
            </w:pPr>
            <w:r>
              <w:rPr>
                <w:rFonts w:ascii="Courier New" w:cs="Courier New" w:eastAsia="Courier New" w:hAnsi="Courier New"/>
                <w:sz w:val="14"/>
                <w:szCs w:val="14"/>
                <w:color w:val="auto"/>
              </w:rPr>
              <w:t>Net assets acquired</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551</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Technology</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9,209</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Customer arrangements</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1,064</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8,164</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10,187</w:t>
            </w:r>
          </w:p>
        </w:tc>
      </w:tr>
      <w:tr>
        <w:trPr>
          <w:trHeight w:val="167"/>
        </w:trPr>
        <w:tc>
          <w:tcPr>
            <w:tcW w:w="326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5220"/>
        <w:spacing w:after="0"/>
        <w:rPr>
          <w:sz w:val="20"/>
          <w:szCs w:val="20"/>
          <w:color w:val="auto"/>
        </w:rPr>
      </w:pPr>
      <w:r>
        <w:rPr>
          <w:rFonts w:ascii="Courier New" w:cs="Courier New" w:eastAsia="Courier New" w:hAnsi="Courier New"/>
          <w:sz w:val="14"/>
          <w:szCs w:val="14"/>
          <w:color w:val="auto"/>
        </w:rPr>
        <w:t>$29,175</w:t>
      </w:r>
    </w:p>
    <w:p>
      <w:pPr>
        <w:spacing w:after="0" w:line="8" w:lineRule="exact"/>
        <w:rPr>
          <w:sz w:val="20"/>
          <w:szCs w:val="20"/>
          <w:color w:val="auto"/>
        </w:rPr>
      </w:pPr>
    </w:p>
    <w:p>
      <w:pPr>
        <w:ind w:left="52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Pro forma information on the Company's consolidated results of operations for the nine months and three months ended June 30, 2004 and 2003 to reflect the XACCT acquisition is not presented, as its results of operations during such periods are not material to the Company's consolidated results of operations.</w:t>
      </w:r>
    </w:p>
    <w:p>
      <w:pPr>
        <w:spacing w:after="0" w:line="32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9799"/>
          </w:cols>
          <w:pgMar w:left="660" w:top="453" w:right="1440" w:bottom="1440" w:gutter="0" w:footer="0" w:header="0"/>
        </w:sectPr>
      </w:pPr>
    </w:p>
    <w:bookmarkStart w:id="88" w:name="page89"/>
    <w:bookmarkEnd w:id="88"/>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440" w:hanging="431"/>
        <w:spacing w:after="0"/>
        <w:tabs>
          <w:tab w:leader="none" w:pos="44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0.50% Convertible Senior Notes Due 2024</w:t>
      </w:r>
    </w:p>
    <w:p>
      <w:pPr>
        <w:spacing w:after="0" w:line="175" w:lineRule="exact"/>
        <w:rPr>
          <w:sz w:val="20"/>
          <w:szCs w:val="20"/>
          <w:color w:val="auto"/>
        </w:rPr>
      </w:pPr>
    </w:p>
    <w:p>
      <w:pPr>
        <w:ind w:left="440" w:right="3279" w:firstLine="347"/>
        <w:spacing w:after="0" w:line="252" w:lineRule="auto"/>
        <w:rPr>
          <w:sz w:val="20"/>
          <w:szCs w:val="20"/>
          <w:color w:val="auto"/>
        </w:rPr>
      </w:pPr>
      <w:r>
        <w:rPr>
          <w:rFonts w:ascii="Courier New" w:cs="Courier New" w:eastAsia="Courier New" w:hAnsi="Courier New"/>
          <w:sz w:val="14"/>
          <w:szCs w:val="14"/>
          <w:color w:val="auto"/>
        </w:rPr>
        <w:t>In March 2004, the Company issued $450,000 aggregate principal amount of 0.50% Notes. The Company is obligated to pay interest on the 0.50% Notes semi-annually on March 15 and September 15 of each year. The 0.50% Notes are senior unsecured obligations of the Company and rank equal in right of payment with all existing and future senior unsecured indebtedness of the Company. The 0.50% Notes are convertible, at the option of the holders at any time before the maturity date, into ordinary shares of the Company at a conversion rate of 23.1911 shares per one thousand dollars principal amount, representing a conversion price of approximately $43.12 per share, as follows: (i) during any fiscal quarter commencing after March 31, 2004, and only during that quarter if the closing sale price of the Company's ordinary shares exceeds 130% of the conversion price for at least 20 trading days in the 30 consecutive trading days ending on the last trading day of the proceeding fiscal quarter (initially 130% of $43.12, or $56.06);</w:t>
      </w:r>
    </w:p>
    <w:p>
      <w:pPr>
        <w:spacing w:after="0" w:line="5" w:lineRule="exact"/>
        <w:rPr>
          <w:sz w:val="20"/>
          <w:szCs w:val="20"/>
          <w:color w:val="auto"/>
        </w:rPr>
      </w:pPr>
    </w:p>
    <w:p>
      <w:pPr>
        <w:ind w:left="440" w:right="3279" w:firstLine="3"/>
        <w:spacing w:after="0" w:line="252" w:lineRule="auto"/>
        <w:tabs>
          <w:tab w:leader="none" w:pos="874"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credit rating events with respect to the notes; (iii) subject to certain exceptions, during the five business day period after any five consecutive trading day period in which the trading price per note for each day of that measurement period was less than 98% of the product of the closing sale price of the Company's ordinary shares and the conversion rate; provided, however, holders may not convert their notes (in reliance on this subsection) if on any trading day during such measurement period the closing sale price of the Company's ordinary shares was between 100% and 130% of the then current conversion price of the notes (initially, between $43.12 and $56.06); (iv) if the notes have been called for redemption, or (v) upon the occurrence of specified corporate events. The 0.50% Notes are subject to redemption at any time on or after March 20, 2009, in whole or in part, at the option of the Company, at a redemption price of 100% of the principal amount plus accrued and unpaid interest, if any, on such redemption date. The 0.50% Notes are subject to repurchase, at the holders' option, on March 15, 2009, 2014 and 2019, at a repurchase price equal to 100% of the principal amount plus accrued and unpaid interest, if any, on such repurchase date. The Company may choose to pay the repurchase price in cash, ordinary shares or a combination of cash and ordinary shares.</w:t>
      </w:r>
    </w:p>
    <w:p>
      <w:pPr>
        <w:spacing w:after="0" w:line="341"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Operational Efficiency and Cost Reduction Programs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Fiscal Year Ended September 30, 2003</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In the first quarter of fiscal 2003, the Company implemented a series of measures designed to reduce costs and improve productivity, with targeted quarterly savings of approximately $8,000. As part of this plan, the Company reduced its workforce by approximately 400 employees, representing approximately 4% of the Company's worldwide workforce of 9,000 full-time employees, vacated facilities in different centers around the world and implemented other cost reduction measures, including travel cuts and reduction in other discretionary costs.</w:t>
      </w:r>
    </w:p>
    <w:p>
      <w:pPr>
        <w:spacing w:after="0" w:line="165" w:lineRule="exact"/>
        <w:rPr>
          <w:sz w:val="20"/>
          <w:szCs w:val="20"/>
          <w:color w:val="auto"/>
        </w:rPr>
      </w:pPr>
    </w:p>
    <w:p>
      <w:pPr>
        <w:ind w:left="440" w:right="3379" w:firstLine="347"/>
        <w:spacing w:after="0" w:line="254" w:lineRule="auto"/>
        <w:rPr>
          <w:sz w:val="20"/>
          <w:szCs w:val="20"/>
          <w:color w:val="auto"/>
        </w:rPr>
      </w:pPr>
      <w:r>
        <w:rPr>
          <w:rFonts w:ascii="Courier New" w:cs="Courier New" w:eastAsia="Courier New" w:hAnsi="Courier New"/>
          <w:sz w:val="14"/>
          <w:szCs w:val="14"/>
          <w:color w:val="auto"/>
        </w:rPr>
        <w:t>The restructuring charge associated with these actions and recorded in the first quarter of fiscal 2003 was $9,956. Approximately $5,816 of the total charge was paid in cash as of June 30, 2004. The remainder of the charge, comprised of facility related costs, is expected to be paid out through June 2008.</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Details of $9,956 Restructuring Charge:</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The Company recorded a charge of $4,011 related to employee separation costs in connection with the termination of employment of software information technology specialists and administrative professionals from various locations around the world. The Company recorded a charge of $4,022 related to facilities, representing rent obligations relating to vacated facilities in Raanana, Israel and St. Louis,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787" w:right="1440" w:bottom="1440" w:gutter="0" w:footer="0" w:header="0"/>
        </w:sectPr>
      </w:pPr>
    </w:p>
    <w:bookmarkStart w:id="89" w:name="page90"/>
    <w:bookmarkEnd w:id="89"/>
    <w:p>
      <w:pPr>
        <w:jc w:val="center"/>
        <w:ind w:right="44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4"/>
          <w:szCs w:val="14"/>
          <w:color w:val="auto"/>
        </w:rPr>
        <w:t>Missouri. The Company also recorded a provision of $1,829 for asset write-offs, principally for leasehold improvements in Raanana, Israel and St. Louis, Missouri that were abandoned.</w:t>
      </w:r>
    </w:p>
    <w:p>
      <w:pPr>
        <w:spacing w:after="0" w:line="162" w:lineRule="exact"/>
        <w:rPr>
          <w:sz w:val="20"/>
          <w:szCs w:val="20"/>
          <w:color w:val="auto"/>
        </w:rPr>
      </w:pPr>
    </w:p>
    <w:p>
      <w:pPr>
        <w:ind w:right="180" w:firstLine="347"/>
        <w:spacing w:after="0" w:line="258" w:lineRule="auto"/>
        <w:rPr>
          <w:sz w:val="20"/>
          <w:szCs w:val="20"/>
          <w:color w:val="auto"/>
        </w:rPr>
      </w:pPr>
      <w:r>
        <w:rPr>
          <w:rFonts w:ascii="Courier New" w:cs="Courier New" w:eastAsia="Courier New" w:hAnsi="Courier New"/>
          <w:sz w:val="14"/>
          <w:szCs w:val="14"/>
          <w:color w:val="auto"/>
        </w:rPr>
        <w:t>The first quarter of fiscal 2003 restructuring charge is comprised of the following as of June 30, 2004:</w:t>
      </w:r>
    </w:p>
    <w:p>
      <w:pPr>
        <w:spacing w:after="0" w:line="200" w:lineRule="exact"/>
        <w:rPr>
          <w:sz w:val="20"/>
          <w:szCs w:val="20"/>
          <w:color w:val="auto"/>
        </w:rPr>
      </w:pPr>
    </w:p>
    <w:p>
      <w:pPr>
        <w:spacing w:after="0" w:line="29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EMPLOYEE</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SEPARATION</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ASSET</w:t>
            </w:r>
          </w:p>
        </w:tc>
      </w:tr>
      <w:tr>
        <w:trPr>
          <w:trHeight w:val="167"/>
        </w:trPr>
        <w:tc>
          <w:tcPr>
            <w:tcW w:w="2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COSTS</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FACILITIES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WRITE-OFFS</w:t>
            </w:r>
          </w:p>
        </w:tc>
      </w:tr>
      <w:tr>
        <w:trPr>
          <w:trHeight w:val="167"/>
        </w:trPr>
        <w:tc>
          <w:tcPr>
            <w:tcW w:w="2600" w:type="dxa"/>
            <w:vAlign w:val="bottom"/>
          </w:tcPr>
          <w:p>
            <w:pPr>
              <w:spacing w:after="0"/>
              <w:rPr>
                <w:sz w:val="14"/>
                <w:szCs w:val="14"/>
                <w:color w:val="auto"/>
              </w:rPr>
            </w:pP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October 1,</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4,011</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4,022</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1,829</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(3,890)</w:t>
            </w:r>
          </w:p>
        </w:tc>
        <w:tc>
          <w:tcPr>
            <w:tcW w:w="2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(467)</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Non cash</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(1,829)</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w:t>
            </w:r>
          </w:p>
        </w:tc>
        <w:tc>
          <w:tcPr>
            <w:tcW w:w="2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(453)</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3,102</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w:t>
            </w:r>
          </w:p>
        </w:tc>
        <w:tc>
          <w:tcPr>
            <w:tcW w:w="2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(1,198)</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1,904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100" w:firstLine="347"/>
        <w:spacing w:after="0" w:line="253" w:lineRule="auto"/>
        <w:rPr>
          <w:sz w:val="20"/>
          <w:szCs w:val="20"/>
          <w:color w:val="auto"/>
        </w:rPr>
      </w:pPr>
      <w:r>
        <w:rPr>
          <w:rFonts w:ascii="Courier New" w:cs="Courier New" w:eastAsia="Courier New" w:hAnsi="Courier New"/>
          <w:sz w:val="14"/>
          <w:szCs w:val="14"/>
          <w:color w:val="auto"/>
        </w:rPr>
        <w:t>The financial savings of these actions, of approximately $8,000 quarterly commencing in the second quarter of 2003, is reflected as a reduction in operating expense. These cost savings may not be permanent as increased activity levels resulting from, among other factors, acquisitions, new Managed Services agreements and increased revenue, may require an increase in headcount and other increased spending.</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Fiscal Year Ended September 30, 2002</w:t>
      </w:r>
    </w:p>
    <w:p>
      <w:pPr>
        <w:spacing w:after="0" w:line="175" w:lineRule="exact"/>
        <w:rPr>
          <w:sz w:val="20"/>
          <w:szCs w:val="20"/>
          <w:color w:val="auto"/>
        </w:rPr>
      </w:pPr>
    </w:p>
    <w:p>
      <w:pPr>
        <w:ind w:right="100" w:firstLine="347"/>
        <w:spacing w:after="0" w:line="253" w:lineRule="auto"/>
        <w:rPr>
          <w:sz w:val="20"/>
          <w:szCs w:val="20"/>
          <w:color w:val="auto"/>
        </w:rPr>
      </w:pPr>
      <w:r>
        <w:rPr>
          <w:rFonts w:ascii="Courier New" w:cs="Courier New" w:eastAsia="Courier New" w:hAnsi="Courier New"/>
          <w:sz w:val="14"/>
          <w:szCs w:val="14"/>
          <w:color w:val="auto"/>
        </w:rPr>
        <w:t>In the fourth quarter of fiscal 2002, the Company implemented a cost reduction program targeted to reduce costs by approximately $30,000 quarterly in response to a decline of the forecasted revenue for the third and fourth quarters of fiscal 2002. The decline resulted from, among other factors, slowdowns in customer buying decisions in the third quarter of fiscal 2002, stemming from overall reductions in the capital investment budgets of many communications service providers, leading to fewer new contracts than expected, as well as from smaller than expected initial spending commitments and reduced discretionary spending under contracts with some customers.</w:t>
      </w:r>
    </w:p>
    <w:p>
      <w:pPr>
        <w:spacing w:after="0" w:line="164" w:lineRule="exact"/>
        <w:rPr>
          <w:sz w:val="20"/>
          <w:szCs w:val="20"/>
          <w:color w:val="auto"/>
        </w:rPr>
      </w:pPr>
    </w:p>
    <w:p>
      <w:pPr>
        <w:ind w:firstLine="347"/>
        <w:spacing w:after="0" w:line="254" w:lineRule="auto"/>
        <w:rPr>
          <w:sz w:val="20"/>
          <w:szCs w:val="20"/>
          <w:color w:val="auto"/>
        </w:rPr>
      </w:pPr>
      <w:r>
        <w:rPr>
          <w:rFonts w:ascii="Courier New" w:cs="Courier New" w:eastAsia="Courier New" w:hAnsi="Courier New"/>
          <w:sz w:val="14"/>
          <w:szCs w:val="14"/>
          <w:color w:val="auto"/>
        </w:rPr>
        <w:t>The restructuring charge associated with these actions and recorded in the fourth quarter of fiscal 2002 was $20,919. Approximately $16,957 of the total charge was paid in cash as of June 30, 2004. The remainder of the charge, comprised of facility related costs, is expected to be paid out through April 2012.</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Details of $20,919 Restructuring Charge:</w:t>
      </w:r>
    </w:p>
    <w:p>
      <w:pPr>
        <w:spacing w:after="0" w:line="175" w:lineRule="exact"/>
        <w:rPr>
          <w:sz w:val="20"/>
          <w:szCs w:val="20"/>
          <w:color w:val="auto"/>
        </w:rPr>
      </w:pPr>
    </w:p>
    <w:p>
      <w:pPr>
        <w:ind w:firstLine="347"/>
        <w:spacing w:after="0" w:line="253" w:lineRule="auto"/>
        <w:rPr>
          <w:sz w:val="20"/>
          <w:szCs w:val="20"/>
          <w:color w:val="auto"/>
        </w:rPr>
      </w:pPr>
      <w:r>
        <w:rPr>
          <w:rFonts w:ascii="Courier New" w:cs="Courier New" w:eastAsia="Courier New" w:hAnsi="Courier New"/>
          <w:sz w:val="14"/>
          <w:szCs w:val="14"/>
          <w:color w:val="auto"/>
        </w:rPr>
        <w:t>The Company recorded a charge of $11,353 related to employee separation costs in connection with the termination of employment of approximately 1,000 employees, representing approximately 10% of the Company's worldwide workforce of 9,900 full-time employees. The actual number of employees terminated approximated original estimates. There was not a single group of employees or business function that was solely impacted by these measures; instead it impacted information technology specialists and administration professionals across a broad range of functions according to the areas with reduced activities. The Company recorded a charge of $7,880 related to facilities, representing rent obligations relating to vacated facilities in various locations in Canada, Israel and the United States.</w:t>
      </w:r>
    </w:p>
    <w:p>
      <w:pPr>
        <w:spacing w:after="0" w:line="331"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72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tabs>
          <w:tab w:leader="none" w:pos="1200" w:val="left"/>
        </w:tabs>
        <w:rPr>
          <w:sz w:val="20"/>
          <w:szCs w:val="20"/>
          <w:color w:val="auto"/>
        </w:rPr>
      </w:pP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TOTAL</w:t>
      </w:r>
    </w:p>
    <w:p>
      <w:pPr>
        <w:spacing w:after="0" w:line="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42" w:lineRule="exact"/>
        <w:rPr>
          <w:sz w:val="20"/>
          <w:szCs w:val="20"/>
          <w:color w:val="auto"/>
        </w:rPr>
      </w:pPr>
    </w:p>
    <w:p>
      <w:pPr>
        <w:spacing w:after="0"/>
        <w:tabs>
          <w:tab w:leader="none" w:pos="500" w:val="left"/>
          <w:tab w:leader="none" w:pos="1020" w:val="left"/>
          <w:tab w:leader="none" w:pos="1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520"/>
        <w:spacing w:after="0"/>
        <w:tabs>
          <w:tab w:leader="none" w:pos="128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9,956</w:t>
      </w:r>
    </w:p>
    <w:p>
      <w:pPr>
        <w:spacing w:after="0" w:line="8" w:lineRule="exact"/>
        <w:rPr>
          <w:sz w:val="20"/>
          <w:szCs w:val="20"/>
          <w:color w:val="auto"/>
        </w:rPr>
      </w:pPr>
    </w:p>
    <w:p>
      <w:pPr>
        <w:ind w:left="1220" w:hanging="786"/>
        <w:spacing w:after="0"/>
        <w:tabs>
          <w:tab w:leader="none" w:pos="122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(4,451)</w:t>
      </w:r>
    </w:p>
    <w:p>
      <w:pPr>
        <w:spacing w:after="0" w:line="8" w:lineRule="exact"/>
        <w:rPr>
          <w:sz w:val="20"/>
          <w:szCs w:val="20"/>
          <w:color w:val="auto"/>
        </w:rPr>
      </w:pPr>
    </w:p>
    <w:p>
      <w:pPr>
        <w:ind w:left="1220" w:hanging="700"/>
        <w:spacing w:after="0"/>
        <w:tabs>
          <w:tab w:leader="none" w:pos="122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(1,829)</w:t>
      </w:r>
    </w:p>
    <w:p>
      <w:pPr>
        <w:spacing w:after="0" w:line="8" w:lineRule="exact"/>
        <w:rPr>
          <w:rFonts w:ascii="Courier New" w:cs="Courier New" w:eastAsia="Courier New" w:hAnsi="Courier New"/>
          <w:sz w:val="14"/>
          <w:szCs w:val="14"/>
          <w:color w:val="auto"/>
        </w:rPr>
      </w:pPr>
    </w:p>
    <w:p>
      <w:pPr>
        <w:ind w:left="1380" w:hanging="860"/>
        <w:spacing w:after="0"/>
        <w:tabs>
          <w:tab w:leader="none" w:pos="13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(415)</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300" w:hanging="780"/>
        <w:spacing w:after="0"/>
        <w:tabs>
          <w:tab w:leader="none" w:pos="130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3,261</w:t>
      </w:r>
    </w:p>
    <w:p>
      <w:pPr>
        <w:spacing w:after="0" w:line="8" w:lineRule="exact"/>
        <w:rPr>
          <w:rFonts w:ascii="Courier New" w:cs="Courier New" w:eastAsia="Courier New" w:hAnsi="Courier New"/>
          <w:sz w:val="14"/>
          <w:szCs w:val="14"/>
          <w:color w:val="auto"/>
        </w:rPr>
      </w:pPr>
    </w:p>
    <w:p>
      <w:pPr>
        <w:ind w:left="1220" w:hanging="700"/>
        <w:spacing w:after="0"/>
        <w:tabs>
          <w:tab w:leader="none" w:pos="122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(1,365)</w:t>
      </w:r>
    </w:p>
    <w:p>
      <w:pPr>
        <w:spacing w:after="0" w:line="8" w:lineRule="exact"/>
        <w:rPr>
          <w:rFonts w:ascii="Courier New" w:cs="Courier New" w:eastAsia="Courier New" w:hAnsi="Courier New"/>
          <w:sz w:val="14"/>
          <w:szCs w:val="14"/>
          <w:color w:val="auto"/>
        </w:rPr>
      </w:pPr>
    </w:p>
    <w:p>
      <w:pPr>
        <w:ind w:left="1640" w:hanging="1120"/>
        <w:spacing w:after="0"/>
        <w:tabs>
          <w:tab w:leader="none" w:pos="164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8</w:t>
      </w:r>
    </w:p>
    <w:p>
      <w:pPr>
        <w:spacing w:after="0" w:line="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520" w:hanging="520"/>
        <w:spacing w:after="0"/>
        <w:tabs>
          <w:tab w:leader="none" w:pos="52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1,904</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6520" w:space="340"/>
            <w:col w:w="2940"/>
          </w:cols>
          <w:pgMar w:left="660" w:top="453" w:right="1440" w:bottom="1440" w:gutter="0" w:footer="0" w:header="0"/>
        </w:sectPr>
      </w:pPr>
    </w:p>
    <w:bookmarkStart w:id="90" w:name="page91"/>
    <w:bookmarkEnd w:id="90"/>
    <w:p>
      <w:pPr>
        <w:jc w:val="center"/>
        <w:ind w:right="104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jc w:val="both"/>
        <w:ind w:right="600"/>
        <w:spacing w:after="0" w:line="255" w:lineRule="auto"/>
        <w:rPr>
          <w:sz w:val="20"/>
          <w:szCs w:val="20"/>
          <w:color w:val="auto"/>
        </w:rPr>
      </w:pPr>
      <w:r>
        <w:rPr>
          <w:rFonts w:ascii="Courier New" w:cs="Courier New" w:eastAsia="Courier New" w:hAnsi="Courier New"/>
          <w:sz w:val="14"/>
          <w:szCs w:val="14"/>
          <w:color w:val="auto"/>
        </w:rPr>
        <w:t>The Company also recorded a provision of $1,584 for asset write-offs, principally for leasehold improvements in Canada, Israel and the United States that were abandoned.</w:t>
      </w:r>
    </w:p>
    <w:p>
      <w:pPr>
        <w:spacing w:after="0" w:line="162" w:lineRule="exact"/>
        <w:rPr>
          <w:sz w:val="20"/>
          <w:szCs w:val="20"/>
          <w:color w:val="auto"/>
        </w:rPr>
      </w:pPr>
    </w:p>
    <w:p>
      <w:pPr>
        <w:ind w:right="700" w:firstLine="347"/>
        <w:spacing w:after="0" w:line="258" w:lineRule="auto"/>
        <w:rPr>
          <w:sz w:val="20"/>
          <w:szCs w:val="20"/>
          <w:color w:val="auto"/>
        </w:rPr>
      </w:pPr>
      <w:r>
        <w:rPr>
          <w:rFonts w:ascii="Courier New" w:cs="Courier New" w:eastAsia="Courier New" w:hAnsi="Courier New"/>
          <w:sz w:val="14"/>
          <w:szCs w:val="14"/>
          <w:color w:val="auto"/>
        </w:rPr>
        <w:t>The fourth quarter of fiscal 2002 restructuring charge is comprised of the following as of June 30, 2004:</w:t>
      </w:r>
    </w:p>
    <w:p>
      <w:pPr>
        <w:spacing w:after="0" w:line="200" w:lineRule="exact"/>
        <w:rPr>
          <w:sz w:val="20"/>
          <w:szCs w:val="20"/>
          <w:color w:val="auto"/>
        </w:rPr>
      </w:pPr>
    </w:p>
    <w:p>
      <w:pPr>
        <w:spacing w:after="0" w:line="29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Employee</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Separation</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Asset</w:t>
            </w:r>
          </w:p>
        </w:tc>
      </w:tr>
      <w:tr>
        <w:trPr>
          <w:trHeight w:val="167"/>
        </w:trPr>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Costs</w:t>
            </w:r>
          </w:p>
        </w:tc>
        <w:tc>
          <w:tcPr>
            <w:tcW w:w="1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Facilities</w:t>
            </w:r>
          </w:p>
        </w:tc>
        <w:tc>
          <w:tcPr>
            <w:tcW w:w="3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Write-offs</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October 1,</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2001</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11,353</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7,880</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1,584</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(8,053)</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(456)</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Non cash</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(1,584)</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3,300</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7,424</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(3,240)</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(4,082)</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(148)</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3,194</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(1,024)</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2,213</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600" w:firstLine="347"/>
        <w:spacing w:after="0" w:line="253" w:lineRule="auto"/>
        <w:rPr>
          <w:sz w:val="20"/>
          <w:szCs w:val="20"/>
          <w:color w:val="auto"/>
        </w:rPr>
      </w:pPr>
      <w:r>
        <w:rPr>
          <w:rFonts w:ascii="Courier New" w:cs="Courier New" w:eastAsia="Courier New" w:hAnsi="Courier New"/>
          <w:sz w:val="14"/>
          <w:szCs w:val="14"/>
          <w:color w:val="auto"/>
        </w:rPr>
        <w:t>The financial savings of these actions of approximately $30,000 quarterly commencing in the first quarter of fiscal 2003, is reflected as a reduction in operating expense. These cost savings may not be permanent as increased activity levels resulting from, among other factors, acquisitions, Managed Services agreements and increased revenue, may require an increase in headcount and other increased spending.</w:t>
      </w:r>
    </w:p>
    <w:p>
      <w:pPr>
        <w:spacing w:after="0" w:line="165" w:lineRule="exact"/>
        <w:rPr>
          <w:sz w:val="20"/>
          <w:szCs w:val="20"/>
          <w:color w:val="auto"/>
        </w:rPr>
      </w:pPr>
    </w:p>
    <w:p>
      <w:pPr>
        <w:ind w:right="700" w:firstLine="347"/>
        <w:spacing w:after="0" w:line="254" w:lineRule="auto"/>
        <w:rPr>
          <w:sz w:val="20"/>
          <w:szCs w:val="20"/>
          <w:color w:val="auto"/>
        </w:rPr>
      </w:pPr>
      <w:r>
        <w:rPr>
          <w:rFonts w:ascii="Courier New" w:cs="Courier New" w:eastAsia="Courier New" w:hAnsi="Courier New"/>
          <w:sz w:val="14"/>
          <w:szCs w:val="14"/>
          <w:color w:val="auto"/>
        </w:rPr>
        <w:t>In the first quarter of fiscal 2002, as part of a plan to achieve increased operational efficiency and to more closely monitor and reduce costs, the Company consolidated its Stamford, Connecticut data center into its Champaign, Illinois facility and closed the Stamford facility.</w:t>
      </w:r>
    </w:p>
    <w:p>
      <w:pPr>
        <w:spacing w:after="0" w:line="163" w:lineRule="exact"/>
        <w:rPr>
          <w:sz w:val="20"/>
          <w:szCs w:val="20"/>
          <w:color w:val="auto"/>
        </w:rPr>
      </w:pPr>
    </w:p>
    <w:p>
      <w:pPr>
        <w:ind w:right="780" w:firstLine="347"/>
        <w:spacing w:after="0" w:line="254" w:lineRule="auto"/>
        <w:rPr>
          <w:sz w:val="20"/>
          <w:szCs w:val="20"/>
          <w:color w:val="auto"/>
        </w:rPr>
      </w:pPr>
      <w:r>
        <w:rPr>
          <w:rFonts w:ascii="Courier New" w:cs="Courier New" w:eastAsia="Courier New" w:hAnsi="Courier New"/>
          <w:sz w:val="14"/>
          <w:szCs w:val="14"/>
          <w:color w:val="auto"/>
        </w:rPr>
        <w:t>The restructuring charge associated with this action and recorded in the first quarter of fiscal 2002 was $13,311. Approximately $6,789 of the total charge was paid in cash as of June 30, 2004. The remainder of the charge, comprised of facility related costs, is expected to be paid out through August 2008.</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Details of $13,311 Restructuring charge:</w:t>
      </w:r>
    </w:p>
    <w:p>
      <w:pPr>
        <w:spacing w:after="0" w:line="175" w:lineRule="exact"/>
        <w:rPr>
          <w:sz w:val="20"/>
          <w:szCs w:val="20"/>
          <w:color w:val="auto"/>
        </w:rPr>
      </w:pPr>
    </w:p>
    <w:p>
      <w:pPr>
        <w:ind w:right="600" w:firstLine="347"/>
        <w:spacing w:after="0" w:line="253" w:lineRule="auto"/>
        <w:rPr>
          <w:sz w:val="20"/>
          <w:szCs w:val="20"/>
          <w:color w:val="auto"/>
        </w:rPr>
      </w:pPr>
      <w:r>
        <w:rPr>
          <w:rFonts w:ascii="Courier New" w:cs="Courier New" w:eastAsia="Courier New" w:hAnsi="Courier New"/>
          <w:sz w:val="14"/>
          <w:szCs w:val="14"/>
          <w:color w:val="auto"/>
        </w:rPr>
        <w:t>Approximately $6,255 of the total restructuring charge related to facilities and represented rent obligations outstanding for the Stamford site. Approximately $4,126 of the total restructuring charge related to the write-off of leasehold improvements at the Stamford site that were abandoned. The Company also recorded a provision of $2,530 related to employee separation costs in connection with the termination of employment of 166 employees.</w:t>
      </w:r>
    </w:p>
    <w:p>
      <w:pPr>
        <w:spacing w:after="0" w:line="200" w:lineRule="exact"/>
        <w:rPr>
          <w:sz w:val="20"/>
          <w:szCs w:val="20"/>
          <w:color w:val="auto"/>
        </w:rPr>
      </w:pPr>
    </w:p>
    <w:p>
      <w:pPr>
        <w:spacing w:after="0" w:line="29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73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Other</w:t>
            </w:r>
          </w:p>
        </w:tc>
        <w:tc>
          <w:tcPr>
            <w:tcW w:w="48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r>
        <w:trPr>
          <w:trHeight w:val="501"/>
        </w:trPr>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102</w:t>
            </w:r>
          </w:p>
        </w:tc>
        <w:tc>
          <w:tcPr>
            <w:tcW w:w="48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20,919</w:t>
            </w:r>
          </w:p>
        </w:tc>
      </w:tr>
      <w:tr>
        <w:trPr>
          <w:trHeight w:val="167"/>
        </w:trPr>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w:t>
            </w:r>
          </w:p>
        </w:tc>
        <w:tc>
          <w:tcPr>
            <w:tcW w:w="4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(8,566)</w:t>
            </w:r>
          </w:p>
        </w:tc>
      </w:tr>
      <w:tr>
        <w:trPr>
          <w:trHeight w:val="167"/>
        </w:trPr>
        <w:tc>
          <w:tcPr>
            <w:tcW w:w="26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(1,584)</w:t>
            </w:r>
          </w:p>
        </w:tc>
      </w:tr>
      <w:tr>
        <w:trPr>
          <w:trHeight w:val="167"/>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 w:type="dxa"/>
            <w:vAlign w:val="bottom"/>
          </w:tcPr>
          <w:p>
            <w:pPr>
              <w:spacing w:after="0"/>
              <w:rPr>
                <w:sz w:val="24"/>
                <w:szCs w:val="2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w:t>
            </w:r>
          </w:p>
        </w:tc>
        <w:tc>
          <w:tcPr>
            <w:tcW w:w="48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10,769</w:t>
            </w:r>
          </w:p>
        </w:tc>
      </w:tr>
      <w:tr>
        <w:trPr>
          <w:trHeight w:val="167"/>
        </w:trPr>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w:t>
            </w:r>
          </w:p>
        </w:tc>
        <w:tc>
          <w:tcPr>
            <w:tcW w:w="4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(7,367)</w:t>
            </w:r>
          </w:p>
        </w:tc>
      </w:tr>
      <w:tr>
        <w:trPr>
          <w:trHeight w:val="167"/>
        </w:trPr>
        <w:tc>
          <w:tcPr>
            <w:tcW w:w="26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w:t>
            </w:r>
          </w:p>
        </w:tc>
      </w:tr>
      <w:tr>
        <w:trPr>
          <w:trHeight w:val="167"/>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1820" w:hanging="1119"/>
        <w:spacing w:after="0"/>
        <w:tabs>
          <w:tab w:leader="none" w:pos="182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3,276</w:t>
      </w:r>
    </w:p>
    <w:p>
      <w:pPr>
        <w:spacing w:after="0" w:line="8" w:lineRule="exact"/>
        <w:rPr>
          <w:rFonts w:ascii="Courier New" w:cs="Courier New" w:eastAsia="Courier New" w:hAnsi="Courier New"/>
          <w:sz w:val="14"/>
          <w:szCs w:val="14"/>
          <w:color w:val="auto"/>
        </w:rPr>
      </w:pPr>
    </w:p>
    <w:p>
      <w:pPr>
        <w:ind w:left="1740" w:hanging="1039"/>
        <w:spacing w:after="0"/>
        <w:tabs>
          <w:tab w:leader="none" w:pos="17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(1,024)</w:t>
      </w:r>
    </w:p>
    <w:p>
      <w:pPr>
        <w:spacing w:after="0" w:line="8" w:lineRule="exact"/>
        <w:rPr>
          <w:rFonts w:ascii="Courier New" w:cs="Courier New" w:eastAsia="Courier New" w:hAnsi="Courier New"/>
          <w:sz w:val="14"/>
          <w:szCs w:val="14"/>
          <w:color w:val="auto"/>
        </w:rPr>
      </w:pPr>
    </w:p>
    <w:p>
      <w:pPr>
        <w:ind w:left="2000" w:hanging="1299"/>
        <w:spacing w:after="0"/>
        <w:tabs>
          <w:tab w:leader="none" w:pos="200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(39)</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0"/>
        <w:spacing w:after="0"/>
        <w:tabs>
          <w:tab w:leader="none" w:pos="680" w:val="left"/>
          <w:tab w:leader="none" w:pos="1540" w:val="left"/>
          <w:tab w:leader="none" w:pos="1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2,213</w:t>
      </w:r>
    </w:p>
    <w:p>
      <w:pPr>
        <w:spacing w:after="0" w:line="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2">
            <w:col w:w="7120" w:space="340"/>
            <w:col w:w="2620"/>
          </w:cols>
          <w:pgMar w:left="660" w:top="620" w:right="1159" w:bottom="1440" w:gutter="0" w:footer="0" w:header="0"/>
        </w:sectPr>
      </w:pPr>
    </w:p>
    <w:bookmarkStart w:id="91" w:name="page92"/>
    <w:bookmarkEnd w:id="91"/>
    <w:p>
      <w:pPr>
        <w:jc w:val="center"/>
        <w:ind w:right="330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440" w:right="3300" w:firstLine="347"/>
        <w:spacing w:after="0" w:line="258" w:lineRule="auto"/>
        <w:rPr>
          <w:sz w:val="20"/>
          <w:szCs w:val="20"/>
          <w:color w:val="auto"/>
        </w:rPr>
      </w:pPr>
      <w:r>
        <w:rPr>
          <w:rFonts w:ascii="Courier New" w:cs="Courier New" w:eastAsia="Courier New" w:hAnsi="Courier New"/>
          <w:sz w:val="14"/>
          <w:szCs w:val="14"/>
          <w:color w:val="auto"/>
        </w:rPr>
        <w:t>The restructuring charge related to the consolidation of the Stamford and Champaign facilities is comprised of the following as of June 30, 2004:</w:t>
      </w:r>
    </w:p>
    <w:p>
      <w:pPr>
        <w:spacing w:after="0" w:line="200" w:lineRule="exact"/>
        <w:rPr>
          <w:sz w:val="20"/>
          <w:szCs w:val="20"/>
          <w:color w:val="auto"/>
        </w:rPr>
      </w:pPr>
    </w:p>
    <w:p>
      <w:pPr>
        <w:spacing w:after="0" w:line="294"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4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Employee</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Separation</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Asset</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508"/>
              <w:spacing w:after="0"/>
              <w:rPr>
                <w:sz w:val="20"/>
                <w:szCs w:val="20"/>
                <w:color w:val="auto"/>
              </w:rPr>
            </w:pPr>
            <w:r>
              <w:rPr>
                <w:rFonts w:ascii="Courier New" w:cs="Courier New" w:eastAsia="Courier New" w:hAnsi="Courier New"/>
                <w:sz w:val="14"/>
                <w:szCs w:val="14"/>
                <w:color w:val="auto"/>
                <w:w w:val="95"/>
              </w:rPr>
              <w:t>Costs</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Facilities</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Write-offs</w:t>
            </w:r>
          </w:p>
        </w:tc>
        <w:tc>
          <w:tcPr>
            <w:tcW w:w="44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Other</w:t>
            </w:r>
          </w:p>
        </w:tc>
        <w:tc>
          <w:tcPr>
            <w:tcW w:w="4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October 1,</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2001</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2,530</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6,255</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4,126</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400</w:t>
            </w:r>
          </w:p>
        </w:tc>
        <w:tc>
          <w:tcPr>
            <w:tcW w:w="4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13,311</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(2,473)</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(2,592)</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(5,070)</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Non cash</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(4,126)</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(4,126)</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57</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3,663</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395</w:t>
            </w:r>
          </w:p>
        </w:tc>
        <w:tc>
          <w:tcPr>
            <w:tcW w:w="4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4,115</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(785)</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(926)</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(57)</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(254)</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(479)</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2,710</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2,710</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(793)</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(793)</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1,917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1,917</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440" w:right="3400" w:firstLine="434"/>
        <w:spacing w:after="0" w:line="258" w:lineRule="auto"/>
        <w:rPr>
          <w:sz w:val="20"/>
          <w:szCs w:val="20"/>
          <w:color w:val="auto"/>
        </w:rPr>
      </w:pPr>
      <w:r>
        <w:rPr>
          <w:rFonts w:ascii="Courier New" w:cs="Courier New" w:eastAsia="Courier New" w:hAnsi="Courier New"/>
          <w:sz w:val="14"/>
          <w:szCs w:val="14"/>
          <w:color w:val="auto"/>
        </w:rPr>
        <w:t>The operating costs related to the Stamford site that were eliminated were approximately $8,500 in its last quarter of activity.</w:t>
      </w:r>
    </w:p>
    <w:p>
      <w:pPr>
        <w:spacing w:after="0" w:line="160" w:lineRule="exact"/>
        <w:rPr>
          <w:sz w:val="20"/>
          <w:szCs w:val="20"/>
          <w:color w:val="auto"/>
        </w:rPr>
      </w:pPr>
    </w:p>
    <w:p>
      <w:pPr>
        <w:ind w:left="440" w:hanging="431"/>
        <w:spacing w:after="0"/>
        <w:tabs>
          <w:tab w:leader="none" w:pos="44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Benefits</w:t>
      </w:r>
    </w:p>
    <w:p>
      <w:pPr>
        <w:spacing w:after="0" w:line="175" w:lineRule="exact"/>
        <w:rPr>
          <w:sz w:val="20"/>
          <w:szCs w:val="20"/>
          <w:color w:val="auto"/>
        </w:rPr>
      </w:pPr>
    </w:p>
    <w:p>
      <w:pPr>
        <w:ind w:left="440" w:right="3300" w:firstLine="347"/>
        <w:spacing w:after="0" w:line="254" w:lineRule="auto"/>
        <w:rPr>
          <w:sz w:val="20"/>
          <w:szCs w:val="20"/>
          <w:color w:val="auto"/>
        </w:rPr>
      </w:pPr>
      <w:r>
        <w:rPr>
          <w:rFonts w:ascii="Courier New" w:cs="Courier New" w:eastAsia="Courier New" w:hAnsi="Courier New"/>
          <w:sz w:val="14"/>
          <w:szCs w:val="14"/>
          <w:color w:val="auto"/>
        </w:rPr>
        <w:t>FASB Statement No. 132 (revised 2003), "Employers' Disclosures about Pensions and Other Postretirement Benefits", requires additional disclosures about assets, obligations, cash flows, and net periodic benefit cost of defined benefit pension plans and other post-retirement benefit plans.</w:t>
      </w:r>
    </w:p>
    <w:p>
      <w:pPr>
        <w:spacing w:after="0" w:line="330" w:lineRule="exact"/>
        <w:rPr>
          <w:sz w:val="20"/>
          <w:szCs w:val="20"/>
          <w:color w:val="auto"/>
        </w:rPr>
      </w:pPr>
    </w:p>
    <w:p>
      <w:pPr>
        <w:ind w:left="440" w:right="3300" w:firstLine="347"/>
        <w:spacing w:after="0" w:line="253" w:lineRule="auto"/>
        <w:rPr>
          <w:sz w:val="20"/>
          <w:szCs w:val="20"/>
          <w:color w:val="auto"/>
        </w:rPr>
      </w:pPr>
      <w:r>
        <w:rPr>
          <w:rFonts w:ascii="Courier New" w:cs="Courier New" w:eastAsia="Courier New" w:hAnsi="Courier New"/>
          <w:sz w:val="14"/>
          <w:szCs w:val="14"/>
          <w:color w:val="auto"/>
        </w:rPr>
        <w:t>As a result of the Company's acquisition of Certen (see Note 10) on July 2, 2003, the Company now maintains several non-contributory defined benefit plans that provide for pension, other retirement and post-employment benefits for Certen employees based on length of service and rate of pay. Contributions by the Company are based on various generally accepted actuarial methods and reflect actuarial assumptions concerning future investment returns, salary projections and future service benefits. Plan assets consist primarily of Canadian and other equities, government and corporate bonds, debentures and secured mortgages, which are held in units of the BCE Master Trust Fund, a trust established by Bell.</w:t>
      </w:r>
    </w:p>
    <w:p>
      <w:pPr>
        <w:spacing w:after="0" w:line="164" w:lineRule="exact"/>
        <w:rPr>
          <w:sz w:val="20"/>
          <w:szCs w:val="20"/>
          <w:color w:val="auto"/>
        </w:rPr>
      </w:pPr>
    </w:p>
    <w:p>
      <w:pPr>
        <w:ind w:left="440" w:right="3560" w:firstLine="347"/>
        <w:spacing w:after="0" w:line="258" w:lineRule="auto"/>
        <w:rPr>
          <w:sz w:val="20"/>
          <w:szCs w:val="20"/>
          <w:color w:val="auto"/>
        </w:rPr>
      </w:pPr>
      <w:r>
        <w:rPr>
          <w:rFonts w:ascii="Courier New" w:cs="Courier New" w:eastAsia="Courier New" w:hAnsi="Courier New"/>
          <w:sz w:val="14"/>
          <w:szCs w:val="14"/>
          <w:color w:val="auto"/>
        </w:rPr>
        <w:t>The net periodic benefit cost under these plans for the three months and nine months ended June 30, 2004, was as follows:</w:t>
      </w:r>
    </w:p>
    <w:p>
      <w:pPr>
        <w:spacing w:after="0" w:line="200" w:lineRule="exact"/>
        <w:rPr>
          <w:sz w:val="20"/>
          <w:szCs w:val="20"/>
          <w:color w:val="auto"/>
        </w:rPr>
      </w:pPr>
    </w:p>
    <w:p>
      <w:pPr>
        <w:spacing w:after="0" w:line="294"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Three months ended</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Nine months ended</w:t>
            </w:r>
          </w:p>
        </w:tc>
        <w:tc>
          <w:tcPr>
            <w:tcW w:w="260" w:type="dxa"/>
            <w:vAlign w:val="bottom"/>
          </w:tcPr>
          <w:p>
            <w:pPr>
              <w:spacing w:after="0"/>
              <w:rPr>
                <w:sz w:val="14"/>
                <w:szCs w:val="14"/>
                <w:color w:val="auto"/>
              </w:rPr>
            </w:pPr>
          </w:p>
        </w:tc>
      </w:tr>
      <w:tr>
        <w:trPr>
          <w:trHeight w:val="167"/>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June 30, 2004</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June 30, 2004</w:t>
            </w:r>
          </w:p>
        </w:tc>
        <w:tc>
          <w:tcPr>
            <w:tcW w:w="260" w:type="dxa"/>
            <w:vAlign w:val="bottom"/>
          </w:tcPr>
          <w:p>
            <w:pPr>
              <w:spacing w:after="0"/>
              <w:rPr>
                <w:sz w:val="14"/>
                <w:szCs w:val="14"/>
                <w:color w:val="auto"/>
              </w:rPr>
            </w:pPr>
          </w:p>
        </w:tc>
      </w:tr>
      <w:tr>
        <w:trPr>
          <w:trHeight w:val="167"/>
        </w:trPr>
        <w:tc>
          <w:tcPr>
            <w:tcW w:w="286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Courier New" w:cs="Courier New" w:eastAsia="Courier New" w:hAnsi="Courier New"/>
                <w:sz w:val="10"/>
                <w:szCs w:val="10"/>
                <w:color w:val="auto"/>
                <w:w w:val="73"/>
              </w:rPr>
              <w:t>------------------------------</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Pension</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Pension</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spacing w:after="0"/>
              <w:rPr>
                <w:sz w:val="14"/>
                <w:szCs w:val="14"/>
                <w:color w:val="auto"/>
              </w:rPr>
            </w:pPr>
          </w:p>
        </w:tc>
      </w:tr>
      <w:tr>
        <w:trPr>
          <w:trHeight w:val="167"/>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Benefits</w:t>
            </w:r>
          </w:p>
        </w:tc>
        <w:tc>
          <w:tcPr>
            <w:tcW w:w="16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Benefits</w:t>
            </w:r>
          </w:p>
        </w:tc>
        <w:tc>
          <w:tcPr>
            <w:tcW w:w="460" w:type="dxa"/>
            <w:vAlign w:val="bottom"/>
          </w:tcPr>
          <w:p>
            <w:pPr>
              <w:spacing w:after="0"/>
              <w:rPr>
                <w:sz w:val="14"/>
                <w:szCs w:val="14"/>
                <w:color w:val="auto"/>
              </w:rPr>
            </w:pP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Benefits</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Benefits</w:t>
            </w:r>
          </w:p>
        </w:tc>
      </w:tr>
      <w:tr>
        <w:trPr>
          <w:trHeight w:val="167"/>
        </w:trPr>
        <w:tc>
          <w:tcPr>
            <w:tcW w:w="2860" w:type="dxa"/>
            <w:vAlign w:val="bottom"/>
          </w:tcPr>
          <w:p>
            <w:pPr>
              <w:spacing w:after="0"/>
              <w:rPr>
                <w:sz w:val="14"/>
                <w:szCs w:val="14"/>
                <w:color w:val="auto"/>
              </w:rPr>
            </w:pPr>
          </w:p>
        </w:tc>
        <w:tc>
          <w:tcPr>
            <w:tcW w:w="15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860" w:type="dxa"/>
            <w:vAlign w:val="bottom"/>
          </w:tcPr>
          <w:p>
            <w:pPr>
              <w:spacing w:after="0"/>
              <w:rPr>
                <w:sz w:val="20"/>
                <w:szCs w:val="20"/>
                <w:color w:val="auto"/>
              </w:rPr>
            </w:pPr>
            <w:r>
              <w:rPr>
                <w:rFonts w:ascii="Courier New" w:cs="Courier New" w:eastAsia="Courier New" w:hAnsi="Courier New"/>
                <w:sz w:val="14"/>
                <w:szCs w:val="14"/>
                <w:color w:val="auto"/>
              </w:rPr>
              <w:t>Service costs</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515</w:t>
            </w: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94</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1,488</w:t>
            </w:r>
          </w:p>
        </w:tc>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271</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Interest on benefit obligations</w:t>
            </w:r>
          </w:p>
        </w:tc>
        <w:tc>
          <w:tcPr>
            <w:tcW w:w="36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673</w:t>
            </w:r>
          </w:p>
        </w:tc>
        <w:tc>
          <w:tcPr>
            <w:tcW w:w="1000" w:type="dxa"/>
            <w:vAlign w:val="bottom"/>
          </w:tcPr>
          <w:p>
            <w:pPr>
              <w:spacing w:after="0"/>
              <w:rPr>
                <w:sz w:val="14"/>
                <w:szCs w:val="14"/>
                <w:color w:val="auto"/>
              </w:rPr>
            </w:pP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97</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1,943</w:t>
            </w:r>
          </w:p>
        </w:tc>
        <w:tc>
          <w:tcPr>
            <w:tcW w:w="9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279</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3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(575)</w:t>
            </w:r>
          </w:p>
        </w:tc>
        <w:tc>
          <w:tcPr>
            <w:tcW w:w="1000" w:type="dxa"/>
            <w:vAlign w:val="bottom"/>
          </w:tcPr>
          <w:p>
            <w:pPr>
              <w:spacing w:after="0"/>
              <w:rPr>
                <w:sz w:val="14"/>
                <w:szCs w:val="14"/>
                <w:color w:val="auto"/>
              </w:rPr>
            </w:pP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(1,661)</w:t>
            </w:r>
          </w:p>
        </w:tc>
        <w:tc>
          <w:tcPr>
            <w:tcW w:w="9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60" w:type="dxa"/>
            <w:vAlign w:val="bottom"/>
          </w:tcPr>
          <w:p>
            <w:pPr>
              <w:spacing w:after="0"/>
              <w:rPr>
                <w:sz w:val="14"/>
                <w:szCs w:val="14"/>
                <w:color w:val="auto"/>
              </w:rPr>
            </w:pPr>
          </w:p>
        </w:tc>
        <w:tc>
          <w:tcPr>
            <w:tcW w:w="15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6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613</w:t>
            </w: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191</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1,770</w:t>
            </w:r>
          </w:p>
        </w:tc>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550</w:t>
            </w:r>
          </w:p>
        </w:tc>
      </w:tr>
      <w:tr>
        <w:trPr>
          <w:trHeight w:val="167"/>
        </w:trPr>
        <w:tc>
          <w:tcPr>
            <w:tcW w:w="2860" w:type="dxa"/>
            <w:vAlign w:val="bottom"/>
          </w:tcPr>
          <w:p>
            <w:pPr>
              <w:spacing w:after="0"/>
              <w:rPr>
                <w:sz w:val="14"/>
                <w:szCs w:val="14"/>
                <w:color w:val="auto"/>
              </w:rPr>
            </w:pPr>
          </w:p>
        </w:tc>
        <w:tc>
          <w:tcPr>
            <w:tcW w:w="15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right="3480" w:firstLine="347"/>
        <w:spacing w:after="0" w:line="254" w:lineRule="auto"/>
        <w:rPr>
          <w:sz w:val="20"/>
          <w:szCs w:val="20"/>
          <w:color w:val="auto"/>
        </w:rPr>
      </w:pPr>
      <w:r>
        <w:rPr>
          <w:rFonts w:ascii="Courier New" w:cs="Courier New" w:eastAsia="Courier New" w:hAnsi="Courier New"/>
          <w:sz w:val="14"/>
          <w:szCs w:val="14"/>
          <w:color w:val="auto"/>
        </w:rPr>
        <w:t>For the three and nine months ended June 30, 2004, no contributions were made by the Company, although the Company expects that contributions for the fiscal year ending September 30, 2004 will approximate the net periodic benefit cost.</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60"/>
          </w:cols>
          <w:pgMar w:left="220" w:top="453" w:right="1419" w:bottom="1440" w:gutter="0" w:footer="0" w:header="0"/>
        </w:sectPr>
      </w:pPr>
    </w:p>
    <w:bookmarkStart w:id="92" w:name="page93"/>
    <w:bookmarkEnd w:id="92"/>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440" w:hanging="431"/>
        <w:spacing w:after="0"/>
        <w:tabs>
          <w:tab w:leader="none" w:pos="44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Contingencies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Legal Proceedings</w:t>
      </w:r>
    </w:p>
    <w:p>
      <w:pPr>
        <w:spacing w:after="0" w:line="175" w:lineRule="exact"/>
        <w:rPr>
          <w:sz w:val="20"/>
          <w:szCs w:val="20"/>
          <w:color w:val="auto"/>
        </w:rPr>
      </w:pP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On December 2, 2003 the Company announced that the United States District Court for the Eastern District of Missouri had issued an order granting the Company's motion to dismiss the securities class action lawsuits that had been pending against the Company and certain of its directors and officers since June 2002. The court's order also directed that judgment be entered in favor of the defendants. The consolidated complaint filed in the action alleged that the Company and the individual defendants had made false or misleading statements about the Company's business and future prospects during a putative class period between July 18, 2000 and June 20, 2002. On December 29, 2003 the lead plaintiffs appealed to the United States Court of Appeals for the Eighth Circuit from the final judgment entered on December 1, 2003.</w:t>
      </w:r>
    </w:p>
    <w:p>
      <w:pPr>
        <w:spacing w:after="0" w:line="164" w:lineRule="exact"/>
        <w:rPr>
          <w:sz w:val="20"/>
          <w:szCs w:val="20"/>
          <w:color w:val="auto"/>
        </w:rPr>
      </w:pPr>
    </w:p>
    <w:p>
      <w:pPr>
        <w:ind w:left="440" w:right="3279" w:firstLine="347"/>
        <w:spacing w:after="0" w:line="254" w:lineRule="auto"/>
        <w:rPr>
          <w:sz w:val="20"/>
          <w:szCs w:val="20"/>
          <w:color w:val="auto"/>
        </w:rPr>
      </w:pPr>
      <w:r>
        <w:rPr>
          <w:rFonts w:ascii="Courier New" w:cs="Courier New" w:eastAsia="Courier New" w:hAnsi="Courier New"/>
          <w:sz w:val="14"/>
          <w:szCs w:val="14"/>
          <w:color w:val="auto"/>
        </w:rPr>
        <w:t>The Company is involved in various other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Securities and Exchange Commission Investigation</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The Company has been informed that the Midwest Regional Office of the SEC is conducting a private investigation into the events leading up to the Company's announcement in June 2002 of revised projected revenue for the third and fourth quarters of fiscal 2002. The investigation appears to be focused on, but is not explicitly limited to, the Company's forecasting beginning with its April 23, 2002 press release. Although the Company believes that it will be able to satisfy any concerns the SEC staff may have in this regard, the Company is unable to predict the duration, scope, or outcome of the investigation. The Company is cooperating fully with the SEC staff.</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Guarantor's Accounting and Disclosure Requirements for Guarantees</w:t>
      </w:r>
    </w:p>
    <w:p>
      <w:pPr>
        <w:spacing w:after="0" w:line="17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Company is a party to an agreement entered into prior to December 31, 2002 that includes an indemnification of one of its customers for any withholding tax that might be required under the customer's local tax laws from certain payments made to the Company under this agreement. The indemnification under this agreement expires in December 2005. As of June 30, 2004 and September 30, 2003, the maximum potential amount of the Company's future exposure under this guarantee as determined in accordance with Financial Accounting Standards Board Interpretation No. 45 "Guarantor's Accounting and Disclosure Requirements for Guarantees, Including Indirect Guarantees of Indebtedness of Others" was $4,717.</w:t>
      </w:r>
    </w:p>
    <w:p>
      <w:pPr>
        <w:spacing w:after="0" w:line="164" w:lineRule="exact"/>
        <w:rPr>
          <w:sz w:val="20"/>
          <w:szCs w:val="20"/>
          <w:color w:val="auto"/>
        </w:rPr>
      </w:pPr>
    </w:p>
    <w:p>
      <w:pPr>
        <w:ind w:left="360" w:right="3379" w:firstLine="434"/>
        <w:spacing w:after="0" w:line="253" w:lineRule="auto"/>
        <w:rPr>
          <w:sz w:val="20"/>
          <w:szCs w:val="20"/>
          <w:color w:val="auto"/>
        </w:rPr>
      </w:pPr>
      <w:r>
        <w:rPr>
          <w:rFonts w:ascii="Courier New" w:cs="Courier New" w:eastAsia="Courier New" w:hAnsi="Courier New"/>
          <w:sz w:val="14"/>
          <w:szCs w:val="14"/>
          <w:color w:val="auto"/>
        </w:rPr>
        <w:t>The Company generally sells its ClarifyCRM products with a limited warranty for a period of 90 days. The Company's policy is to accrue for warranty costs, if needed, based on historical trends in product failure. Based on the Company's experience, only minimal warranty services have been required and, as a result, the Company did not accrue any amounts for product warranty liability during the nine months ended June 30, 2004 and 2003.</w:t>
      </w:r>
    </w:p>
    <w:p>
      <w:pPr>
        <w:spacing w:after="0" w:line="332" w:lineRule="exact"/>
        <w:rPr>
          <w:sz w:val="20"/>
          <w:szCs w:val="20"/>
          <w:color w:val="auto"/>
        </w:rPr>
      </w:pPr>
    </w:p>
    <w:p>
      <w:pPr>
        <w:ind w:left="440" w:right="3459" w:firstLine="347"/>
        <w:spacing w:after="0" w:line="253" w:lineRule="auto"/>
        <w:rPr>
          <w:sz w:val="20"/>
          <w:szCs w:val="20"/>
          <w:color w:val="auto"/>
        </w:rPr>
      </w:pPr>
      <w:r>
        <w:rPr>
          <w:rFonts w:ascii="Courier New" w:cs="Courier New" w:eastAsia="Courier New" w:hAnsi="Courier New"/>
          <w:sz w:val="14"/>
          <w:szCs w:val="14"/>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consolidated financial statements.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620" w:right="1440" w:bottom="1440" w:gutter="0" w:footer="0" w:header="0"/>
        </w:sectPr>
      </w:pPr>
    </w:p>
    <w:bookmarkStart w:id="93" w:name="page94"/>
    <w:bookmarkEnd w:id="93"/>
    <w:p>
      <w:pPr>
        <w:jc w:val="center"/>
        <w:ind w:right="3379"/>
        <w:spacing w:after="0"/>
        <w:rPr>
          <w:sz w:val="20"/>
          <w:szCs w:val="20"/>
          <w:color w:val="auto"/>
        </w:rPr>
      </w:pPr>
      <w:r>
        <w:rPr>
          <w:rFonts w:ascii="Courier New" w:cs="Courier New" w:eastAsia="Courier New" w:hAnsi="Courier New"/>
          <w:sz w:val="14"/>
          <w:szCs w:val="14"/>
          <w:color w:val="auto"/>
        </w:rPr>
        <w:t>OPERATING AND FINANCIAL REVIEW AND PROSPECTS FOR THE THREE AND NINE</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MONTH PERIODS ENDED JUNE 30, 2004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17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In this section, we discuss the general financial condition and the results of operations for Amdocs and its subsidiaries including:</w:t>
      </w:r>
    </w:p>
    <w:p>
      <w:pPr>
        <w:spacing w:after="0" w:line="160" w:lineRule="exact"/>
        <w:rPr>
          <w:sz w:val="20"/>
          <w:szCs w:val="20"/>
          <w:color w:val="auto"/>
        </w:rPr>
      </w:pPr>
    </w:p>
    <w:p>
      <w:pPr>
        <w:ind w:left="800" w:hanging="444"/>
        <w:spacing w:after="0"/>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factors that affect our business,</w:t>
      </w:r>
    </w:p>
    <w:p>
      <w:pPr>
        <w:spacing w:after="0" w:line="175" w:lineRule="exact"/>
        <w:rPr>
          <w:rFonts w:ascii="Courier New" w:cs="Courier New" w:eastAsia="Courier New" w:hAnsi="Courier New"/>
          <w:sz w:val="14"/>
          <w:szCs w:val="14"/>
          <w:color w:val="auto"/>
        </w:rPr>
      </w:pPr>
    </w:p>
    <w:p>
      <w:pPr>
        <w:ind w:left="800" w:right="3279" w:hanging="444"/>
        <w:spacing w:after="0" w:line="258"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revenue and costs for the nine months and three months ended June 30, 2004 and 2003,</w:t>
      </w:r>
    </w:p>
    <w:p>
      <w:pPr>
        <w:spacing w:after="0" w:line="159" w:lineRule="exact"/>
        <w:rPr>
          <w:rFonts w:ascii="Courier New" w:cs="Courier New" w:eastAsia="Courier New" w:hAnsi="Courier New"/>
          <w:sz w:val="14"/>
          <w:szCs w:val="14"/>
          <w:color w:val="auto"/>
        </w:rPr>
      </w:pPr>
    </w:p>
    <w:p>
      <w:pPr>
        <w:ind w:left="800" w:right="3899" w:hanging="444"/>
        <w:spacing w:after="0" w:line="258"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reasons why such revenue and costs were different from period to period,</w:t>
      </w:r>
    </w:p>
    <w:p>
      <w:pPr>
        <w:spacing w:after="0" w:line="159"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sources of our revenue,</w:t>
      </w:r>
    </w:p>
    <w:p>
      <w:pPr>
        <w:spacing w:after="0" w:line="175"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how all of this affects our overall financial condition,</w:t>
      </w:r>
    </w:p>
    <w:p>
      <w:pPr>
        <w:spacing w:after="0" w:line="175" w:lineRule="exact"/>
        <w:rPr>
          <w:rFonts w:ascii="Courier New" w:cs="Courier New" w:eastAsia="Courier New" w:hAnsi="Courier New"/>
          <w:sz w:val="14"/>
          <w:szCs w:val="14"/>
          <w:color w:val="auto"/>
        </w:rPr>
      </w:pPr>
    </w:p>
    <w:p>
      <w:pPr>
        <w:ind w:left="800" w:right="3379" w:hanging="444"/>
        <w:spacing w:after="0" w:line="258"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expenditures for the nine months and three months ended June 30, 2004 and 2003, and</w:t>
      </w:r>
    </w:p>
    <w:p>
      <w:pPr>
        <w:spacing w:after="0" w:line="159" w:lineRule="exact"/>
        <w:rPr>
          <w:rFonts w:ascii="Courier New" w:cs="Courier New" w:eastAsia="Courier New" w:hAnsi="Courier New"/>
          <w:sz w:val="14"/>
          <w:szCs w:val="14"/>
          <w:color w:val="auto"/>
        </w:rPr>
      </w:pPr>
    </w:p>
    <w:p>
      <w:pPr>
        <w:ind w:left="800" w:right="3719" w:hanging="444"/>
        <w:spacing w:after="0" w:line="258"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sources of our cash to pay for future capital expenditures and possible acquisitions.</w:t>
      </w:r>
    </w:p>
    <w:p>
      <w:pPr>
        <w:spacing w:after="0" w:line="160"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In this section, we also analyze and explain the changes in the specific line items in our consolidated statements of income between the nine-month and three-month periods ended June 30, 2004 and 2003. You should read this section in conjunction with our consolidated financial statements.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620"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4"/>
          <w:szCs w:val="14"/>
          <w:color w:val="auto"/>
        </w:rPr>
        <w:t>Overview of Business and Trend Information</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Our market focus is primarily the communications industry, and we are a leading provider of software products and services to major communications companies in North America, Europe and the rest of the world. The products and services that we provide are known as integrated customer management systems, which we refer to as "Integrated Customer Management". Our Integrated Customer Management product offerings consist primarily of billing and customer relationship management systems, which we refer to, collectively, as "Customer Care and Billing Systems", or "CC&amp;B Systems". We refer to customer relationship management products included within CC&amp;B Systems as "CRM" products. Our portfolio of products also includes a full range of directory sales and publishing systems, which we refer to as "Directory Systems", for publishers of both traditional printed yellow page and white page directories and electronic Internet directories.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Our Integrated Customer Management systems are designed to meet the mission-critical needs of leading communications service providers. We support a wide range of communications services, including wireline, wireless, voice, data, broadband, content, electronic and mobile commerce and Internet Protocol ("IP") based services. We also support companies that offer bundled or convergent service packages. Due to the complexity of our customers' projects and the expertise required for system support, we also provide extensive implementation, system integration, system modification, ongoing support, system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 in all cases on either or a combination of a fixed or unit charge basis to our customers.</w:t>
      </w:r>
    </w:p>
    <w:p>
      <w:pPr>
        <w:spacing w:after="0" w:line="330"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Our business is conducted on a global basis. We maintain five development facilities located in Israel, the United States, Cyprus, Ireland and Canada. Recently, we established a new development center in India. We expect this development center to grow and support the overall activity of our business worldwide, at comparatively lower operating costs.</w:t>
      </w:r>
    </w:p>
    <w:p>
      <w:pPr>
        <w:spacing w:after="0" w:line="16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As part of our strategy, we may pursue acquisitions and other initiatives in order to offer new products or services or otherwise enhance our market position or strategic strengths.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derive our revenue principally from:</w:t>
      </w:r>
    </w:p>
    <w:p>
      <w:pPr>
        <w:spacing w:after="0" w:line="175" w:lineRule="exact"/>
        <w:rPr>
          <w:sz w:val="20"/>
          <w:szCs w:val="20"/>
          <w:color w:val="auto"/>
        </w:rPr>
      </w:pPr>
    </w:p>
    <w:p>
      <w:pPr>
        <w:ind w:left="880" w:right="3539" w:hanging="437"/>
        <w:spacing w:after="0" w:line="255" w:lineRule="auto"/>
        <w:tabs>
          <w:tab w:leader="none" w:pos="8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sales of our products and related services, including license fees and modification, implementation and integration services,</w:t>
      </w:r>
    </w:p>
    <w:p>
      <w:pPr>
        <w:spacing w:after="0" w:line="162" w:lineRule="exact"/>
        <w:rPr>
          <w:rFonts w:ascii="Courier New" w:cs="Courier New" w:eastAsia="Courier New" w:hAnsi="Courier New"/>
          <w:sz w:val="14"/>
          <w:szCs w:val="14"/>
          <w:color w:val="auto"/>
        </w:rPr>
      </w:pPr>
    </w:p>
    <w:p>
      <w:pPr>
        <w:ind w:left="880" w:right="3799" w:hanging="437"/>
        <w:spacing w:after="0" w:line="258" w:lineRule="auto"/>
        <w:tabs>
          <w:tab w:leader="none" w:pos="8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providing Managed Services and other related services for our solutions, and</w:t>
      </w:r>
    </w:p>
    <w:p>
      <w:pPr>
        <w:spacing w:after="0" w:line="159" w:lineRule="exact"/>
        <w:rPr>
          <w:rFonts w:ascii="Courier New" w:cs="Courier New" w:eastAsia="Courier New" w:hAnsi="Courier New"/>
          <w:sz w:val="14"/>
          <w:szCs w:val="14"/>
          <w:color w:val="auto"/>
        </w:rPr>
      </w:pPr>
    </w:p>
    <w:p>
      <w:pPr>
        <w:ind w:left="880" w:right="3279" w:hanging="437"/>
        <w:spacing w:after="0" w:line="255" w:lineRule="auto"/>
        <w:tabs>
          <w:tab w:leader="none" w:pos="8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recurring revenue from ongoing support and maintenance provided to our customers, and from incremental license fees resulting from increases in a customer's business volume.</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 using the percentage of</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620" w:right="1440" w:bottom="1440" w:gutter="0" w:footer="0" w:header="0"/>
        </w:sectPr>
      </w:pPr>
    </w:p>
    <w:bookmarkStart w:id="95" w:name="page96"/>
    <w:bookmarkEnd w:id="95"/>
    <w:p>
      <w:pPr>
        <w:ind w:right="3279"/>
        <w:spacing w:after="0" w:line="252" w:lineRule="auto"/>
        <w:rPr>
          <w:sz w:val="20"/>
          <w:szCs w:val="20"/>
          <w:color w:val="auto"/>
        </w:rPr>
      </w:pPr>
      <w:r>
        <w:rPr>
          <w:rFonts w:ascii="Courier New" w:cs="Courier New" w:eastAsia="Courier New" w:hAnsi="Courier New"/>
          <w:sz w:val="14"/>
          <w:szCs w:val="14"/>
          <w:color w:val="auto"/>
        </w:rPr>
        <w:t>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level or number of users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In Managed Services contracts, we typically recognize revenue from the operation of a customer's system either ratably over the service period or as services are performed. Revenue from ongoing support services is recognized as work is performed. Revenue from third-party hardware and software sales is recognized upon installation and delivery, respectively.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341"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Our business is subject to the effects of general global economic conditions and, in particular, market conditions in the communications industry. As a result of the slowdown in the communications industry during the last two years, the market value, financial results and prospects, and capital spending levels of communications companies declined or degraded. The challenging environment in the communications industry significantly impacted our business. During the last two years, delays in customer buying decisions stemming from rigorous management of operating expenses and overall reductions in the capital investment budgets of many communications service providers led to fewer new contracts, as well as smaller initial spending commitments and reduced discretionary spending under contracts with some of our customers. As a result of the market conditions during fiscal 2002 mentioned above, our revenue in the fiscal 2002 third quarter decreased by more than $75 million from the previous quarter. Revenue continued to decline in the fourth quarter of fiscal 2002 and the first quarter of fiscal 2003. During calendar 2003, the market began to stabilize. As a result, we resumed sequential revenue growth in the second quarter of fiscal 2003. During the nine months ended June 30, 2004, communications service providers demonstrated a greater readiness to commit to new projects, although the market has not grown at the rate expected. While difficulties remain in the communications industry, we believe that, with the overall improvement of market conditions, we should achieve very modest sequential growth in the coming quarters.</w:t>
      </w:r>
    </w:p>
    <w:p>
      <w:pPr>
        <w:spacing w:after="0" w:line="342"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Our quarterly revenue for the last eleven quarters is summarized below (in millions):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83"/>
              </w:rPr>
              <w:t>Q1</w:t>
            </w:r>
          </w:p>
        </w:tc>
        <w:tc>
          <w:tcPr>
            <w:tcW w:w="860" w:type="dxa"/>
            <w:vAlign w:val="bottom"/>
          </w:tcPr>
          <w:p>
            <w:pPr>
              <w:spacing w:after="0"/>
              <w:rPr>
                <w:sz w:val="14"/>
                <w:szCs w:val="14"/>
                <w:color w:val="auto"/>
              </w:rPr>
            </w:pPr>
          </w:p>
        </w:tc>
        <w:tc>
          <w:tcPr>
            <w:tcW w:w="1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Q2</w:t>
            </w:r>
          </w:p>
        </w:tc>
        <w:tc>
          <w:tcPr>
            <w:tcW w:w="700" w:type="dxa"/>
            <w:vAlign w:val="bottom"/>
          </w:tcPr>
          <w:p>
            <w:pPr>
              <w:spacing w:after="0"/>
              <w:rPr>
                <w:sz w:val="14"/>
                <w:szCs w:val="14"/>
                <w:color w:val="auto"/>
              </w:rPr>
            </w:pPr>
          </w:p>
        </w:tc>
        <w:tc>
          <w:tcPr>
            <w:tcW w:w="1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Q3</w:t>
            </w:r>
          </w:p>
        </w:tc>
        <w:tc>
          <w:tcPr>
            <w:tcW w:w="660" w:type="dxa"/>
            <w:vAlign w:val="bottom"/>
          </w:tcPr>
          <w:p>
            <w:pPr>
              <w:spacing w:after="0"/>
              <w:rPr>
                <w:sz w:val="14"/>
                <w:szCs w:val="14"/>
                <w:color w:val="auto"/>
              </w:rPr>
            </w:pPr>
          </w:p>
        </w:tc>
        <w:tc>
          <w:tcPr>
            <w:tcW w:w="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Q4</w:t>
            </w:r>
          </w:p>
        </w:tc>
      </w:tr>
      <w:tr>
        <w:trPr>
          <w:trHeight w:val="167"/>
        </w:trPr>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Fiscal 2004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428.3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442.8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450.2</w:t>
            </w:r>
          </w:p>
        </w:tc>
        <w:tc>
          <w:tcPr>
            <w:tcW w:w="66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r>
      <w:tr>
        <w:trPr>
          <w:trHeight w:val="334"/>
        </w:trPr>
        <w:tc>
          <w:tcPr>
            <w:tcW w:w="56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339.4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355.0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377.2</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411.7</w:t>
            </w:r>
          </w:p>
        </w:tc>
      </w:tr>
      <w:tr>
        <w:trPr>
          <w:trHeight w:val="334"/>
        </w:trPr>
        <w:tc>
          <w:tcPr>
            <w:tcW w:w="56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422.6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455.3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380.2</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355.5</w:t>
            </w:r>
          </w:p>
        </w:tc>
      </w:tr>
    </w:tbl>
    <w:p>
      <w:pPr>
        <w:spacing w:after="0" w:line="338"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Due to our heavy dependence on the communications industry and a limited number of significant customers, we can be adversely affected by consolidations of service providers and by bankruptcies or other business failures in that industry. The potential loss of a customer due to consolidation or failures in the communications industry could harm our business and might have a material adverse effect on our consolidated operating results and financial condition.</w:t>
      </w:r>
    </w:p>
    <w:p>
      <w:pPr>
        <w:spacing w:after="0" w:line="16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We believe that we are a leading global provider of CC&amp;B Systems. We provide a broad set of billing and CRM products, with proven functionality and scalability, accompanied by a comprehensive range of support services.</w:t>
      </w:r>
    </w:p>
    <w:p>
      <w:pPr>
        <w:spacing w:after="0" w:line="162"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We believe that demand for our CC&amp;B Systems is driven by, among other key factors:</w:t>
      </w:r>
    </w:p>
    <w:p>
      <w:pPr>
        <w:spacing w:after="0" w:line="160" w:lineRule="exact"/>
        <w:rPr>
          <w:sz w:val="20"/>
          <w:szCs w:val="20"/>
          <w:color w:val="auto"/>
        </w:rPr>
      </w:pPr>
    </w:p>
    <w:p>
      <w:pPr>
        <w:ind w:left="800" w:hanging="357"/>
        <w:spacing w:after="0"/>
        <w:tabs>
          <w:tab w:leader="none" w:pos="8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global penetration of communications service providers,</w:t>
      </w:r>
    </w:p>
    <w:p>
      <w:pPr>
        <w:spacing w:after="0" w:line="175" w:lineRule="exact"/>
        <w:rPr>
          <w:rFonts w:ascii="Courier New" w:cs="Courier New" w:eastAsia="Courier New" w:hAnsi="Courier New"/>
          <w:sz w:val="14"/>
          <w:szCs w:val="14"/>
          <w:color w:val="auto"/>
        </w:rPr>
      </w:pPr>
    </w:p>
    <w:p>
      <w:pPr>
        <w:ind w:left="800" w:right="3459" w:hanging="357"/>
        <w:spacing w:after="0" w:line="258" w:lineRule="auto"/>
        <w:tabs>
          <w:tab w:leader="none" w:pos="8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emergence of new communications products and services, especially IP, data and content services,</w:t>
      </w:r>
    </w:p>
    <w:p>
      <w:pPr>
        <w:spacing w:after="0" w:line="159" w:lineRule="exact"/>
        <w:rPr>
          <w:rFonts w:ascii="Courier New" w:cs="Courier New" w:eastAsia="Courier New" w:hAnsi="Courier New"/>
          <w:sz w:val="14"/>
          <w:szCs w:val="14"/>
          <w:color w:val="auto"/>
        </w:rPr>
      </w:pPr>
    </w:p>
    <w:p>
      <w:pPr>
        <w:ind w:left="800" w:right="3459" w:hanging="357"/>
        <w:spacing w:after="0" w:line="255" w:lineRule="auto"/>
        <w:tabs>
          <w:tab w:leader="none" w:pos="8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technological changes, such as the introduction of wireless Internet services via GPRS (General Packet Radio Services) and UMTS (Universal Mobile Telecommunications System) technology,</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787" w:right="1440" w:bottom="1440" w:gutter="0" w:footer="0" w:header="0"/>
        </w:sectPr>
      </w:pPr>
    </w:p>
    <w:bookmarkStart w:id="96" w:name="page97"/>
    <w:bookmarkEnd w:id="96"/>
    <w:p>
      <w:pPr>
        <w:ind w:left="800" w:hanging="357"/>
        <w:spacing w:after="0"/>
        <w:tabs>
          <w:tab w:leader="none" w:pos="8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ongoing consolidation within the communications industry,</w:t>
      </w:r>
    </w:p>
    <w:p>
      <w:pPr>
        <w:spacing w:after="0" w:line="175" w:lineRule="exact"/>
        <w:rPr>
          <w:rFonts w:ascii="Courier New" w:cs="Courier New" w:eastAsia="Courier New" w:hAnsi="Courier New"/>
          <w:sz w:val="14"/>
          <w:szCs w:val="14"/>
          <w:color w:val="auto"/>
        </w:rPr>
      </w:pPr>
    </w:p>
    <w:p>
      <w:pPr>
        <w:ind w:left="800" w:right="3279" w:hanging="357"/>
        <w:spacing w:after="0" w:line="258" w:lineRule="auto"/>
        <w:tabs>
          <w:tab w:leader="none" w:pos="8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needs of communications service providers to reduce costs and retain high value customers, and</w:t>
      </w:r>
    </w:p>
    <w:p>
      <w:pPr>
        <w:spacing w:after="0" w:line="159"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shift from in-house management to vendor solutions.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We also believe that additional drivers of demand are the continuing trend for communications service providers to offer their subscribers multiple service packages, commonly referred to as bundled or convergent services (combinations of voice, broadband, electronic and mobile commerce and IP services), and the ability of our CC&amp;B Systems to improve productivity.</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License and service revenue from the sale of CC&amp;B Systems and Directory Systems includes revenue from Managed Services arrangements. Managed Services projects are a significant part of our business, and generate substantial, long-term revenue streams, cash flow and operating income.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tend to improve over time as we benefit from the operational efficiencies provided by system modernization and consolidation. We expect that our Managed Services relationships will generate margins comparable to sales of our other products and related license and services over the entire relationships. Revenue related to Managed Services agreements in the three months and nine months ended June 30, 2004 was approximately 40% of total revenue for such periods.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following table sets forth for the nine months and three months ended June 30, 2004 and 2003 certain items in our consolidated statements of income reflected as a percentage of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24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Three months ended</w:t>
            </w: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2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June 30,</w:t>
            </w:r>
          </w:p>
        </w:tc>
        <w:tc>
          <w:tcPr>
            <w:tcW w:w="960" w:type="dxa"/>
            <w:vAlign w:val="bottom"/>
          </w:tcPr>
          <w:p>
            <w:pPr>
              <w:spacing w:after="0"/>
              <w:rPr>
                <w:sz w:val="14"/>
                <w:szCs w:val="14"/>
                <w:color w:val="auto"/>
              </w:rPr>
            </w:pPr>
          </w:p>
        </w:tc>
        <w:tc>
          <w:tcPr>
            <w:tcW w:w="19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3260" w:type="dxa"/>
            <w:vAlign w:val="bottom"/>
          </w:tcPr>
          <w:p>
            <w:pPr>
              <w:spacing w:after="0"/>
              <w:rPr>
                <w:sz w:val="14"/>
                <w:szCs w:val="14"/>
                <w:color w:val="auto"/>
              </w:rPr>
            </w:pPr>
          </w:p>
        </w:tc>
        <w:tc>
          <w:tcPr>
            <w:tcW w:w="2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2004</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32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License ..........................</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Service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96.2</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95.2</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Cost of license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0.3</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Cost of service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62.9</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60.4</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Research and development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administrative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11.7</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purchased</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intangible assets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Restructuring charges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82.9</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85.6</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Operating income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17.1</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Interest income and other, net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before income taxes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17.1</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taxes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 .........................</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13.3%</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8"/>
        </w:trPr>
        <w:tc>
          <w:tcPr>
            <w:tcW w:w="3260" w:type="dxa"/>
            <w:vAlign w:val="bottom"/>
          </w:tcPr>
          <w:p>
            <w:pPr>
              <w:spacing w:after="0"/>
              <w:rPr>
                <w:sz w:val="24"/>
                <w:szCs w:val="24"/>
                <w:color w:val="auto"/>
              </w:rPr>
            </w:pPr>
          </w:p>
        </w:tc>
        <w:tc>
          <w:tcPr>
            <w:tcW w:w="152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79</w:t>
            </w: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787" w:right="1440" w:bottom="1440" w:gutter="0" w:footer="0" w:header="0"/>
        </w:sectPr>
      </w:pPr>
    </w:p>
    <w:bookmarkStart w:id="97" w:name="page98"/>
    <w:bookmarkEnd w:id="97"/>
    <w:p>
      <w:pPr>
        <w:ind w:left="440"/>
        <w:spacing w:after="0"/>
        <w:rPr>
          <w:sz w:val="20"/>
          <w:szCs w:val="20"/>
          <w:color w:val="auto"/>
        </w:rPr>
      </w:pPr>
      <w:r>
        <w:rPr>
          <w:rFonts w:ascii="Courier New" w:cs="Courier New" w:eastAsia="Courier New" w:hAnsi="Courier New"/>
          <w:sz w:val="14"/>
          <w:szCs w:val="14"/>
          <w:color w:val="auto"/>
        </w:rPr>
        <w:t>NINE MONTHS ENDED JUNE 30, 2004 AND 2003</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following is a tabular presentation of our results of operations for the nine months ended June 30, 2004 compared to the nine months ended June 30, 2003. Following the table is a discussion and analysis of our business and results of operations for such periods.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NINE MONTHS ENDED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JUNE 30,</w:t>
            </w:r>
          </w:p>
        </w:tc>
        <w:tc>
          <w:tcPr>
            <w:tcW w:w="1840" w:type="dxa"/>
            <w:vAlign w:val="bottom"/>
            <w:gridSpan w:val="3"/>
          </w:tcPr>
          <w:p>
            <w:pPr>
              <w:spacing w:after="0"/>
              <w:rPr>
                <w:sz w:val="20"/>
                <w:szCs w:val="20"/>
                <w:color w:val="auto"/>
              </w:rPr>
            </w:pPr>
            <w:r>
              <w:rPr>
                <w:rFonts w:ascii="Courier New" w:cs="Courier New" w:eastAsia="Courier New" w:hAnsi="Courier New"/>
                <w:sz w:val="14"/>
                <w:szCs w:val="14"/>
                <w:color w:val="auto"/>
              </w:rPr>
              <w:t>INCREASE (DECREASE)</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2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14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AMOUNT</w:t>
            </w: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700" w:type="dxa"/>
            <w:vAlign w:val="bottom"/>
          </w:tcPr>
          <w:p>
            <w:pPr>
              <w:spacing w:after="0"/>
              <w:rPr>
                <w:sz w:val="14"/>
                <w:szCs w:val="14"/>
                <w:color w:val="auto"/>
              </w:rPr>
            </w:pPr>
          </w:p>
        </w:tc>
        <w:tc>
          <w:tcPr>
            <w:tcW w:w="3520" w:type="dxa"/>
            <w:vAlign w:val="bottom"/>
            <w:gridSpan w:val="6"/>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License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52,026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51,176</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Service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1,269,251</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1,020,392</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248,859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24.4</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1,321,277</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1,071,568</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249,709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license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3,807</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4,137</w:t>
            </w:r>
          </w:p>
        </w:tc>
        <w:tc>
          <w:tcPr>
            <w:tcW w:w="14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service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833,470</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646,389</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187,081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28.9</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Research and development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92,247</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88,888</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3,359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w:t>
            </w:r>
          </w:p>
        </w:tc>
      </w:tr>
      <w:tr>
        <w:trPr>
          <w:trHeight w:val="334"/>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administrative ..........</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159,078</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153,644</w:t>
            </w:r>
          </w:p>
        </w:tc>
        <w:tc>
          <w:tcPr>
            <w:tcW w:w="1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5,434</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r>
      <w:tr>
        <w:trPr>
          <w:trHeight w:val="334"/>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purchased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intangible assets .......</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13,423</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14,303</w:t>
            </w:r>
          </w:p>
        </w:tc>
        <w:tc>
          <w:tcPr>
            <w:tcW w:w="1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(880)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Restructuring charges .....</w:t>
            </w:r>
          </w:p>
        </w:tc>
        <w:tc>
          <w:tcPr>
            <w:tcW w:w="26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9,956</w:t>
            </w:r>
          </w:p>
        </w:tc>
        <w:tc>
          <w:tcPr>
            <w:tcW w:w="14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(9,956)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1,102,025</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917,317</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184,708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219,252</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154,251</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65,001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42.1</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income and other, net</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2,899</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12,432</w:t>
            </w:r>
          </w:p>
        </w:tc>
        <w:tc>
          <w:tcPr>
            <w:tcW w:w="14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(9,533)</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(76.7)</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before income taxes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222,151</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166,683</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55,468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33.3</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48,873</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41,671</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7,202</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173,278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125,012</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48,266</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38.6%</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bl>
    <w:p>
      <w:pPr>
        <w:spacing w:after="0" w:line="33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REVENUE. The increase in total revenue in the nine months ended June 30, 2004 is due to an increase in service revenue as a result of the Managed Services agreements signed during fiscal 2003 and additional revenue resulting from our acquisition of Certen in the fourth quarter of fiscal 2003. Revenue related to Managed Services agreements in the nine months ended June 30, 2004 was approximately 40% of total revenue. The net revenue impact of the Managed Services agreements entered into during fiscal 2003, including the effect of the Certen acquisition, was approximately $208 million in the nine months ended June 30, 2004.</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Managed Services arrangements accounted for the majority part of the increase in revenue during the nine months ended June 30, 2004 and include only a small license revenue component, therefore, in the nine months ended June 30, 2004, such arrangements had the effect of decreasing license revenue, as a percentage of revenue, by 0.9% compared to the nine months ended June 30, 2003.</w:t>
      </w:r>
    </w:p>
    <w:p>
      <w:pPr>
        <w:spacing w:after="0" w:line="162"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License and service revenue from the sale of CC&amp;B Systems was $1,144.7 million for the nine months ended June 30, 2004, an increase of $218.1 million, or 23.5%, over the nine months ended June 30, 2003. Approximately two-thirds of the increase is attributable to our acquisition of Certen in the fourth quarter of fiscal 2003, and the remainder is attributable to additional revenue from existing and new customers. License and service revenue from the sale of CC&amp;B Systems represented 86.6% and 86.5% of our total revenue in the nine months ended June 30, 2004 and 2003, respectively. The demand for our CC&amp;B Systems is primarily driven by the need for communications companies to continue to integrate their billing, CRM and order management systems into Integrated Customer Management products and services. In fiscal 2003, many communications companies reduced or delayed expenditures on system upgrades as a result of the slowdown in the communications industry. Recently, however, there has been an improvement in market conditions contributing to the increase in revenue in the nine months ended June 30, 2004.</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453" w:right="1440" w:bottom="0" w:gutter="0" w:footer="0" w:header="0"/>
        </w:sectPr>
      </w:pPr>
    </w:p>
    <w:bookmarkStart w:id="98" w:name="page99"/>
    <w:bookmarkEnd w:id="98"/>
    <w:p>
      <w:pPr>
        <w:ind w:right="3279" w:firstLine="521"/>
        <w:spacing w:after="0" w:line="253" w:lineRule="auto"/>
        <w:rPr>
          <w:sz w:val="20"/>
          <w:szCs w:val="20"/>
          <w:color w:val="auto"/>
        </w:rPr>
      </w:pPr>
      <w:r>
        <w:rPr>
          <w:rFonts w:ascii="Courier New" w:cs="Courier New" w:eastAsia="Courier New" w:hAnsi="Courier New"/>
          <w:sz w:val="14"/>
          <w:szCs w:val="14"/>
          <w:color w:val="auto"/>
        </w:rPr>
        <w:t>License and service revenue from the sale of Directory Systems was $176.6 million for the nine months ended June 30, 2004, an increase of $31.6 million, or 21.8%, over the nine months ended June 30, 2003. Approximately $59 million of the increase in Directory Systems revenue in the nine months ended June 30, 2004 was attributable to the Managed Services agreements. This revenue was partially offset by the completion of certain implementation projects that accounted for $27 million of revenue in the comparable period of fiscal 2003. License and service revenue from the sale of Directory Systems represented 13.4% and 13.5% of our total revenue in the nine months ended June 30, 2004 and 2003, respectively. We believe that we are a leading provider of Directory Systems in most of the markets we serve. We expect that our revenue from Directory Systems will remain relatively stable in fiscal 2004.</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the nine months ended June 30, 2004, revenue from customers in North America, Europe and the rest of the world accounted for 66.8%, 26.4% and 6.8%, respectively, of total revenue compared to 61.1%, 30.2% and 8.7%, respectively, for the nine months ended June 30, 2003. Approximately 90.0% of the increase in revenue from customers in North America is attributable to Managed Services agreements, including the acquisition of Certen, which expanded our activity and revenue from customers in North America, and approximately 10.0% is attributable to the expansion of relationships with existing customers in North America. The decreased contribution to revenue from customers in Europe relative to customers in North America, as a percentage of revenue, resulted from the relatively greater growth in activity from customers in North America than in Europe during the nine months ended June 30, 2004. Revenue from customers in the rest of the world in absolute amount was relatively stable in the nine months ended June 30, 2004 compared to the nine months ended June 30, 2003.</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nine months ended June 30, 2004, cost of license, as a percentage of license revenue, was 7.3% compared to 8.1% in the nine months ended June 30, 2003.</w:t>
      </w:r>
    </w:p>
    <w:p>
      <w:pPr>
        <w:spacing w:after="0" w:line="33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Cost of Service. The increase in cost of service in the nine months ended June 30, 2004 was 28.9%, which was higher than 23.3%, the increase in our total revenue in the nine months ended June 30, 2004, and resulted in a 2.6% decrease in our gross margin. Our gross margin was affected by the Managed Services agreements signed during fiscal 2003, which we expect to be less profitable in their initial period, and to a lesser extent, by the decrease, as a percentage of revenue, in our license revenue.</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Research and Development. Research and development expense was primarily comprised of compensation expense attributed to research and development activities, which involve the development of new software modules and product offerings, either in conjunction with customer projects or as part of our internal product development program. We are currently focusing significant development efforts on the integration between our products in order to provide Integrated Customer Management to our customers, while continuing to upgrade our existing systems. The majority of our research and development expenditures are directed to our billing and CRM systems, and the remainder to directory, content, mediation, order management solutions and other activities. The increase in research and development expense was proportionally less than the increase in our total revenue. Although we intend to continue to devote resources to research and development, our research and development budget, like all of our costs, is sensitive to our overall financial condition.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34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is primarily comprised of compensation expense. The increase in selling, general and administrative expense in the nine months ended June 30, 2004 was attributable to the overall increase in our operations, as well as to the increase in our selling and marketing efforts. The increase in selling, general and administrative expense in the nine months ended June 30, 2004 was 3.5%, which was proportionally less than the 23.3% increase in our total revenue.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620" w:right="1440" w:bottom="1440" w:gutter="0" w:footer="0" w:header="0"/>
        </w:sectPr>
      </w:pPr>
    </w:p>
    <w:bookmarkStart w:id="99" w:name="page100"/>
    <w:bookmarkEnd w:id="99"/>
    <w:p>
      <w:pPr>
        <w:ind w:right="3379" w:firstLine="434"/>
        <w:spacing w:after="0" w:line="255" w:lineRule="auto"/>
        <w:rPr>
          <w:sz w:val="20"/>
          <w:szCs w:val="20"/>
          <w:color w:val="auto"/>
        </w:rPr>
      </w:pPr>
      <w:r>
        <w:rPr>
          <w:rFonts w:ascii="Courier New" w:cs="Courier New" w:eastAsia="Courier New" w:hAnsi="Courier New"/>
          <w:sz w:val="14"/>
          <w:szCs w:val="14"/>
          <w:color w:val="auto"/>
        </w:rPr>
        <w:t>Restructuring Charges. The restructuring charge in the nine months ended June 30, 2003 consisted of the cost reduction program we implemented during the first quarter of fiscal 2003.</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Operating Income. The increase in operating income in the nine months ended June 30, 2004 resulted from the 23.3% increase in our total revenue, which was partially offset by the 2.6% decrease in our gross margin attributable to the relative low gross margin of our Managed Services projects in their early stages of implementation, and to the effect of the $10.0 million restructuring charge in the nine months ended June 30, 2003.</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Interest Income and Other, Net. The decrease in interest income and other, net, in the nine months ended June 30, 2004 is primarily attributable to the decline in interest rates on our short-term interest-bearing investments, which resulted from our decision to shorten the duration of our investments due to volatility in the interest rate environment, and was also affected by the decrease of interest income on debentures issued by Certen to us that was eliminated as a result of the Certen acquisition.</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Income Taxes. Our effective tax rate in the nine months ended June 30, 2004 was 22% compared to 25% in the nine months ended June 30, 2003. Our effective tax rate for fiscal year 2004 is expected to be approximately 22% due to the corporate income tax rates in the various countries in which we operate and the relative magnitude of our business in those countries. The reduction in our effective tax rate is due to our continued expansion into countries with lower effective tax rates.</w:t>
      </w:r>
    </w:p>
    <w:p>
      <w:pPr>
        <w:spacing w:after="0" w:line="16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Net Income. The increase in net income in the nine months ended June 30, 2004 is attributable to the 23.3% increase in our total revenue and to the effect of the $10.0 million restructuring charge in the nine months ended June 30, 2003. The increase was partially offset by the 2.6% decrease in our gross margin attributable to the relative low gross margin of our Managed Services projects in their early stages of implementation.</w:t>
      </w:r>
    </w:p>
    <w:p>
      <w:pPr>
        <w:spacing w:after="0" w:line="16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Diluted Earnings Per Share. Diluted earnings per share were $0.80 for the nine months ended June 30, 2004, compared to $0.57 in the nine months ended June 30, 2003.</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620" w:right="1440" w:bottom="1440" w:gutter="0" w:footer="0" w:header="0"/>
        </w:sectPr>
      </w:pPr>
    </w:p>
    <w:bookmarkStart w:id="100" w:name="page101"/>
    <w:bookmarkEnd w:id="100"/>
    <w:p>
      <w:pPr>
        <w:ind w:left="440"/>
        <w:spacing w:after="0"/>
        <w:rPr>
          <w:sz w:val="20"/>
          <w:szCs w:val="20"/>
          <w:color w:val="auto"/>
        </w:rPr>
      </w:pPr>
      <w:r>
        <w:rPr>
          <w:rFonts w:ascii="Courier New" w:cs="Courier New" w:eastAsia="Courier New" w:hAnsi="Courier New"/>
          <w:sz w:val="14"/>
          <w:szCs w:val="14"/>
          <w:color w:val="auto"/>
        </w:rPr>
        <w:t>THREE MONTHS ENDED JUNE 30, 2004 AND 2003</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following is a tabular presentation of our results of operations for the three months ended June 30, 2004 compared to the three months ended 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gridSpan w:val="4"/>
          </w:tcPr>
          <w:p>
            <w:pPr>
              <w:spacing w:after="0"/>
              <w:rPr>
                <w:sz w:val="20"/>
                <w:szCs w:val="20"/>
                <w:color w:val="auto"/>
              </w:rPr>
            </w:pPr>
            <w:r>
              <w:rPr>
                <w:rFonts w:ascii="Courier New" w:cs="Courier New" w:eastAsia="Courier New" w:hAnsi="Courier New"/>
                <w:sz w:val="14"/>
                <w:szCs w:val="14"/>
                <w:color w:val="auto"/>
              </w:rPr>
              <w:t>2003. Following the table is a discussion and analysis of our</w:t>
            </w:r>
          </w:p>
        </w:tc>
        <w:tc>
          <w:tcPr>
            <w:tcW w:w="7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business</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and</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results of operations for such periods.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jc w:val="right"/>
              <w:ind w:right="208"/>
              <w:spacing w:after="0"/>
              <w:rPr>
                <w:sz w:val="20"/>
                <w:szCs w:val="20"/>
                <w:color w:val="auto"/>
              </w:rPr>
            </w:pPr>
            <w:r>
              <w:rPr>
                <w:rFonts w:ascii="Courier New" w:cs="Courier New" w:eastAsia="Courier New" w:hAnsi="Courier New"/>
                <w:sz w:val="14"/>
                <w:szCs w:val="14"/>
                <w:color w:val="auto"/>
              </w:rPr>
              <w:t>THREE MONTHS ENDED</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JUNE 30,</w:t>
            </w:r>
          </w:p>
        </w:tc>
        <w:tc>
          <w:tcPr>
            <w:tcW w:w="7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INCREASE</w:t>
            </w: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(DECREASE)</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w:t>
            </w:r>
          </w:p>
        </w:tc>
        <w:tc>
          <w:tcPr>
            <w:tcW w:w="1220" w:type="dxa"/>
            <w:vAlign w:val="bottom"/>
          </w:tcPr>
          <w:p>
            <w:pPr>
              <w:spacing w:after="0"/>
              <w:rPr>
                <w:sz w:val="14"/>
                <w:szCs w:val="14"/>
                <w:color w:val="auto"/>
              </w:rPr>
            </w:pP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2004</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c>
          <w:tcPr>
            <w:tcW w:w="7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AMOUNT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440" w:type="dxa"/>
            <w:vAlign w:val="bottom"/>
          </w:tcPr>
          <w:p>
            <w:pPr>
              <w:spacing w:after="0"/>
              <w:rPr>
                <w:sz w:val="14"/>
                <w:szCs w:val="14"/>
                <w:color w:val="auto"/>
              </w:rPr>
            </w:pPr>
          </w:p>
        </w:tc>
        <w:tc>
          <w:tcPr>
            <w:tcW w:w="27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3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License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17,298</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$ 11,491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  5,807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50.5%</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Service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432,926</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365,677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67,249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450,224</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377,168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73,056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Cost of license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1,448</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1,455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Cost of service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283,109</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230,323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52,786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Research and development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31,665</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29,941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1,724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w:t>
            </w:r>
          </w:p>
        </w:tc>
      </w:tr>
      <w:tr>
        <w:trPr>
          <w:trHeight w:val="334"/>
        </w:trPr>
        <w:tc>
          <w:tcPr>
            <w:tcW w:w="344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administrative .................</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52,745</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50,943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1,802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r>
      <w:tr>
        <w:trPr>
          <w:trHeight w:val="334"/>
        </w:trPr>
        <w:tc>
          <w:tcPr>
            <w:tcW w:w="344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purchased</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intangible assets ..............</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4,558</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4,524</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373,525</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317,186</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56,339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Operating income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76,699</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59,982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16,717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Interest income and other, net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3,269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(3,148)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(96.3)</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before income taxes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76,820</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63,251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13,569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taxes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16,900</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15,813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income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59,920</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$ 47,438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$ 12,482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26.3%</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bl>
    <w:p>
      <w:pPr>
        <w:spacing w:after="0" w:line="33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REVENUE. The increase in total revenue in the three months ended June 30, 2004 is due primarily to an increase in service revenue as a result of Managed Services agreements signed during fiscal 2003 and additional revenue resulting from our acquisition of Certen in the fourth quarter of fiscal 2003. Revenue related to Managed Services agreements in the three months ended June 30, 2004 was approximately 40% of total revenue. The net revenue impact of the Managed Services agreements entered into during fiscal 2003, including the effect of the Certen acquisition, was approximately $58 million in the three months ended June 30, 2004.</w:t>
      </w:r>
    </w:p>
    <w:p>
      <w:pPr>
        <w:spacing w:after="0" w:line="164"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License revenue in the three months ended June 30, 2004 increased compared to the three months ended June 30, 2003, as a result of new contracts that we obtained from new and existing customers during fiscal 2004.</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License and service revenue from the sale of CC&amp;B Systems was $388.0 million for the three months ended June 30, 2004, an increase of $65.9 million, or 20.4%, over the three months ended June 30, 2003. Approximately two-thirds of the increase is attributable to our acquisition of Certen in the fourth quarter of fiscal 2003, and the remainder is attributable to additional revenue from existing and new customers. License and service revenue from the sale of CC&amp;B Systems represented 86.2% and 85.4% of our total revenue in the three months ended June 30, 2004 and 2003, respectively. The demand for our CC&amp;B Systems is primarily driven by the need for communications companies to continue to integrate their billing, CRM and order management systems into Integrated Customer Management products and services. In fiscal 2003, many communications companies reduced or delayed expenditures on system upgrades as a result of the slowdown in the communications industry. Recently, however, there has been an improvement in market conditions contributing for the increase in revenue in the third quarter of fiscal 2004.</w:t>
      </w:r>
    </w:p>
    <w:p>
      <w:pPr>
        <w:spacing w:after="0" w:line="173"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License and service revenue from the sale of Directory Systems was $62.2 million for the three months ended June 30, 2004, an increase of $7.2 million, or 13.1%, over the three months ended June 30, 2003. Approximately $15 million of the increase in Directory Systems revenue in the three months ended June 30,</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453" w:right="1440" w:bottom="0" w:gutter="0" w:footer="0" w:header="0"/>
        </w:sectPr>
      </w:pPr>
    </w:p>
    <w:bookmarkStart w:id="101" w:name="page102"/>
    <w:bookmarkEnd w:id="101"/>
    <w:p>
      <w:pPr>
        <w:ind w:right="3279"/>
        <w:spacing w:after="0" w:line="253" w:lineRule="auto"/>
        <w:rPr>
          <w:sz w:val="20"/>
          <w:szCs w:val="20"/>
          <w:color w:val="auto"/>
        </w:rPr>
      </w:pPr>
      <w:r>
        <w:rPr>
          <w:rFonts w:ascii="Courier New" w:cs="Courier New" w:eastAsia="Courier New" w:hAnsi="Courier New"/>
          <w:sz w:val="14"/>
          <w:szCs w:val="14"/>
          <w:color w:val="auto"/>
        </w:rPr>
        <w:t>2004 was attributable to the Managed Services agreements. This revenue was partially offset by the completion of certain implementation projects that accounted for $8 million of revenue in the comparable period of fiscal 2003. License and service revenue from the sale of Directory Systems represented 13.8% and 14.6% of our total revenue in the three months ended June 30, 2004 and 2003, respectively. We believe that we are a leading provider of Directory Systems in most of the markets we serve. We expect that our revenue from Directory Systems will remain relatively stable in fiscal 2004.</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the three months ended June 30, 2004, revenue from customers in North America, Europe and the rest of the world accounted for 65.9%, 26.1% and 8.0%, respectively, of total revenue compared to 62.9%, 28.1% and 9.0%, respectively, for the three months ended June 30, 2003. Approximately 95.0% of the increase in revenue from customers in North America is attributable to Managed Services agreements, including the acquisition of Certen, which expanded our activity and revenue from customers in North America, and approximately 5.0% to the expansion of relationships with existing customers in North America. The decreased contribution to revenue from customers in Europe relative to customers in North America, as a percentage of revenue, resulted from the relatively greater growth in activity from customers in North America than in Europe during the three months ended June 30, 2004. Revenue from customers in the rest of the world in absolute amount was relatively stable in the three months ended June 30, 2004 compared to the three months ended June 30, 2003.</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three months ended June 30, 2004, cost of license, as a percentage of license revenue, was 8.4%, compared to 12.7% in the three months ended June 30, 2003.</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Cost of Service. The increase in cost of service in the three months ended June 30, 2004 was 22.9%, which was higher than 19.4%, the increase in our total revenue in the three months ended June 30, 2004, and resulted in a 1.7% decrease in our gross margin. Our gross margin was affected by the Managed Services agreements signed during fiscal 2003, which we expect to be less profitable in their initial period.</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Research and Development. Research and development expense was primarily comprised of compensation expense attributed to research and development activities, which involve the development of new software modules and product offerings, either in conjunction with customer projects or as part of our internal product development program. We are currently focusing significant development efforts on the integration between our products in order to provide Integrated Customer Management to our customers, while continuing to upgrade our existing systems. The majority of our research and development expenditures are directed to our billing and CRM systems, and the remainder to directory, content, mediation and order management solutions. The increase in research and development expense was proportionally less than the increase in our total revenue. Although we intend to continue to devote resources to research and development, our research and development budget, like all of our costs, is sensitive to our overall financial condition.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7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is primarily comprised of compensation expense. The increase in selling, general and administrative expense in the three months ended June 30, 2004 was attributable to overall increase in our operations, as well as to the increase in our selling and marketing efforts. The increase in selling, general and administrative expense in the three months ended June 30, 2004 was 3.5%, which was proportionally less than the 19.4% increase in our total revenue.</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Operating Income. The increase in operating income in the three months ended June 30, 2004 resulted from the 19.4% increase in our total revenue, partially offset by the 1.7% decrease in our gross margin attributable to the relative low gross margin of our Managed Services projects in their early stages of implementation.</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620" w:right="1440" w:bottom="1440" w:gutter="0" w:footer="0" w:header="0"/>
        </w:sectPr>
      </w:pPr>
    </w:p>
    <w:bookmarkStart w:id="102" w:name="page103"/>
    <w:bookmarkEnd w:id="102"/>
    <w:p>
      <w:pPr>
        <w:jc w:val="center"/>
        <w:ind w:right="3199"/>
        <w:spacing w:after="0"/>
        <w:rPr>
          <w:sz w:val="20"/>
          <w:szCs w:val="20"/>
          <w:color w:val="auto"/>
        </w:rPr>
      </w:pPr>
      <w:r>
        <w:rPr>
          <w:rFonts w:ascii="Courier New" w:cs="Courier New" w:eastAsia="Courier New" w:hAnsi="Courier New"/>
          <w:sz w:val="14"/>
          <w:szCs w:val="14"/>
          <w:color w:val="auto"/>
        </w:rPr>
        <w:t>PART II</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INDEMNIFICATION OF DIRECTORS AND OFFICERS.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have entered into an indemnity agreement with our directors and some of our officers, under which we have agreed to pay the indemnified party the amount of Loss (as defined therein) suffered by that party due to claims made against that party for a Wrongful Act (as defined therein).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 EXHIBITS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960" w:type="dxa"/>
            <w:vAlign w:val="bottom"/>
          </w:tcPr>
          <w:p>
            <w:pPr>
              <w:spacing w:after="0"/>
              <w:rPr>
                <w:sz w:val="14"/>
                <w:szCs w:val="14"/>
                <w:color w:val="auto"/>
              </w:rPr>
            </w:pP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5960" w:type="dxa"/>
            <w:vAlign w:val="bottom"/>
          </w:tcPr>
          <w:p>
            <w:pPr>
              <w:ind w:left="266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960" w:type="dxa"/>
            <w:vAlign w:val="bottom"/>
          </w:tcPr>
          <w:p>
            <w:pPr>
              <w:ind w:left="2820"/>
              <w:spacing w:after="0"/>
              <w:rPr>
                <w:sz w:val="20"/>
                <w:szCs w:val="20"/>
                <w:color w:val="auto"/>
              </w:rPr>
            </w:pPr>
            <w:r>
              <w:rPr>
                <w:rFonts w:ascii="Courier New" w:cs="Courier New" w:eastAsia="Courier New" w:hAnsi="Courier New"/>
                <w:sz w:val="14"/>
                <w:szCs w:val="14"/>
                <w:color w:val="auto"/>
              </w:rPr>
              <w:t>-----------</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Memorandum and Articles of Association of Amdocs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Exhibits 3.1 and 3.2 to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Statement on Form F-1 dated June 19, 1998;</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No. 333-8826)</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Specimen Certificate for the ordinary shares of Amdocs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 4.1 to Amdocs' Registration</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Statement on Form F-1 dated June 19, 1998; Registration No.</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333-8826)</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Indenture, dated March 5, 2004, between Amdocs Limited and The</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Bank of New York, as trustee, for 0.50% Convertible Senior Notes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due 2024 (incorporated by reference to Exhibit 99.1 to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Report on Form 6-K, filed March 5, 2004)</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Rights Agreement, dated March 5, 2004, among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Limited and Morgan Stanley &amp; Co. Incorporated, Goldman, Sachs &amp;</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 and Merrill Lynch, Pierce Fenner &amp; Smith Incorporated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 99.2 to Amdocs' Report on</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Form 6-K, filed March 5, 2004)</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Opinion of Carey Olsen.</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Opinion of Wilmer Cutler Pickering Hale and Dorr LLP.</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Compuation of Ratio of Earnings to Fixed Charges.</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Ernst &amp; Young LLP.</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Deloitte &amp; Touche, LLP.</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Carey Olsen (included in Exhibit 5.1).</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23.4</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Wilmer Cutler Pickering Hale and Dorr LLP</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(included in Exhibit 5.2).</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Power of Attorney.</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99.1*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Share Purchase Agreement dated as of May 28, 2003 between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Holdings ULC and Bell Canada.</w:t>
            </w:r>
          </w:p>
        </w:tc>
      </w:tr>
      <w:tr>
        <w:trPr>
          <w:trHeight w:val="334"/>
        </w:trPr>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Software Master Agreement between Amdocs Software Systems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and SBC Services, Inc., effective December 10, 2003.</w:t>
            </w:r>
          </w:p>
        </w:tc>
      </w:tr>
      <w:tr>
        <w:trPr>
          <w:trHeight w:val="334"/>
        </w:trPr>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Agreement between Amdocs Inc. and SBC Services, Inc. for Software</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and Professional Services, effective August 7, 2003.</w:t>
            </w:r>
          </w:p>
        </w:tc>
      </w:tr>
    </w:tbl>
    <w:p>
      <w:pPr>
        <w:spacing w:after="0" w:line="338" w:lineRule="exact"/>
        <w:rPr>
          <w:sz w:val="20"/>
          <w:szCs w:val="20"/>
          <w:color w:val="auto"/>
        </w:rPr>
      </w:pPr>
    </w:p>
    <w:p>
      <w:pPr>
        <w:ind w:left="180" w:hanging="171"/>
        <w:spacing w:after="0"/>
        <w:tabs>
          <w:tab w:leader="none" w:pos="1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Previously filed.</w:t>
      </w:r>
    </w:p>
    <w:p>
      <w:pPr>
        <w:spacing w:after="0" w:line="8" w:lineRule="exact"/>
        <w:rPr>
          <w:rFonts w:ascii="Courier New" w:cs="Courier New" w:eastAsia="Courier New" w:hAnsi="Courier New"/>
          <w:sz w:val="14"/>
          <w:szCs w:val="14"/>
          <w:color w:val="auto"/>
        </w:rPr>
      </w:pPr>
    </w:p>
    <w:p>
      <w:pPr>
        <w:ind w:left="180" w:right="3459" w:hanging="174"/>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requested as to certain portions, which portions have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473" w:gutter="0" w:footer="0" w:header="0"/>
        </w:sectPr>
      </w:pPr>
    </w:p>
    <w:bookmarkStart w:id="103" w:name="page104"/>
    <w:bookmarkEnd w:id="103"/>
    <w:p>
      <w:pPr>
        <w:spacing w:after="0"/>
        <w:rPr>
          <w:sz w:val="20"/>
          <w:szCs w:val="20"/>
          <w:color w:val="auto"/>
        </w:rPr>
      </w:pPr>
      <w:r>
        <w:rPr>
          <w:rFonts w:ascii="Courier New" w:cs="Courier New" w:eastAsia="Courier New" w:hAnsi="Courier New"/>
          <w:sz w:val="14"/>
          <w:szCs w:val="14"/>
          <w:color w:val="auto"/>
        </w:rPr>
        <w:t>ITEM 10. UNDERTAKINGS.</w:t>
      </w:r>
    </w:p>
    <w:p>
      <w:pPr>
        <w:spacing w:after="0" w:line="175"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Item 512(a) of Regulation S-K. The undersigned Registrant hereby undertakes:</w:t>
      </w:r>
    </w:p>
    <w:p>
      <w:pPr>
        <w:spacing w:after="0" w:line="160" w:lineRule="exact"/>
        <w:rPr>
          <w:sz w:val="20"/>
          <w:szCs w:val="20"/>
          <w:color w:val="auto"/>
        </w:rPr>
      </w:pPr>
    </w:p>
    <w:p>
      <w:pPr>
        <w:ind w:left="1320" w:right="3379" w:hanging="530"/>
        <w:spacing w:after="0" w:line="258" w:lineRule="auto"/>
        <w:tabs>
          <w:tab w:leader="none" w:pos="132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9" w:lineRule="exact"/>
        <w:rPr>
          <w:rFonts w:ascii="Courier New" w:cs="Courier New" w:eastAsia="Courier New" w:hAnsi="Courier New"/>
          <w:sz w:val="14"/>
          <w:szCs w:val="14"/>
          <w:color w:val="auto"/>
        </w:rPr>
      </w:pPr>
    </w:p>
    <w:p>
      <w:pPr>
        <w:ind w:left="1580" w:right="3639" w:firstLine="772"/>
        <w:spacing w:after="0" w:line="255" w:lineRule="auto"/>
        <w:tabs>
          <w:tab w:leader="none" w:pos="314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 of 1933, as amended (the "Securities Act");</w:t>
      </w:r>
    </w:p>
    <w:p>
      <w:pPr>
        <w:spacing w:after="0" w:line="162" w:lineRule="exact"/>
        <w:rPr>
          <w:rFonts w:ascii="Courier New" w:cs="Courier New" w:eastAsia="Courier New" w:hAnsi="Courier New"/>
          <w:sz w:val="14"/>
          <w:szCs w:val="14"/>
          <w:color w:val="auto"/>
        </w:rPr>
      </w:pPr>
    </w:p>
    <w:p>
      <w:pPr>
        <w:ind w:left="1580" w:right="3379" w:firstLine="772"/>
        <w:spacing w:after="0" w:line="252" w:lineRule="auto"/>
        <w:tabs>
          <w:tab w:leader="none" w:pos="314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73" w:lineRule="exact"/>
        <w:rPr>
          <w:rFonts w:ascii="Courier New" w:cs="Courier New" w:eastAsia="Courier New" w:hAnsi="Courier New"/>
          <w:sz w:val="14"/>
          <w:szCs w:val="14"/>
          <w:color w:val="auto"/>
        </w:rPr>
      </w:pPr>
    </w:p>
    <w:p>
      <w:pPr>
        <w:ind w:left="1580" w:right="3379" w:firstLine="772"/>
        <w:spacing w:after="0" w:line="254" w:lineRule="auto"/>
        <w:tabs>
          <w:tab w:leader="none" w:pos="314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this Registration Statement or any material change to such information in this Registration Statement;</w:t>
      </w:r>
    </w:p>
    <w:p>
      <w:pPr>
        <w:spacing w:after="0" w:line="163"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provided, however, that paragraphs (1)(i) and (1)(ii)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w:t>
      </w:r>
    </w:p>
    <w:p>
      <w:pPr>
        <w:spacing w:after="0" w:line="162" w:lineRule="exact"/>
        <w:rPr>
          <w:sz w:val="20"/>
          <w:szCs w:val="20"/>
          <w:color w:val="auto"/>
        </w:rPr>
      </w:pPr>
    </w:p>
    <w:p>
      <w:pPr>
        <w:ind w:left="1320" w:right="3379" w:hanging="530"/>
        <w:spacing w:after="0" w:line="254" w:lineRule="auto"/>
        <w:tabs>
          <w:tab w:leader="none" w:pos="132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purposes of determining any liability under the Securities Act, each post-effective amendment shall be deemed to be a new registration statement relating to the securities offered therein, and the offering of such securities at the time shall be deemed to be the initial bona fide offering thereof.</w:t>
      </w:r>
    </w:p>
    <w:p>
      <w:pPr>
        <w:spacing w:after="0" w:line="162" w:lineRule="exact"/>
        <w:rPr>
          <w:rFonts w:ascii="Courier New" w:cs="Courier New" w:eastAsia="Courier New" w:hAnsi="Courier New"/>
          <w:sz w:val="14"/>
          <w:szCs w:val="14"/>
          <w:color w:val="auto"/>
        </w:rPr>
      </w:pPr>
    </w:p>
    <w:p>
      <w:pPr>
        <w:ind w:left="1320" w:right="3639" w:hanging="530"/>
        <w:spacing w:after="0" w:line="255" w:lineRule="auto"/>
        <w:tabs>
          <w:tab w:leader="none" w:pos="132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Item 512(b) of Regulation S-K. 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33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Item 512(h) of Regulation S-K. 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104" w:name="page105"/>
    <w:bookmarkEnd w:id="104"/>
    <w:p>
      <w:pPr>
        <w:ind w:right="3279"/>
        <w:spacing w:after="0" w:line="253" w:lineRule="auto"/>
        <w:rPr>
          <w:sz w:val="20"/>
          <w:szCs w:val="20"/>
          <w:color w:val="auto"/>
        </w:rPr>
      </w:pPr>
      <w:r>
        <w:rPr>
          <w:rFonts w:ascii="Courier New" w:cs="Courier New" w:eastAsia="Courier New" w:hAnsi="Courier New"/>
          <w:sz w:val="14"/>
          <w:szCs w:val="14"/>
          <w:color w:val="auto"/>
        </w:rPr>
        <w:t>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105" w:name="page106"/>
    <w:bookmarkEnd w:id="105"/>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Pursuant to the requirements of the Securities Act of 1933, as amended, the Registrant certifies that it has reasonable grounds to believe that it meets all of the requirements for filing on Form F-3 and has duly caused this Post-Effective Amendment No. 1 to Registration Statement to be signed on its behalf by the undersigned, thereunto duly authorized, in the city of New York, State of New York, on this 13th day of October, 2004.</w:t>
      </w:r>
    </w:p>
    <w:p>
      <w:pPr>
        <w:spacing w:after="0" w:line="33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By: /s/ Thomas G. O'Brien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Thomas G. O'Brien</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Treasurer and Secretary</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Authorized U.S. Representative</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POWER OF ATTORNEY</w:t>
      </w:r>
    </w:p>
    <w:p>
      <w:pPr>
        <w:spacing w:after="0" w:line="200" w:lineRule="exact"/>
        <w:rPr>
          <w:sz w:val="20"/>
          <w:szCs w:val="20"/>
          <w:color w:val="auto"/>
        </w:rPr>
      </w:pPr>
    </w:p>
    <w:p>
      <w:pPr>
        <w:spacing w:after="0" w:line="309"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Pursuant to the requirements of the Securities Act of 1933, as amended, this Post-Effective Amendment No. 1 to Registration Statement has been signed below by the following persons in the capacities and on the dates indicated.</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Signature</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4140" w:space="720"/>
            <w:col w:w="2420" w:space="720"/>
            <w:col w:w="2239"/>
          </w:cols>
          <w:pgMar w:left="220" w:top="620" w:right="1440" w:bottom="1440" w:gutter="0" w:footer="0" w:header="0"/>
          <w:type w:val="continuous"/>
        </w:sectPr>
      </w:pPr>
    </w:p>
    <w:p>
      <w:pPr>
        <w:ind w:left="140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1360"/>
        <w:spacing w:after="0"/>
        <w:rPr>
          <w:sz w:val="20"/>
          <w:szCs w:val="20"/>
          <w:color w:val="auto"/>
        </w:rPr>
      </w:pPr>
      <w:r>
        <w:rPr>
          <w:rFonts w:ascii="Courier New" w:cs="Courier New" w:eastAsia="Courier New" w:hAnsi="Courier New"/>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13, 2004</w:t>
      </w:r>
    </w:p>
    <w:p>
      <w:pPr>
        <w:spacing w:after="0" w:line="8" w:lineRule="exact"/>
        <w:rPr>
          <w:sz w:val="20"/>
          <w:szCs w:val="20"/>
          <w:color w:val="auto"/>
        </w:rPr>
      </w:pPr>
    </w:p>
    <w:p>
      <w:pPr>
        <w:sectPr>
          <w:pgSz w:w="11900" w:h="16838" w:orient="portrait"/>
          <w:cols w:equalWidth="0" w:num="3">
            <w:col w:w="2840" w:space="720"/>
            <w:col w:w="3200" w:space="720"/>
            <w:col w:w="2759"/>
          </w:cols>
          <w:pgMar w:left="220" w:top="620" w:right="1440" w:bottom="1440" w:gutter="0" w:footer="0" w:header="0"/>
          <w:type w:val="continuous"/>
        </w:sectPr>
      </w:pPr>
    </w:p>
    <w:p>
      <w:pPr>
        <w:ind w:left="180" w:hanging="171"/>
        <w:spacing w:after="0"/>
        <w:tabs>
          <w:tab w:leader="none" w:pos="1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Bruce K. Anderson</w:t>
      </w:r>
    </w:p>
    <w:p>
      <w:pPr>
        <w:spacing w:after="0" w:line="175" w:lineRule="exact"/>
        <w:rPr>
          <w:sz w:val="20"/>
          <w:szCs w:val="20"/>
          <w:color w:val="auto"/>
        </w:rPr>
      </w:pPr>
    </w:p>
    <w:p>
      <w:pPr>
        <w:spacing w:after="0"/>
        <w:tabs>
          <w:tab w:leader="none" w:pos="3460" w:val="left"/>
          <w:tab w:leader="none" w:pos="7460" w:val="left"/>
        </w:tabs>
        <w:rPr>
          <w:sz w:val="20"/>
          <w:szCs w:val="20"/>
          <w:color w:val="auto"/>
        </w:rPr>
      </w:pPr>
      <w:r>
        <w:rPr>
          <w:rFonts w:ascii="Courier New" w:cs="Courier New" w:eastAsia="Courier New" w:hAnsi="Courier New"/>
          <w:sz w:val="14"/>
          <w:szCs w:val="14"/>
          <w:color w:val="auto"/>
        </w:rPr>
        <w:t>/s/ Dov Baharav</w:t>
      </w:r>
      <w:r>
        <w:rPr>
          <w:sz w:val="20"/>
          <w:szCs w:val="20"/>
          <w:color w:val="auto"/>
        </w:rPr>
        <w:tab/>
      </w:r>
      <w:r>
        <w:rPr>
          <w:rFonts w:ascii="Courier New" w:cs="Courier New" w:eastAsia="Courier New" w:hAnsi="Courier New"/>
          <w:sz w:val="14"/>
          <w:szCs w:val="14"/>
          <w:color w:val="auto"/>
        </w:rPr>
        <w:t>Director and Principal Executive Officer</w:t>
      </w:r>
      <w:r>
        <w:rPr>
          <w:sz w:val="20"/>
          <w:szCs w:val="20"/>
          <w:color w:val="auto"/>
        </w:rPr>
        <w:tab/>
      </w:r>
      <w:r>
        <w:rPr>
          <w:rFonts w:ascii="Courier New" w:cs="Courier New" w:eastAsia="Courier New" w:hAnsi="Courier New"/>
          <w:sz w:val="14"/>
          <w:szCs w:val="14"/>
          <w:color w:val="auto"/>
        </w:rPr>
        <w:t>October 13, 2004</w:t>
      </w:r>
    </w:p>
    <w:p>
      <w:pPr>
        <w:spacing w:after="0" w:line="8" w:lineRule="exact"/>
        <w:rPr>
          <w:sz w:val="20"/>
          <w:szCs w:val="20"/>
          <w:color w:val="auto"/>
        </w:rPr>
      </w:pPr>
    </w:p>
    <w:p>
      <w:pPr>
        <w:ind w:left="180" w:hanging="171"/>
        <w:spacing w:after="0"/>
        <w:tabs>
          <w:tab w:leader="none" w:pos="1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Dov Baharav</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20"/>
                <w:szCs w:val="20"/>
                <w:color w:val="auto"/>
              </w:rPr>
            </w:pPr>
            <w:r>
              <w:rPr>
                <w:rFonts w:ascii="Courier New" w:cs="Courier New" w:eastAsia="Courier New" w:hAnsi="Courier New"/>
                <w:sz w:val="14"/>
                <w:szCs w:val="14"/>
                <w:color w:val="auto"/>
              </w:rPr>
              <w:t>/s/ Ron Moskovitz</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Principal Accounting Officer</w:t>
            </w:r>
          </w:p>
        </w:tc>
        <w:tc>
          <w:tcPr>
            <w:tcW w:w="2160" w:type="dxa"/>
            <w:vAlign w:val="bottom"/>
          </w:tcPr>
          <w:p>
            <w:pPr>
              <w:ind w:left="780"/>
              <w:spacing w:after="0"/>
              <w:rPr>
                <w:sz w:val="20"/>
                <w:szCs w:val="20"/>
                <w:color w:val="auto"/>
              </w:rPr>
            </w:pPr>
            <w:r>
              <w:rPr>
                <w:rFonts w:ascii="Courier New" w:cs="Courier New" w:eastAsia="Courier New" w:hAnsi="Courier New"/>
                <w:sz w:val="14"/>
                <w:szCs w:val="14"/>
                <w:color w:val="auto"/>
              </w:rPr>
              <w:t>October 13,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Ron Moskovitz</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160" w:type="dxa"/>
            <w:vAlign w:val="bottom"/>
          </w:tcPr>
          <w:p>
            <w:pPr>
              <w:ind w:left="780"/>
              <w:spacing w:after="0"/>
              <w:rPr>
                <w:sz w:val="20"/>
                <w:szCs w:val="20"/>
                <w:color w:val="auto"/>
              </w:rPr>
            </w:pPr>
            <w:r>
              <w:rPr>
                <w:rFonts w:ascii="Courier New" w:cs="Courier New" w:eastAsia="Courier New" w:hAnsi="Courier New"/>
                <w:sz w:val="14"/>
                <w:szCs w:val="14"/>
                <w:color w:val="auto"/>
              </w:rPr>
              <w:t>October 13,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Robert A. Minicucci</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160" w:type="dxa"/>
            <w:vAlign w:val="bottom"/>
          </w:tcPr>
          <w:p>
            <w:pPr>
              <w:ind w:left="780"/>
              <w:spacing w:after="0"/>
              <w:rPr>
                <w:sz w:val="20"/>
                <w:szCs w:val="20"/>
                <w:color w:val="auto"/>
              </w:rPr>
            </w:pPr>
            <w:r>
              <w:rPr>
                <w:rFonts w:ascii="Courier New" w:cs="Courier New" w:eastAsia="Courier New" w:hAnsi="Courier New"/>
                <w:sz w:val="14"/>
                <w:szCs w:val="14"/>
                <w:color w:val="auto"/>
              </w:rPr>
              <w:t>October 13,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Adrian Gardner</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160" w:type="dxa"/>
            <w:vAlign w:val="bottom"/>
          </w:tcPr>
          <w:p>
            <w:pPr>
              <w:ind w:left="780"/>
              <w:spacing w:after="0"/>
              <w:rPr>
                <w:sz w:val="20"/>
                <w:szCs w:val="20"/>
                <w:color w:val="auto"/>
              </w:rPr>
            </w:pPr>
            <w:r>
              <w:rPr>
                <w:rFonts w:ascii="Courier New" w:cs="Courier New" w:eastAsia="Courier New" w:hAnsi="Courier New"/>
                <w:sz w:val="14"/>
                <w:szCs w:val="14"/>
                <w:color w:val="auto"/>
              </w:rPr>
              <w:t>October 13,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Julian A. Brodsky</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160" w:type="dxa"/>
            <w:vAlign w:val="bottom"/>
          </w:tcPr>
          <w:p>
            <w:pPr>
              <w:ind w:left="780"/>
              <w:spacing w:after="0"/>
              <w:rPr>
                <w:sz w:val="20"/>
                <w:szCs w:val="20"/>
                <w:color w:val="auto"/>
              </w:rPr>
            </w:pPr>
            <w:r>
              <w:rPr>
                <w:rFonts w:ascii="Courier New" w:cs="Courier New" w:eastAsia="Courier New" w:hAnsi="Courier New"/>
                <w:sz w:val="14"/>
                <w:szCs w:val="14"/>
                <w:color w:val="auto"/>
              </w:rPr>
              <w:t>October 13,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Charles E. Foster</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160" w:type="dxa"/>
            <w:vAlign w:val="bottom"/>
          </w:tcPr>
          <w:p>
            <w:pPr>
              <w:ind w:left="780"/>
              <w:spacing w:after="0"/>
              <w:rPr>
                <w:sz w:val="20"/>
                <w:szCs w:val="20"/>
                <w:color w:val="auto"/>
              </w:rPr>
            </w:pPr>
            <w:r>
              <w:rPr>
                <w:rFonts w:ascii="Courier New" w:cs="Courier New" w:eastAsia="Courier New" w:hAnsi="Courier New"/>
                <w:sz w:val="14"/>
                <w:szCs w:val="14"/>
                <w:color w:val="auto"/>
              </w:rPr>
              <w:t>October 13,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Eli Gelman</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160" w:type="dxa"/>
            <w:vAlign w:val="bottom"/>
          </w:tcPr>
          <w:p>
            <w:pPr>
              <w:ind w:left="780"/>
              <w:spacing w:after="0"/>
              <w:rPr>
                <w:sz w:val="20"/>
                <w:szCs w:val="20"/>
                <w:color w:val="auto"/>
              </w:rPr>
            </w:pPr>
            <w:r>
              <w:rPr>
                <w:rFonts w:ascii="Courier New" w:cs="Courier New" w:eastAsia="Courier New" w:hAnsi="Courier New"/>
                <w:sz w:val="14"/>
                <w:szCs w:val="14"/>
                <w:color w:val="auto"/>
              </w:rPr>
              <w:t>October 13,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James S. Kahan</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160" w:type="dxa"/>
            <w:vAlign w:val="bottom"/>
          </w:tcPr>
          <w:p>
            <w:pPr>
              <w:ind w:left="780"/>
              <w:spacing w:after="0"/>
              <w:rPr>
                <w:sz w:val="20"/>
                <w:szCs w:val="20"/>
                <w:color w:val="auto"/>
              </w:rPr>
            </w:pPr>
            <w:r>
              <w:rPr>
                <w:rFonts w:ascii="Courier New" w:cs="Courier New" w:eastAsia="Courier New" w:hAnsi="Courier New"/>
                <w:sz w:val="14"/>
                <w:szCs w:val="14"/>
                <w:color w:val="auto"/>
              </w:rPr>
              <w:t>October 13,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Nehmeia Lemelbaum</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160" w:type="dxa"/>
            <w:vAlign w:val="bottom"/>
          </w:tcPr>
          <w:p>
            <w:pPr>
              <w:ind w:left="780"/>
              <w:spacing w:after="0"/>
              <w:rPr>
                <w:sz w:val="20"/>
                <w:szCs w:val="20"/>
                <w:color w:val="auto"/>
              </w:rPr>
            </w:pPr>
            <w:r>
              <w:rPr>
                <w:rFonts w:ascii="Courier New" w:cs="Courier New" w:eastAsia="Courier New" w:hAnsi="Courier New"/>
                <w:sz w:val="14"/>
                <w:szCs w:val="14"/>
                <w:color w:val="auto"/>
              </w:rPr>
              <w:t>October 13,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John T. McLennan</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160" w:type="dxa"/>
            <w:vAlign w:val="bottom"/>
          </w:tcPr>
          <w:p>
            <w:pPr>
              <w:ind w:left="780"/>
              <w:spacing w:after="0"/>
              <w:rPr>
                <w:sz w:val="20"/>
                <w:szCs w:val="20"/>
                <w:color w:val="auto"/>
              </w:rPr>
            </w:pPr>
            <w:r>
              <w:rPr>
                <w:rFonts w:ascii="Courier New" w:cs="Courier New" w:eastAsia="Courier New" w:hAnsi="Courier New"/>
                <w:sz w:val="14"/>
                <w:szCs w:val="14"/>
                <w:color w:val="auto"/>
              </w:rPr>
              <w:t>October 13,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Mario Segal</w:t>
            </w: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hanging="171"/>
        <w:spacing w:after="0"/>
        <w:tabs>
          <w:tab w:leader="none" w:pos="1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/s/ Thomas G. O'Brien</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20" w:right="82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Thomas G. O'Brien Attorney-in-Fact</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1121" w:right="1440"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5960" w:type="dxa"/>
            <w:vAlign w:val="bottom"/>
          </w:tcPr>
          <w:p>
            <w:pPr>
              <w:ind w:left="1960"/>
              <w:spacing w:after="0"/>
              <w:rPr>
                <w:sz w:val="20"/>
                <w:szCs w:val="20"/>
                <w:color w:val="auto"/>
              </w:rPr>
            </w:pPr>
            <w:r>
              <w:rPr>
                <w:rFonts w:ascii="Courier New" w:cs="Courier New" w:eastAsia="Courier New" w:hAnsi="Courier New"/>
                <w:sz w:val="14"/>
                <w:szCs w:val="14"/>
                <w:color w:val="auto"/>
              </w:rPr>
              <w:t>Exhibit Index</w:t>
            </w:r>
          </w:p>
        </w:tc>
      </w:tr>
      <w:tr>
        <w:trPr>
          <w:trHeight w:val="835"/>
        </w:trPr>
        <w:tc>
          <w:tcPr>
            <w:tcW w:w="10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960" w:type="dxa"/>
            <w:vAlign w:val="bottom"/>
          </w:tcPr>
          <w:p>
            <w:pPr>
              <w:spacing w:after="0"/>
              <w:rPr>
                <w:sz w:val="24"/>
                <w:szCs w:val="24"/>
                <w:color w:val="auto"/>
              </w:rPr>
            </w:pP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5960" w:type="dxa"/>
            <w:vAlign w:val="bottom"/>
          </w:tcPr>
          <w:p>
            <w:pPr>
              <w:ind w:left="266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960" w:type="dxa"/>
            <w:vAlign w:val="bottom"/>
          </w:tcPr>
          <w:p>
            <w:pPr>
              <w:ind w:left="2820"/>
              <w:spacing w:after="0"/>
              <w:rPr>
                <w:sz w:val="20"/>
                <w:szCs w:val="20"/>
                <w:color w:val="auto"/>
              </w:rPr>
            </w:pPr>
            <w:r>
              <w:rPr>
                <w:rFonts w:ascii="Courier New" w:cs="Courier New" w:eastAsia="Courier New" w:hAnsi="Courier New"/>
                <w:sz w:val="14"/>
                <w:szCs w:val="14"/>
                <w:color w:val="auto"/>
              </w:rPr>
              <w:t>-----------</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Memorandum and Articles of Association of Amdocs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Exhibits 3.1 and 3.2 to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Statement on Form F-1 dated June 19, 1998;</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No. 333-8826)</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Specimen Certificate for the ordinary shares of Amdocs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 4.1 to Amdocs' Registration</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Statement on Form F-1 dated June 19, 1998; Registration No.</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333-8826)</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Indenture, dated March 5, 2004, between Amdocs Limited and The</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Bank of New York, as trustee, for 0.50% Convertible Senior Notes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due 2024 (incorporated by reference to Exhibit 99.1 to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Report on Form 6-K, filed March 5, 2004)</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Rights Agreement, dated March 5, 2004, among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Limited and Morgan Stanley &amp; Co. Incorporated, Goldman, Sachs &amp;</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 and Merrill Lynch, Pierce Fenner &amp; Smith Incorporated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 99.2 to Amdocs' Report on</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Form 6-K, filed March 5, 2004)</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Opinion of Carey Olsen.</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Opinion of Wilmer Cutler Pickering Hale and Dorr LLP.</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Computation of Ratio of Earnings to Fixed Charges</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Ernst &amp; Young LLP.</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Deloitte &amp; Touche, LLP.</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Carey Olsen (included in Exhibit 5.1).</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23.4</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Wilmer Cutler Pickering Hale and Dorr LLP (included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 Exhibit 5.2).</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Power of Attorney (See page II-4 of this Registration Statement).</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99.1*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Share Purchase Agreement dated as of May 28, 2003 between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Holdings ULC and Bell Canada.</w:t>
            </w:r>
          </w:p>
        </w:tc>
      </w:tr>
      <w:tr>
        <w:trPr>
          <w:trHeight w:val="334"/>
        </w:trPr>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Software Master Agreement between Amdocs Software Systems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and SBC Services, Inc., effective December 10, 2003.</w:t>
            </w:r>
          </w:p>
        </w:tc>
      </w:tr>
      <w:tr>
        <w:trPr>
          <w:trHeight w:val="334"/>
        </w:trPr>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Agreement between Amdocs Inc. and SBC Services, Inc. for Software</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and Professional Services, effective August 7, 2003.</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Previously filed.</w:t>
      </w:r>
    </w:p>
    <w:p>
      <w:pPr>
        <w:spacing w:after="0" w:line="8" w:lineRule="exact"/>
        <w:rPr>
          <w:sz w:val="20"/>
          <w:szCs w:val="20"/>
          <w:color w:val="auto"/>
        </w:rPr>
      </w:pPr>
    </w:p>
    <w:p>
      <w:pPr>
        <w:ind w:left="180" w:right="3459" w:hanging="171"/>
        <w:spacing w:after="0" w:line="258" w:lineRule="auto"/>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as to certain portions, which portions have been filed separately with the Securities and Exchange Commission.</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108" w:name="page109"/>
    <w:bookmarkEnd w:id="108"/>
    <w:p>
      <w:pPr>
        <w:ind w:left="5920"/>
        <w:spacing w:after="0"/>
        <w:rPr>
          <w:sz w:val="20"/>
          <w:szCs w:val="20"/>
          <w:color w:val="auto"/>
        </w:rPr>
      </w:pPr>
      <w:r>
        <w:rPr>
          <w:rFonts w:ascii="Courier New" w:cs="Courier New" w:eastAsia="Courier New" w:hAnsi="Courier New"/>
          <w:sz w:val="14"/>
          <w:szCs w:val="14"/>
          <w:color w:val="auto"/>
        </w:rPr>
        <w:t>EXHIBIT 23.1</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Consent of Ernst &amp; Young LLP, Independent Registered Public Accountants</w:t>
      </w:r>
    </w:p>
    <w:p>
      <w:pPr>
        <w:spacing w:after="0" w:line="200" w:lineRule="exact"/>
        <w:rPr>
          <w:sz w:val="20"/>
          <w:szCs w:val="20"/>
          <w:color w:val="auto"/>
        </w:rPr>
      </w:pPr>
    </w:p>
    <w:p>
      <w:pPr>
        <w:spacing w:after="0" w:line="309"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consent to the reference to our firm under the caption "Experts" in this post-effective amendment No. 1 to the Registration Statement on Form F-3 of Amdocs Limited for the registration of $450.0 million principal amount of 0.50% Convertible Senior Notes due 2024 (the "Notes") and the ordinary shares, (pound)0.01 par value, of the Company issuable upon conversion of the Notes and to the incorporation by reference therein of our report dated October 30, 2003, except for paragraphs 4 and 5 of Note 12 as to which the dates are June 1, 2004 and March 5, 2004, respectively, with respect to the consolidated financial statements and schedule of Amdocs Limited, included in its Annual Report, as amended (Form 20-F/A) for the year ended September 30, 2003, filed with the Securities and Exchange Commission on October 13, 2004.</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/s/ Ernst &amp; Young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12, 2004</w:t>
      </w:r>
    </w:p>
    <w:p>
      <w:pPr>
        <w:sectPr>
          <w:pgSz w:w="11900" w:h="16838" w:orient="portrait"/>
          <w:cols w:equalWidth="0" w:num="1">
            <w:col w:w="10239"/>
          </w:cols>
          <w:pgMar w:left="220" w:top="475" w:right="1440" w:bottom="1440" w:gutter="0" w:footer="0" w:header="0"/>
        </w:sectPr>
      </w:pPr>
    </w:p>
    <w:bookmarkStart w:id="109" w:name="page110"/>
    <w:bookmarkEnd w:id="109"/>
    <w:p>
      <w:pPr>
        <w:jc w:val="right"/>
        <w:ind w:right="3279"/>
        <w:spacing w:after="0"/>
        <w:rPr>
          <w:sz w:val="20"/>
          <w:szCs w:val="20"/>
          <w:color w:val="auto"/>
        </w:rPr>
      </w:pPr>
      <w:r>
        <w:rPr>
          <w:rFonts w:ascii="Courier New" w:cs="Courier New" w:eastAsia="Courier New" w:hAnsi="Courier New"/>
          <w:sz w:val="14"/>
          <w:szCs w:val="14"/>
          <w:color w:val="auto"/>
        </w:rPr>
        <w:t>Exhibit 23.2</w:t>
      </w:r>
    </w:p>
    <w:p>
      <w:pPr>
        <w:spacing w:after="0" w:line="175"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Deloitte &amp; Touche LLP</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1 Place Ville Marie</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Suite 3000</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Montreal QC H3B 4T9</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Canada</w:t>
      </w:r>
    </w:p>
    <w:p>
      <w:pPr>
        <w:spacing w:after="0" w:line="175"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Tel: (514) 393-5451</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Fax: (514) 390-4113</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www.deloitte.ca</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OF INDEPENDENT REGISTERED CHARTER ACCOUNTANTS</w:t>
      </w:r>
    </w:p>
    <w:p>
      <w:pPr>
        <w:spacing w:after="0" w:line="175" w:lineRule="exact"/>
        <w:rPr>
          <w:sz w:val="20"/>
          <w:szCs w:val="20"/>
          <w:color w:val="auto"/>
        </w:rPr>
      </w:pPr>
    </w:p>
    <w:p>
      <w:pPr>
        <w:ind w:right="3539"/>
        <w:spacing w:after="0" w:line="252" w:lineRule="auto"/>
        <w:rPr>
          <w:sz w:val="20"/>
          <w:szCs w:val="20"/>
          <w:color w:val="auto"/>
        </w:rPr>
      </w:pPr>
      <w:r>
        <w:rPr>
          <w:rFonts w:ascii="Courier New" w:cs="Courier New" w:eastAsia="Courier New" w:hAnsi="Courier New"/>
          <w:sz w:val="14"/>
          <w:szCs w:val="14"/>
          <w:color w:val="auto"/>
        </w:rPr>
        <w:t>We consent to the incorporation by reference in this Post-Effective Amendment No. 1 to the Registration Statement on Form F-3 of Amdocs Limited (File No.</w:t>
      </w:r>
    </w:p>
    <w:p>
      <w:pPr>
        <w:spacing w:after="0" w:line="1"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333-114344) of our report dated March 19, 2003 (except for Note 17, which is as of July 2, 2003), related to the consolidated financial statements of Certen Inc., as of and for the years ended December 31, 2001 and 2002, appearing in the Annual Report of Amdocs Limited on Form 20-F/A (Amendment No. 1), for the year ended September 30, 2003. We also consent to the reference to us under the heading "Experts" in the prospectus, which is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Montreal, Quebec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13, 2004</w:t>
      </w:r>
    </w:p>
    <w:sectPr>
      <w:pgSz w:w="11900" w:h="16838" w:orient="portrait"/>
      <w:cols w:equalWidth="0" w:num="1">
        <w:col w:w="10239"/>
      </w:cols>
      <w:pgMar w:left="220" w:top="3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1)"/>
      <w:numFmt w:val="decimal"/>
      <w:start w:val="1"/>
    </w:lvl>
  </w:abstractNum>
  <w:abstractNum w:abstractNumId="5">
    <w:nsid w:val="32FFF902"/>
    <w:multiLevelType w:val="hybridMultilevel"/>
    <w:lvl w:ilvl="0">
      <w:lvlJc w:val="left"/>
      <w:lvlText w:val="(%1)"/>
      <w:numFmt w:val="decimal"/>
      <w:start w:val="3"/>
    </w:lvl>
  </w:abstractNum>
  <w:abstractNum w:abstractNumId="6">
    <w:nsid w:val="684A481A"/>
    <w:multiLevelType w:val="hybridMultilevel"/>
    <w:lvl w:ilvl="0">
      <w:lvlJc w:val="left"/>
      <w:lvlText w:val="(%1)"/>
      <w:numFmt w:val="decimal"/>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amp;"/>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1)"/>
      <w:numFmt w:val="decimal"/>
      <w:start w:val="1"/>
    </w:lvl>
    <w:lvl w:ilvl="1">
      <w:lvlJc w:val="left"/>
      <w:lvlText w:val="(%2)"/>
      <w:numFmt w:val="decimal"/>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amp;"/>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lvl w:ilvl="1">
      <w:lvlJc w:val="left"/>
      <w:lvlText w:val="*"/>
      <w:numFmt w:val="bullet"/>
      <w:start w:val="1"/>
    </w:lvl>
  </w:abstractNum>
  <w:abstractNum w:abstractNumId="52">
    <w:nsid w:val="42C296BD"/>
    <w:multiLevelType w:val="hybridMultilevel"/>
    <w:lvl w:ilvl="0">
      <w:lvlJc w:val="left"/>
      <w:lvlText w:val="(%1)"/>
      <w:numFmt w:val="decimal"/>
      <w:start w:val="1"/>
    </w:lvl>
  </w:abstractNum>
  <w:abstractNum w:abstractNumId="53">
    <w:nsid w:val="168E121F"/>
    <w:multiLevelType w:val="hybridMultilevel"/>
    <w:lvl w:ilvl="0">
      <w:lvlJc w:val="left"/>
      <w:lvlText w:val="(%1)"/>
      <w:numFmt w:val="decimal"/>
      <w:start w:val="1"/>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1."/>
      <w:numFmt w:val="decimal"/>
      <w:start w:val="1"/>
    </w:lvl>
    <w:lvl w:ilvl="1">
      <w:lvlJc w:val="left"/>
      <w:lvlText w:val="-"/>
      <w:numFmt w:val="bullet"/>
      <w:start w:val="1"/>
    </w:lvl>
  </w:abstractNum>
  <w:abstractNum w:abstractNumId="57">
    <w:nsid w:val="540A471C"/>
    <w:multiLevelType w:val="hybridMultilevel"/>
    <w:lvl w:ilvl="0">
      <w:lvlJc w:val="left"/>
      <w:lvlText w:val="%1."/>
      <w:numFmt w:val="decimal"/>
      <w:start w:val="1"/>
    </w:lvl>
    <w:lvl w:ilvl="1">
      <w:lvlJc w:val="left"/>
      <w:lvlText w:val="-"/>
      <w:numFmt w:val="bullet"/>
      <w:start w:val="1"/>
    </w:lvl>
  </w:abstractNum>
  <w:abstractNum w:abstractNumId="58">
    <w:nsid w:val="7BD3EE7B"/>
    <w:multiLevelType w:val="hybridMultilevel"/>
    <w:lvl w:ilvl="0">
      <w:lvlJc w:val="left"/>
      <w:lvlText w:val="o"/>
      <w:numFmt w:val="bullet"/>
      <w:start w:val="1"/>
    </w:lvl>
  </w:abstractNum>
  <w:abstractNum w:abstractNumId="59">
    <w:nsid w:val="51D9C564"/>
    <w:multiLevelType w:val="hybridMultilevel"/>
    <w:lvl w:ilvl="0">
      <w:lvlJc w:val="left"/>
      <w:lvlText w:val="(%1)"/>
      <w:numFmt w:val="decimal"/>
      <w:start w:val="2"/>
    </w:lvl>
  </w:abstractNum>
  <w:abstractNum w:abstractNumId="60">
    <w:nsid w:val="613EFDC5"/>
    <w:multiLevelType w:val="hybridMultilevel"/>
    <w:lvl w:ilvl="0">
      <w:lvlJc w:val="left"/>
      <w:lvlText w:val="%1."/>
      <w:numFmt w:val="decimal"/>
      <w:start w:val="1"/>
    </w:lvl>
  </w:abstractNum>
  <w:abstractNum w:abstractNumId="61">
    <w:nsid w:val="BF72B14"/>
    <w:multiLevelType w:val="hybridMultilevel"/>
    <w:lvl w:ilvl="0">
      <w:lvlJc w:val="left"/>
      <w:lvlText w:val="%1."/>
      <w:numFmt w:val="decimal"/>
      <w:start w:val="2"/>
    </w:lvl>
  </w:abstractNum>
  <w:abstractNum w:abstractNumId="62">
    <w:nsid w:val="11447B73"/>
    <w:multiLevelType w:val="hybridMultilevel"/>
    <w:lvl w:ilvl="0">
      <w:lvlJc w:val="left"/>
      <w:lvlText w:val="%1."/>
      <w:numFmt w:val="decimal"/>
      <w:start w:val="3"/>
    </w:lvl>
  </w:abstractNum>
  <w:abstractNum w:abstractNumId="63">
    <w:nsid w:val="42963E5A"/>
    <w:multiLevelType w:val="hybridMultilevel"/>
    <w:lvl w:ilvl="0">
      <w:lvlJc w:val="left"/>
      <w:lvlText w:val="%1."/>
      <w:numFmt w:val="decimal"/>
      <w:start w:val="4"/>
    </w:lvl>
  </w:abstractNum>
  <w:abstractNum w:abstractNumId="64">
    <w:nsid w:val="A0382C5"/>
    <w:multiLevelType w:val="hybridMultilevel"/>
    <w:lvl w:ilvl="0">
      <w:lvlJc w:val="left"/>
      <w:lvlText w:val="(%1)"/>
      <w:numFmt w:val="decimal"/>
      <w:start w:val="1"/>
    </w:lvl>
  </w:abstractNum>
  <w:abstractNum w:abstractNumId="65">
    <w:nsid w:val="8F2B15E"/>
    <w:multiLevelType w:val="hybridMultilevel"/>
    <w:lvl w:ilvl="0">
      <w:lvlJc w:val="left"/>
      <w:lvlText w:val="%1."/>
      <w:numFmt w:val="decimal"/>
      <w:start w:val="5"/>
    </w:lvl>
  </w:abstractNum>
  <w:abstractNum w:abstractNumId="66">
    <w:nsid w:val="1A32234B"/>
    <w:multiLevelType w:val="hybridMultilevel"/>
    <w:lvl w:ilvl="0">
      <w:lvlJc w:val="left"/>
      <w:lvlText w:val="%1."/>
      <w:numFmt w:val="decimal"/>
      <w:start w:val="6"/>
    </w:lvl>
  </w:abstractNum>
  <w:abstractNum w:abstractNumId="67">
    <w:nsid w:val="3B0FD379"/>
    <w:multiLevelType w:val="hybridMultilevel"/>
    <w:lvl w:ilvl="0">
      <w:lvlJc w:val="left"/>
      <w:lvlText w:val="%1."/>
      <w:numFmt w:val="decimal"/>
      <w:start w:val="7"/>
    </w:lvl>
  </w:abstractNum>
  <w:abstractNum w:abstractNumId="68">
    <w:nsid w:val="68EB2F63"/>
    <w:multiLevelType w:val="hybridMultilevel"/>
    <w:lvl w:ilvl="0">
      <w:lvlJc w:val="left"/>
      <w:lvlText w:val="%1."/>
      <w:numFmt w:val="decimal"/>
      <w:start w:val="8"/>
    </w:lvl>
  </w:abstractNum>
  <w:abstractNum w:abstractNumId="69">
    <w:nsid w:val="4962813B"/>
    <w:multiLevelType w:val="hybridMultilevel"/>
    <w:lvl w:ilvl="0">
      <w:lvlJc w:val="left"/>
      <w:lvlText w:val="(%1)"/>
      <w:numFmt w:val="decimal"/>
      <w:start w:val="1"/>
    </w:lvl>
  </w:abstractNum>
  <w:abstractNum w:abstractNumId="70">
    <w:nsid w:val="60B6DF70"/>
    <w:multiLevelType w:val="hybridMultilevel"/>
    <w:lvl w:ilvl="0">
      <w:lvlJc w:val="left"/>
      <w:lvlText w:val="%1."/>
      <w:numFmt w:val="decimal"/>
      <w:start w:val="9"/>
    </w:lvl>
  </w:abstractNum>
  <w:abstractNum w:abstractNumId="71">
    <w:nsid w:val="6A5EE64"/>
    <w:multiLevelType w:val="hybridMultilevel"/>
    <w:lvl w:ilvl="0">
      <w:lvlJc w:val="left"/>
      <w:lvlText w:val="%1."/>
      <w:numFmt w:val="decimal"/>
      <w:start w:val="11"/>
    </w:lvl>
  </w:abstractNum>
  <w:abstractNum w:abstractNumId="72">
    <w:nsid w:val="14330624"/>
    <w:multiLevelType w:val="hybridMultilevel"/>
    <w:lvl w:ilvl="0">
      <w:lvlJc w:val="left"/>
      <w:lvlText w:val="%1"/>
      <w:numFmt w:val="decimal"/>
      <w:start w:val="1"/>
    </w:lvl>
    <w:lvl w:ilvl="1">
      <w:lvlJc w:val="left"/>
      <w:lvlText w:val="(%2)"/>
      <w:numFmt w:val="lowerRoman"/>
      <w:start w:val="2"/>
    </w:lvl>
  </w:abstractNum>
  <w:abstractNum w:abstractNumId="73">
    <w:nsid w:val="7FFFCA11"/>
    <w:multiLevelType w:val="hybridMultilevel"/>
    <w:lvl w:ilvl="0">
      <w:lvlJc w:val="left"/>
      <w:lvlText w:val="%1."/>
      <w:numFmt w:val="decimal"/>
      <w:start w:val="12"/>
    </w:lvl>
    <w:lvl w:ilvl="1">
      <w:lvlJc w:val="left"/>
      <w:lvlText w:val="%2"/>
      <w:numFmt w:val="lowerRoman"/>
      <w:start w:val="1"/>
    </w:lvl>
  </w:abstractNum>
  <w:abstractNum w:abstractNumId="74">
    <w:nsid w:val="1A27709E"/>
    <w:multiLevelType w:val="hybridMultilevel"/>
    <w:lvl w:ilvl="0">
      <w:lvlJc w:val="left"/>
      <w:lvlText w:val="(%1)"/>
      <w:numFmt w:val="decimal"/>
      <w:start w:val="94"/>
    </w:lvl>
  </w:abstractNum>
  <w:abstractNum w:abstractNumId="75">
    <w:nsid w:val="71EA1109"/>
    <w:multiLevelType w:val="hybridMultilevel"/>
    <w:lvl w:ilvl="0">
      <w:lvlJc w:val="left"/>
      <w:lvlText w:val="--"/>
      <w:numFmt w:val="bullet"/>
      <w:start w:val="1"/>
    </w:lvl>
  </w:abstractNum>
  <w:abstractNum w:abstractNumId="76">
    <w:nsid w:val="100F59DC"/>
    <w:multiLevelType w:val="hybridMultilevel"/>
    <w:lvl w:ilvl="0">
      <w:lvlJc w:val="left"/>
      <w:lvlText w:val="$"/>
      <w:numFmt w:val="bullet"/>
      <w:start w:val="1"/>
    </w:lvl>
  </w:abstractNum>
  <w:abstractNum w:abstractNumId="77">
    <w:nsid w:val="7FB7E0AA"/>
    <w:multiLevelType w:val="hybridMultilevel"/>
    <w:lvl w:ilvl="0">
      <w:lvlJc w:val="left"/>
      <w:lvlText w:val="-"/>
      <w:numFmt w:val="bullet"/>
      <w:start w:val="1"/>
    </w:lvl>
  </w:abstractNum>
  <w:abstractNum w:abstractNumId="78">
    <w:nsid w:val="6EB5BD4"/>
    <w:multiLevelType w:val="hybridMultilevel"/>
    <w:lvl w:ilvl="0">
      <w:lvlJc w:val="left"/>
      <w:lvlText w:val="%1."/>
      <w:numFmt w:val="decimal"/>
      <w:start w:val="13"/>
    </w:lvl>
  </w:abstractNum>
  <w:abstractNum w:abstractNumId="79">
    <w:nsid w:val="6F6DD9AC"/>
    <w:multiLevelType w:val="hybridMultilevel"/>
    <w:lvl w:ilvl="0">
      <w:lvlJc w:val="left"/>
      <w:lvlText w:val="%1."/>
      <w:numFmt w:val="decimal"/>
      <w:start w:val="14"/>
    </w:lvl>
  </w:abstractNum>
  <w:abstractNum w:abstractNumId="80">
    <w:nsid w:val="94211F2"/>
    <w:multiLevelType w:val="hybridMultilevel"/>
    <w:lvl w:ilvl="0">
      <w:lvlJc w:val="left"/>
      <w:lvlText w:val="-"/>
      <w:numFmt w:val="bullet"/>
      <w:start w:val="1"/>
    </w:lvl>
  </w:abstractNum>
  <w:abstractNum w:abstractNumId="81">
    <w:nsid w:val="885E1B"/>
    <w:multiLevelType w:val="hybridMultilevel"/>
    <w:lvl w:ilvl="0">
      <w:lvlJc w:val="left"/>
      <w:lvlText w:val="-"/>
      <w:numFmt w:val="bullet"/>
      <w:start w:val="1"/>
    </w:lvl>
  </w:abstractNum>
  <w:abstractNum w:abstractNumId="82">
    <w:nsid w:val="76272110"/>
    <w:multiLevelType w:val="hybridMultilevel"/>
    <w:lvl w:ilvl="0">
      <w:lvlJc w:val="left"/>
      <w:lvlText w:val="-"/>
      <w:numFmt w:val="bullet"/>
      <w:start w:val="1"/>
    </w:lvl>
  </w:abstractNum>
  <w:abstractNum w:abstractNumId="83">
    <w:nsid w:val="4C04A8AF"/>
    <w:multiLevelType w:val="hybridMultilevel"/>
    <w:lvl w:ilvl="0">
      <w:lvlJc w:val="left"/>
      <w:lvlText w:val="-"/>
      <w:numFmt w:val="bullet"/>
      <w:start w:val="1"/>
    </w:lvl>
  </w:abstractNum>
  <w:abstractNum w:abstractNumId="84">
    <w:nsid w:val="1716703B"/>
    <w:multiLevelType w:val="hybridMultilevel"/>
    <w:lvl w:ilvl="0">
      <w:lvlJc w:val="left"/>
      <w:lvlText w:val="-"/>
      <w:numFmt w:val="bullet"/>
      <w:start w:val="1"/>
    </w:lvl>
  </w:abstractNum>
  <w:abstractNum w:abstractNumId="85">
    <w:nsid w:val="14E17E33"/>
    <w:multiLevelType w:val="hybridMultilevel"/>
    <w:lvl w:ilvl="0">
      <w:lvlJc w:val="left"/>
      <w:lvlText w:val="(%1)"/>
      <w:numFmt w:val="decimal"/>
      <w:start w:val="1"/>
    </w:lvl>
    <w:lvl w:ilvl="1">
      <w:lvlJc w:val="left"/>
      <w:lvlText w:val="(%2)"/>
      <w:numFmt w:val="lowerRoman"/>
      <w:start w:val="1"/>
    </w:lvl>
  </w:abstractNum>
  <w:abstractNum w:abstractNumId="86">
    <w:nsid w:val="3222E7CD"/>
    <w:multiLevelType w:val="hybridMultilevel"/>
    <w:lvl w:ilvl="0">
      <w:lvlJc w:val="left"/>
      <w:lvlText w:val="(%1)"/>
      <w:numFmt w:val="decimal"/>
      <w:start w:val="2"/>
    </w:lvl>
  </w:abstractNum>
  <w:abstractNum w:abstractNumId="87">
    <w:nsid w:val="74DE0EE3"/>
    <w:multiLevelType w:val="hybridMultilevel"/>
    <w:lvl w:ilvl="0">
      <w:lvlJc w:val="left"/>
      <w:lvlText w:val="-"/>
      <w:numFmt w:val="bullet"/>
      <w:start w:val="1"/>
    </w:lvl>
  </w:abstractNum>
  <w:abstractNum w:abstractNumId="88">
    <w:nsid w:val="68EBC550"/>
    <w:multiLevelType w:val="hybridMultilevel"/>
    <w:lvl w:ilvl="0">
      <w:lvlJc w:val="left"/>
      <w:lvlText w:val="-"/>
      <w:numFmt w:val="bullet"/>
      <w:start w:val="1"/>
    </w:lvl>
  </w:abstractNum>
  <w:abstractNum w:abstractNumId="89">
    <w:nsid w:val="2DF6D648"/>
    <w:multiLevelType w:val="hybridMultilevel"/>
    <w:lvl w:ilvl="0">
      <w:lvlJc w:val="left"/>
      <w:lvlText w:val="*"/>
      <w:numFmt w:val="bullet"/>
      <w:start w:val="1"/>
    </w:lvl>
  </w:abstractNum>
  <w:abstractNum w:abstractNumId="90">
    <w:nsid w:val="46B7D4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2019-12-14T21:19:54Z</dcterms:created>
  <dcterms:modified xsi:type="dcterms:W3CDTF">2019-12-14T21:19:54Z</dcterms:modified>
</cp:coreProperties>
</file>