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For the month of November, 2012</w:t>
      </w:r>
    </w:p>
    <w:p>
      <w:pPr>
        <w:spacing w:after="0" w:line="171"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Suite 5, Tower Hill House Le Bordage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St. Peter Port, Island of Guernsey, GY1 3QT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Amdocs,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133985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3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p>
      <w:pPr>
        <w:jc w:val="center"/>
        <w:ind w:right="-11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sectPr>
      </w:pPr>
    </w:p>
    <w:bookmarkStart w:id="1" w:name="page2"/>
    <w:bookmarkEnd w:id="1"/>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November 6, 2012, Amdocs Limited (“Amdocs”) issued a press release announcing financial results for the quarter and fiscal year ended September 30, 2012. A copy of the press release is furnished as Exhibit 99.1 to this Report of Foreign Private Issuer on Form 6-K.</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420"/>
          </w:cols>
          <w:pgMar w:left="240" w:top="280"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Elizabeth W. Grausam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Elizabeth W. Grausam McDermon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2012</w:t>
      </w:r>
    </w:p>
    <w:p>
      <w:pPr>
        <w:sectPr>
          <w:pgSz w:w="11900" w:h="16838" w:orient="portrait"/>
          <w:cols w:equalWidth="0" w:num="1">
            <w:col w:w="10980"/>
          </w:cols>
          <w:pgMar w:left="240" w:top="274" w:right="6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0" w:type="dxa"/>
            <w:vAlign w:val="bottom"/>
          </w:tcPr>
          <w:p>
            <w:pPr>
              <w:ind w:left="2300"/>
              <w:spacing w:after="0"/>
              <w:rPr>
                <w:sz w:val="20"/>
                <w:szCs w:val="20"/>
                <w:color w:val="auto"/>
              </w:rPr>
            </w:pPr>
            <w:r>
              <w:rPr>
                <w:rFonts w:ascii="Arial" w:cs="Arial" w:eastAsia="Arial" w:hAnsi="Arial"/>
                <w:sz w:val="18"/>
                <w:szCs w:val="18"/>
                <w:color w:val="auto"/>
                <w:w w:val="98"/>
              </w:rPr>
              <w:t>EXHIBIT INDEX</w:t>
            </w:r>
          </w:p>
        </w:tc>
      </w:tr>
      <w:tr>
        <w:trPr>
          <w:trHeight w:val="353"/>
        </w:trPr>
        <w:tc>
          <w:tcPr>
            <w:tcW w:w="860" w:type="dxa"/>
            <w:vAlign w:val="bottom"/>
          </w:tcPr>
          <w:p>
            <w:pPr>
              <w:jc w:val="right"/>
              <w:spacing w:after="0"/>
              <w:rPr>
                <w:sz w:val="20"/>
                <w:szCs w:val="20"/>
                <w:color w:val="auto"/>
              </w:rPr>
            </w:pPr>
            <w:r>
              <w:rPr>
                <w:rFonts w:ascii="Arial" w:cs="Arial" w:eastAsia="Arial" w:hAnsi="Arial"/>
                <w:sz w:val="14"/>
                <w:szCs w:val="14"/>
                <w:color w:val="auto"/>
                <w:w w:val="98"/>
              </w:rPr>
              <w:t>EXHIBIT NO.</w:t>
            </w:r>
          </w:p>
        </w:tc>
        <w:tc>
          <w:tcPr>
            <w:tcW w:w="5500" w:type="dxa"/>
            <w:vAlign w:val="bottom"/>
            <w:gridSpan w:val="3"/>
          </w:tcPr>
          <w:p>
            <w:pPr>
              <w:ind w:left="980"/>
              <w:spacing w:after="0"/>
              <w:rPr>
                <w:sz w:val="20"/>
                <w:szCs w:val="20"/>
                <w:color w:val="auto"/>
              </w:rPr>
            </w:pPr>
            <w:r>
              <w:rPr>
                <w:rFonts w:ascii="Arial" w:cs="Arial" w:eastAsia="Arial" w:hAnsi="Arial"/>
                <w:sz w:val="14"/>
                <w:szCs w:val="14"/>
                <w:color w:val="auto"/>
              </w:rPr>
              <w:t>DESCRIPTION</w:t>
            </w:r>
          </w:p>
        </w:tc>
      </w:tr>
      <w:tr>
        <w:trPr>
          <w:trHeight w:val="20"/>
        </w:trPr>
        <w:tc>
          <w:tcPr>
            <w:tcW w:w="8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316"/>
        </w:trPr>
        <w:tc>
          <w:tcPr>
            <w:tcW w:w="860" w:type="dxa"/>
            <w:vAlign w:val="bottom"/>
          </w:tcPr>
          <w:p>
            <w:pPr>
              <w:jc w:val="right"/>
              <w:ind w:right="462"/>
              <w:spacing w:after="0"/>
              <w:rPr>
                <w:sz w:val="20"/>
                <w:szCs w:val="20"/>
                <w:color w:val="auto"/>
              </w:rPr>
            </w:pPr>
            <w:r>
              <w:rPr>
                <w:rFonts w:ascii="Arial" w:cs="Arial" w:eastAsia="Arial" w:hAnsi="Arial"/>
                <w:sz w:val="18"/>
                <w:szCs w:val="18"/>
                <w:color w:val="auto"/>
                <w:w w:val="85"/>
              </w:rPr>
              <w:t>99.1</w:t>
            </w:r>
          </w:p>
        </w:tc>
        <w:tc>
          <w:tcPr>
            <w:tcW w:w="5500" w:type="dxa"/>
            <w:vAlign w:val="bottom"/>
            <w:gridSpan w:val="3"/>
          </w:tcPr>
          <w:p>
            <w:pPr>
              <w:ind w:left="980"/>
              <w:spacing w:after="0"/>
              <w:rPr>
                <w:sz w:val="20"/>
                <w:szCs w:val="20"/>
                <w:color w:val="auto"/>
              </w:rPr>
            </w:pPr>
            <w:r>
              <w:rPr>
                <w:rFonts w:ascii="Arial" w:cs="Arial" w:eastAsia="Arial" w:hAnsi="Arial"/>
                <w:sz w:val="18"/>
                <w:szCs w:val="18"/>
                <w:color w:val="auto"/>
                <w:w w:val="98"/>
              </w:rPr>
              <w:t>Amdocs Limited Press Release dated November 6, 2012.</w:t>
            </w:r>
          </w:p>
        </w:tc>
      </w:tr>
    </w:tbl>
    <w:p>
      <w:pPr>
        <w:ind w:left="98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134620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6200" cy="12001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139700</wp:posOffset>
            </wp:positionV>
            <wp:extent cx="1003300" cy="231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0330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Quarterly Revenue of $822 Million, Up 1.2% YoY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Delivers Record Diluted non-GAAP EPS of $2.71 for Fiscal 2012, up 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YoY, and Diluted GAAP EPS of $2.31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90" w:lineRule="exact"/>
        <w:rPr>
          <w:sz w:val="20"/>
          <w:szCs w:val="20"/>
          <w:color w:val="auto"/>
        </w:rPr>
      </w:pPr>
    </w:p>
    <w:p>
      <w:pPr>
        <w:ind w:left="900" w:right="100" w:hanging="325"/>
        <w:spacing w:after="0" w:line="256"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of directors has authorized a share repurchase plan allowing the repurchase of up to $500 million of ordinary shares at the company’s discretion; this plan has no expiration date and is in addition to the current authorization program, which, as of September 30, 2012, provided up to $203 million of remaining repurchase authority through February 2013; the board of directors also approved $0.13 per share quarterly cash dividend to be paid on January 18, 2013</w:t>
      </w:r>
    </w:p>
    <w:p>
      <w:pPr>
        <w:spacing w:after="0" w:line="62"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Fourth fiscal quarter revenue of $822 million, compared to the $815-$835 million guidance range. Foreign currency movements negatively affected revenue by approximately $1 million relative to the third fiscal quarter of 2012</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Fourth fiscal quarter non-GAAP operating income of $137 million; non-GAAP operating margin of 16.6%; GAAP operating income of $114 million</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Fourth fiscal quarter diluted non-GAAP EPS of $0.70, compared to the $0.66-$0.72 guidance range, excluding amortization of purchased intangible assets and other acquisition related costs and equity-based compensation expense, net of related tax effects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GAAP EPS of $0.60 for the fourth fiscal quarter, compared to the $0.54-$0.62 guidance range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Free cash flow of $109 million for the fourth fiscal quarter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Twelve-month backlog of $2.79 billion at the end of the fourth fiscal quarter, up $30 million from the end of the third fiscal quarter of 2012</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Repurchased $106 million of ordinary shares during the fourth fiscal quarter</w:t>
      </w:r>
    </w:p>
    <w:p>
      <w:pPr>
        <w:spacing w:after="0" w:line="9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First quarter fiscal 2013 guidance: Expected revenue of approximately $810-$840 million and diluted non-GAAP EPS of $0.68-$0.74, excluding amortization of purchased intangible assets and other acquisition-related costs and approximately $0.06-$0.07 per share of equity-based compensation expense, net of related tax effects. Diluted GAAP EPS is expected to be approximately $0.56-$0.64</w:t>
      </w:r>
    </w:p>
    <w:p>
      <w:pPr>
        <w:sectPr>
          <w:pgSz w:w="11900" w:h="16838" w:orient="portrait"/>
          <w:cols w:equalWidth="0" w:num="1">
            <w:col w:w="11420"/>
          </w:cols>
          <w:pgMar w:left="240" w:top="131" w:right="239" w:bottom="1440" w:gutter="0" w:footer="0" w:header="0"/>
        </w:sectPr>
      </w:pPr>
    </w:p>
    <w:bookmarkStart w:id="5" w:name="page6"/>
    <w:bookmarkEnd w:id="5"/>
    <w:p>
      <w:pPr>
        <w:ind w:left="900" w:right="4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Fiscal 2013 guidance: Expected revenue growth of 2-5% and non-GAAP diluted earnings per share growth of roughly 5-8%, including the impact of anticipated share repurchase activity over the course of the fiscal year</w:t>
      </w:r>
    </w:p>
    <w:p>
      <w:pPr>
        <w:spacing w:after="0" w:line="126"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ST. LOUIS – November 6, 2012 </w:t>
      </w:r>
      <w:r>
        <w:rPr>
          <w:rFonts w:ascii="Arial" w:cs="Arial" w:eastAsia="Arial" w:hAnsi="Arial"/>
          <w:sz w:val="18"/>
          <w:szCs w:val="18"/>
          <w:color w:val="auto"/>
        </w:rPr>
        <w:t>– Amdocs Limited (NYSE: DOX) today reported that for its fiscal quarter ended September 30, 2012, revenue was $822.1</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up 1.6% sequentially from the third fiscal quarter of 2012 and up 1.2% as compared to last year’s fourth fiscal quarter. Net income on a non-GAAP basis was $115.7 million, or $0.70 per diluted share, compared to non-GAAP net income of $111.2 million, or $0.62 per diluted share, in the fourth quarter of fiscal 2011. Non-GAAP net income excludes amortization of purchased intangible assets and other acquisition related costs and equity-based compensation expenses of $17.7 million, net of related tax effects, in the fourth quarter of fiscal 2012 and excludes such amortization and other acquisition related costs and equity-based compensation expenses of $23.8 million, net of related tax effects, in the fourth quarter of fiscal 2011. The Company’s GAAP net income for the fourth quarter of fiscal 2012 was $98.0 million, or $0.60 per diluted share, compared to GAAP net income of $87.4 million, or $0.49 per diluted share, in the prior year’s fourth fiscal quarter.</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concluded fiscal 2012 with another strong quarter, reflecting ongoing stabilization at AT&amp;T, double-digit growth in our emerging markets and consistent operating margin execution. Underscoring our commitment to returning excess cash, we repurchased an additional $106 million of our ordinary shares in the fourth fiscal quarter, and, as of September 30, 2012, we had acquired a total of 25% of our shares that were outstanding in April 2010. Overall, as a result of good new sales execution, a stable operating margin and our repurchase activity, we grew non-GAAP diluted earnings per share by 16% in fiscal 2012,” said Eli Gelman, chief executive officer of Amdocs Management Limited.</w:t>
      </w:r>
    </w:p>
    <w:p>
      <w:pPr>
        <w:spacing w:after="0" w:line="143"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Gelman continued, “North American demand trends improved in the fourth quarter, with the region returning to sequential growth. We believe that announced M&amp;A activity among operators in North America may drive long-term opportunity for Amdocs; however, it also adds some uncertainty to our 2013 outlook as consummation of such deals remains subject to contingencies. Emerging markets continued to be a source of strength for year-over-year</w:t>
      </w:r>
    </w:p>
    <w:p>
      <w:pPr>
        <w:sectPr>
          <w:pgSz w:w="11900" w:h="16838" w:orient="portrait"/>
          <w:cols w:equalWidth="0" w:num="1">
            <w:col w:w="11400"/>
          </w:cols>
          <w:pgMar w:left="240" w:top="280" w:right="259" w:bottom="1440" w:gutter="0" w:footer="0" w:header="0"/>
        </w:sectPr>
      </w:pPr>
    </w:p>
    <w:bookmarkStart w:id="6" w:name="page7"/>
    <w:bookmarkEnd w:id="6"/>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growth and we expect this trend to continue in 2013. We also achieved stable activity levels in Europe in the fourth quarter to cap a strong fiscal 2012 in the region, although we remain aware of the challenging economic conditions heading in to 2013.”</w:t>
      </w:r>
    </w:p>
    <w:p>
      <w:pPr>
        <w:spacing w:after="0" w:line="1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Gelman concluded, “In North America, we are delighted to announce today that Sprint has agreed to expand and extend its managed services relationship with Amdocs through 2021, including the addition of its Virgin Mobile-branded subscribers to the Amdocs platform. This agreement brings us good long-term visibility with one of our largest customers and we believe represents a true ‘win-win’ outcome for both Sprint and Amdocs. Similarly, agreements with new and existing customers, such as Globe in the Philippines, TIM Brasil in Latin America and, just announced today, VimpelCom in Russia, should provide for further growth in the emerging markets in fiscal 2013. While the year ahead carries macroeconomic and industry specific risks, we believe we are competitively well positioned to achieve sustained growth in 2013.”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Discussion of Fourth Fiscal Quarter Results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Free cash flow was $109 million for the quarter, comprised of cash flow from operations of $152 million less $43 million in net capital expenditures and other.</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$2.79 billion at the end of the fourth quarter of fiscal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2012 Results</w:t>
      </w:r>
    </w:p>
    <w:p>
      <w:pPr>
        <w:spacing w:after="0" w:line="9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For the fiscal year ended September 30, 2012, revenue increased by 2.2% to $3.2 billion. Fiscal 2012 net income on a non-GAAP basis was $460.0 million, or $2.71 per diluted share (excluding amortization of purchased intangible assets and other acquisition related costs, gain on sale of investment and equity-based compensation expenses of $68.6 million, net of related tax effects), compared to non-GAAP net income of $434.6 million, or $2.33 per diluted share, in fiscal 2011 (excluding amortization of purchased intangible assets and other acquisition related costs and equity-based compensation expenses of $87.9 million, net of related tax effects). The Company’s GAAP net income in fiscal 2012 was $391.4 million, or $2.31 per diluted share, compared to GAAP net income of $346.7 million, or $1.86 per diluted share, in fiscal 2011.</w:t>
      </w:r>
    </w:p>
    <w:p>
      <w:pPr>
        <w:sectPr>
          <w:pgSz w:w="11900" w:h="16838" w:orient="portrait"/>
          <w:cols w:equalWidth="0" w:num="1">
            <w:col w:w="11400"/>
          </w:cols>
          <w:pgMar w:left="24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Outlook</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Amdocs expects that revenue for the first quarter of fiscal 2013 will be approximately $810-$840 million. Diluted earnings per share on a non-GAAP basis for the first fiscal quarter are expected to be $0.68-$0.74, excluding amortization of purchased intangible assets and other acquisition-related costs and approximately $0.06-$0.07 per share of equity-based compensation expense, net of related tax effects. Amdocs estimates GAAP diluted earnings per share for the first fiscal quarter will be $0.56-$0.64.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Cash Dividend Program</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November 6, 2012, the Board approved the quarterly cash dividend payment and set December 31, 2012 as the record date for determining the shareholders entitled to receive the dividend, which is payable on January 18,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Amdocs will host a conference call on November 6, 2012 at 5:00 p.m. Eastern Time to discuss the Company’s fourth fiscal quarter results. The call will be carried live on the Internet via the Amdocs website, www.amdocs.com.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service, non-GAAP research and development, non-GAAP selling, general and administrative, non-GAAP operating income, non-GAAP operating margin, non-GAAP interest and other income (expense), net, non-GAAP income taxes, non-GAAP net income, and non-GAAP diluted earnings per share growth. These non-GAAP measures exclude the following items:</w:t>
      </w:r>
    </w:p>
    <w:p>
      <w:pPr>
        <w:spacing w:after="0" w:line="6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 related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gain on sale of investment;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ectPr>
          <w:pgSz w:w="11900" w:h="16838" w:orient="portrait"/>
          <w:cols w:equalWidth="0" w:num="1">
            <w:col w:w="11420"/>
          </w:cols>
          <w:pgMar w:left="240" w:top="274" w:right="239" w:bottom="1440" w:gutter="0" w:footer="0" w:header="0"/>
        </w:sectPr>
      </w:pPr>
    </w:p>
    <w:bookmarkStart w:id="8" w:name="page9"/>
    <w:bookmarkEnd w:id="8"/>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43"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operating margin, non-GAAP income taxes,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00"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For its internal budgeting process and in monitoring the results of the business, Amdocs’ management uses financial statements that do not include amortization of purchased intangible assets and other acquisition related costs, gain on sale of investment,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0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interest and other income (expense), net, income taxes and net income), it is useful to investors to understand how these specific line items in the Consolidated Statements of Income are affected by these adjustments.</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refer to the Reconciliation of Selected Financial Metrics from GAAP to Non-GAAP tables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For 30 years, Amdocs has ensured service providers’ success and embraced their biggest challenges. To win in the connected world, service providers rely on Amdocs to simplify the customer experience, harness the data explosion, stay ahead with new services and improve operational efficiency. The global company uniquely combines a market-leading BSS, OSS and network control product portfolio with value-driven professional services and managed services operations. With revenue of over $3.2 billion in fiscal 2012, Amdocs and its approximately 20,000 employees serve customers in more than 60 countries.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Amdocs: Embrace Challenge, Experience Success.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w:t>
      </w:r>
    </w:p>
    <w:p>
      <w:pPr>
        <w:sectPr>
          <w:pgSz w:w="11900" w:h="16838" w:orient="portrait"/>
          <w:cols w:equalWidth="0" w:num="1">
            <w:col w:w="11380"/>
          </w:cols>
          <w:pgMar w:left="240" w:top="280" w:right="279" w:bottom="1440" w:gutter="0" w:footer="0" w:header="0"/>
        </w:sectPr>
      </w:pPr>
    </w:p>
    <w:bookmarkStart w:id="10" w:name="page11"/>
    <w:bookmarkEnd w:id="1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 including in our Annual Report on Form 20-F for the fiscal year ended September 30, 2011 filed on December 8, 2011 and our Form 6-K furnished for the first quarter of fiscal 2012 on February 14, 2012, for the second quarter of fiscal 2012 on May 15, 2012, and for the third quarter of fiscal 2012 on August 16,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Elizabeth W. Grausam McDermon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Strategy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 #</w:t>
      </w:r>
    </w:p>
    <w:p>
      <w:pPr>
        <w:sectPr>
          <w:pgSz w:w="11900" w:h="16838" w:orient="portrait"/>
          <w:cols w:equalWidth="0" w:num="1">
            <w:col w:w="11380"/>
          </w:cols>
          <w:pgMar w:left="240" w:top="280"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9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61"/>
        </w:trPr>
        <w:tc>
          <w:tcPr>
            <w:tcW w:w="5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68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License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23,966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31,543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120,443</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119,237</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798,162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780,660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3,126,460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3,058,491</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822,128</w:t>
            </w: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812,203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3,246,903</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3,177,728</w:t>
            </w:r>
          </w:p>
        </w:tc>
        <w:tc>
          <w:tcPr>
            <w:tcW w:w="0" w:type="dxa"/>
            <w:vAlign w:val="bottom"/>
          </w:tcPr>
          <w:p>
            <w:pPr>
              <w:spacing w:after="0"/>
              <w:rPr>
                <w:sz w:val="1"/>
                <w:szCs w:val="1"/>
                <w:color w:val="auto"/>
              </w:rPr>
            </w:pPr>
          </w:p>
        </w:tc>
      </w:tr>
      <w:tr>
        <w:trPr>
          <w:trHeight w:val="218"/>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Cost of license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3,523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service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528,998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524,251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2,081,945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2,066,740</w:t>
            </w: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61,548</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58,944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242,063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221,886</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104,814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103,729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424,671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409,465</w:t>
            </w:r>
          </w:p>
        </w:tc>
        <w:tc>
          <w:tcPr>
            <w:tcW w:w="0" w:type="dxa"/>
            <w:vAlign w:val="bottom"/>
          </w:tcPr>
          <w:p>
            <w:pPr>
              <w:spacing w:after="0"/>
              <w:rPr>
                <w:sz w:val="1"/>
                <w:szCs w:val="1"/>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Amortization of purchased intangible assets and other</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12,726</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19,628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52,229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72,646</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708,627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707,651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2,804,431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2,773,364</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8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113,501</w:t>
            </w: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104,552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442,472</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404,364</w:t>
            </w:r>
          </w:p>
        </w:tc>
        <w:tc>
          <w:tcPr>
            <w:tcW w:w="0" w:type="dxa"/>
            <w:vAlign w:val="bottom"/>
          </w:tcPr>
          <w:p>
            <w:pPr>
              <w:spacing w:after="0"/>
              <w:rPr>
                <w:sz w:val="1"/>
                <w:szCs w:val="1"/>
                <w:color w:val="auto"/>
              </w:rPr>
            </w:pPr>
          </w:p>
        </w:tc>
      </w:tr>
      <w:tr>
        <w:trPr>
          <w:trHeight w:val="218"/>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8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113,617</w:t>
            </w: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99,147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441,524</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395,707</w:t>
            </w:r>
          </w:p>
        </w:tc>
        <w:tc>
          <w:tcPr>
            <w:tcW w:w="0" w:type="dxa"/>
            <w:vAlign w:val="bottom"/>
          </w:tcPr>
          <w:p>
            <w:pPr>
              <w:spacing w:after="0"/>
              <w:rPr>
                <w:sz w:val="1"/>
                <w:szCs w:val="1"/>
                <w:color w:val="auto"/>
              </w:rPr>
            </w:pPr>
          </w:p>
        </w:tc>
      </w:tr>
      <w:tr>
        <w:trPr>
          <w:trHeight w:val="218"/>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15,596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49,042</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8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98,021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87,379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391,371</w:t>
            </w:r>
          </w:p>
        </w:tc>
        <w:tc>
          <w:tcPr>
            <w:tcW w:w="4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346,665</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80" w:type="dxa"/>
            <w:vAlign w:val="bottom"/>
            <w:vMerge w:val="continue"/>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0.49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163,468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178,232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168,275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185,213</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8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164,689</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179,378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169,437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186,559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7"/>
              </w:rPr>
              <w:t>Three months ended</w:t>
            </w:r>
          </w:p>
        </w:tc>
        <w:tc>
          <w:tcPr>
            <w:tcW w:w="100" w:type="dxa"/>
            <w:vAlign w:val="bottom"/>
          </w:tcPr>
          <w:p>
            <w:pPr>
              <w:spacing w:after="0"/>
              <w:rPr>
                <w:sz w:val="14"/>
                <w:szCs w:val="14"/>
                <w:color w:val="auto"/>
              </w:rPr>
            </w:pPr>
          </w:p>
        </w:tc>
        <w:tc>
          <w:tcPr>
            <w:tcW w:w="19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4"/>
              </w:rPr>
              <w:t>Twelve months ended</w:t>
            </w:r>
          </w:p>
        </w:tc>
      </w:tr>
      <w:tr>
        <w:trPr>
          <w:trHeight w:val="161"/>
        </w:trPr>
        <w:tc>
          <w:tcPr>
            <w:tcW w:w="5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4"/>
                <w:szCs w:val="14"/>
                <w:color w:val="auto"/>
              </w:rPr>
            </w:pPr>
          </w:p>
        </w:tc>
        <w:tc>
          <w:tcPr>
            <w:tcW w:w="19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568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822,128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812,203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3,246,903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3,177,728</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136,673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133,883</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538,130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513,641</w:t>
            </w: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115,684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111,187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459,998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434,580</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0.62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164,689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179,378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169,437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186,559</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87"/>
              </w:rPr>
              <w:t>September 30, 2012</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5"/>
          </w:tcPr>
          <w:p>
            <w:pPr>
              <w:jc w:val="center"/>
              <w:ind w:right="220"/>
              <w:spacing w:after="0" w:line="142" w:lineRule="exact"/>
              <w:rPr>
                <w:sz w:val="20"/>
                <w:szCs w:val="20"/>
                <w:color w:val="auto"/>
              </w:rPr>
            </w:pPr>
            <w:r>
              <w:rPr>
                <w:rFonts w:ascii="Arial" w:cs="Arial" w:eastAsia="Arial" w:hAnsi="Arial"/>
                <w:sz w:val="14"/>
                <w:szCs w:val="14"/>
                <w:b w:val="1"/>
                <w:bCs w:val="1"/>
                <w:color w:val="auto"/>
                <w:w w:val="86"/>
              </w:rPr>
              <w:t>Reconciliation items</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Amortization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purchased</w:t>
            </w:r>
          </w:p>
        </w:tc>
        <w:tc>
          <w:tcPr>
            <w:tcW w:w="160" w:type="dxa"/>
            <w:vAlign w:val="bottom"/>
          </w:tcPr>
          <w:p>
            <w:pPr>
              <w:spacing w:after="0"/>
              <w:rPr>
                <w:sz w:val="12"/>
                <w:szCs w:val="12"/>
                <w:color w:val="auto"/>
              </w:rPr>
            </w:pPr>
          </w:p>
        </w:tc>
        <w:tc>
          <w:tcPr>
            <w:tcW w:w="10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7"/>
              </w:rPr>
              <w:t>Equity based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1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w w:val="98"/>
              </w:rPr>
              <w:t>GAAP</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2"/>
              </w:rPr>
              <w:t>expense</w:t>
            </w:r>
          </w:p>
        </w:tc>
        <w:tc>
          <w:tcPr>
            <w:tcW w:w="180" w:type="dxa"/>
            <w:vAlign w:val="bottom"/>
          </w:tcPr>
          <w:p>
            <w:pPr>
              <w:spacing w:after="0"/>
              <w:rPr>
                <w:sz w:val="14"/>
                <w:szCs w:val="14"/>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2"/>
              </w:rPr>
              <w:t>Tax effect</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541</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528,998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523,733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61,548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104,814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12,726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12"/>
              <w:spacing w:after="0"/>
              <w:rPr>
                <w:sz w:val="20"/>
                <w:szCs w:val="20"/>
                <w:color w:val="auto"/>
              </w:rPr>
            </w:pPr>
            <w:r>
              <w:rPr>
                <w:rFonts w:ascii="Arial" w:cs="Arial" w:eastAsia="Arial" w:hAnsi="Arial"/>
                <w:sz w:val="18"/>
                <w:szCs w:val="18"/>
                <w:color w:val="auto"/>
              </w:rPr>
              <w:t>(12,726)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708,627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(12,726)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685,455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113,501</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136,673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15,596</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5,509</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98,021</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12,726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10,446</w:t>
            </w:r>
          </w:p>
        </w:tc>
        <w:tc>
          <w:tcPr>
            <w:tcW w:w="220" w:type="dxa"/>
            <w:vAlign w:val="bottom"/>
          </w:tcPr>
          <w:p>
            <w:pPr>
              <w:spacing w:after="0"/>
              <w:rPr>
                <w:sz w:val="19"/>
                <w:szCs w:val="19"/>
                <w:color w:val="auto"/>
              </w:rPr>
            </w:pPr>
          </w:p>
        </w:tc>
        <w:tc>
          <w:tcPr>
            <w:tcW w:w="1140" w:type="dxa"/>
            <w:vAlign w:val="bottom"/>
            <w:gridSpan w:val="4"/>
          </w:tcPr>
          <w:p>
            <w:pPr>
              <w:ind w:left="180"/>
              <w:spacing w:after="0"/>
              <w:rPr>
                <w:sz w:val="20"/>
                <w:szCs w:val="20"/>
                <w:color w:val="auto"/>
              </w:rPr>
            </w:pPr>
            <w:r>
              <w:rPr>
                <w:rFonts w:ascii="Arial" w:cs="Arial" w:eastAsia="Arial" w:hAnsi="Arial"/>
                <w:sz w:val="18"/>
                <w:szCs w:val="18"/>
                <w:color w:val="auto"/>
              </w:rPr>
              <w:t>$ (5,509)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79"/>
              </w:rPr>
              <w:t>$ 115,684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Three months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 2011</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5"/>
          </w:tcPr>
          <w:p>
            <w:pPr>
              <w:jc w:val="center"/>
              <w:ind w:right="220"/>
              <w:spacing w:after="0" w:line="142" w:lineRule="exact"/>
              <w:rPr>
                <w:sz w:val="20"/>
                <w:szCs w:val="20"/>
                <w:color w:val="auto"/>
              </w:rPr>
            </w:pPr>
            <w:r>
              <w:rPr>
                <w:rFonts w:ascii="Arial" w:cs="Arial" w:eastAsia="Arial" w:hAnsi="Arial"/>
                <w:sz w:val="14"/>
                <w:szCs w:val="14"/>
                <w:b w:val="1"/>
                <w:bCs w:val="1"/>
                <w:color w:val="auto"/>
                <w:w w:val="86"/>
              </w:rPr>
              <w:t>Reconciliation items</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Amortization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purchased</w:t>
            </w:r>
          </w:p>
        </w:tc>
        <w:tc>
          <w:tcPr>
            <w:tcW w:w="16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Equity based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1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w w:val="98"/>
              </w:rPr>
              <w:t>GAAP</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2"/>
              </w:rPr>
              <w:t>expense</w:t>
            </w:r>
          </w:p>
        </w:tc>
        <w:tc>
          <w:tcPr>
            <w:tcW w:w="180" w:type="dxa"/>
            <w:vAlign w:val="bottom"/>
          </w:tcPr>
          <w:p>
            <w:pPr>
              <w:spacing w:after="0"/>
              <w:rPr>
                <w:sz w:val="14"/>
                <w:szCs w:val="14"/>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2"/>
              </w:rPr>
              <w:t>Tax effect</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1,099</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524,251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519,533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58,944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103,729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19,628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12"/>
              <w:spacing w:after="0"/>
              <w:rPr>
                <w:sz w:val="20"/>
                <w:szCs w:val="20"/>
                <w:color w:val="auto"/>
              </w:rPr>
            </w:pPr>
            <w:r>
              <w:rPr>
                <w:rFonts w:ascii="Arial" w:cs="Arial" w:eastAsia="Arial" w:hAnsi="Arial"/>
                <w:sz w:val="18"/>
                <w:szCs w:val="18"/>
                <w:color w:val="auto"/>
              </w:rPr>
              <w:t>(19,628)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707,651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(19,628)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678,320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104,552</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133,883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11,768</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5,523</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87,379</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19,628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9,703</w:t>
            </w:r>
          </w:p>
        </w:tc>
        <w:tc>
          <w:tcPr>
            <w:tcW w:w="220" w:type="dxa"/>
            <w:vAlign w:val="bottom"/>
          </w:tcPr>
          <w:p>
            <w:pPr>
              <w:spacing w:after="0"/>
              <w:rPr>
                <w:sz w:val="19"/>
                <w:szCs w:val="19"/>
                <w:color w:val="auto"/>
              </w:rPr>
            </w:pPr>
          </w:p>
        </w:tc>
        <w:tc>
          <w:tcPr>
            <w:tcW w:w="1140" w:type="dxa"/>
            <w:vAlign w:val="bottom"/>
            <w:gridSpan w:val="4"/>
          </w:tcPr>
          <w:p>
            <w:pPr>
              <w:ind w:left="180"/>
              <w:spacing w:after="0"/>
              <w:rPr>
                <w:sz w:val="20"/>
                <w:szCs w:val="20"/>
                <w:color w:val="auto"/>
              </w:rPr>
            </w:pPr>
            <w:r>
              <w:rPr>
                <w:rFonts w:ascii="Arial" w:cs="Arial" w:eastAsia="Arial" w:hAnsi="Arial"/>
                <w:sz w:val="18"/>
                <w:szCs w:val="18"/>
                <w:color w:val="auto"/>
              </w:rPr>
              <w:t>$ (5,523)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79"/>
              </w:rPr>
              <w:t>$ 111,187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5"/>
          </w:tcPr>
          <w:p>
            <w:pPr>
              <w:ind w:left="60"/>
              <w:spacing w:after="0"/>
              <w:rPr>
                <w:sz w:val="20"/>
                <w:szCs w:val="20"/>
                <w:color w:val="auto"/>
              </w:rPr>
            </w:pPr>
            <w:r>
              <w:rPr>
                <w:rFonts w:ascii="Arial" w:cs="Arial" w:eastAsia="Arial" w:hAnsi="Arial"/>
                <w:sz w:val="14"/>
                <w:szCs w:val="14"/>
                <w:b w:val="1"/>
                <w:bCs w:val="1"/>
                <w:color w:val="auto"/>
                <w:w w:val="84"/>
              </w:rPr>
              <w:t>Twelve months ended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0"/>
              </w:rPr>
              <w:t>September 30, 2012</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5"/>
          </w:tcPr>
          <w:p>
            <w:pPr>
              <w:ind w:left="100"/>
              <w:spacing w:after="0" w:line="142" w:lineRule="exact"/>
              <w:rPr>
                <w:sz w:val="20"/>
                <w:szCs w:val="20"/>
                <w:color w:val="auto"/>
              </w:rPr>
            </w:pPr>
            <w:r>
              <w:rPr>
                <w:rFonts w:ascii="Arial" w:cs="Arial" w:eastAsia="Arial" w:hAnsi="Arial"/>
                <w:sz w:val="14"/>
                <w:szCs w:val="14"/>
                <w:b w:val="1"/>
                <w:bCs w:val="1"/>
                <w:color w:val="auto"/>
                <w:w w:val="88"/>
              </w:rPr>
              <w:t>Reconciliation items</w:t>
            </w: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97"/>
              </w:rPr>
              <w:t>Amortization of</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4"/>
          </w:tcPr>
          <w:p>
            <w:pPr>
              <w:jc w:val="right"/>
              <w:ind w:right="260"/>
              <w:spacing w:after="0" w:line="149" w:lineRule="exact"/>
              <w:rPr>
                <w:sz w:val="20"/>
                <w:szCs w:val="20"/>
                <w:color w:val="auto"/>
              </w:rPr>
            </w:pPr>
            <w:r>
              <w:rPr>
                <w:rFonts w:ascii="Arial" w:cs="Arial" w:eastAsia="Arial" w:hAnsi="Arial"/>
                <w:sz w:val="14"/>
                <w:szCs w:val="14"/>
                <w:b w:val="1"/>
                <w:bCs w:val="1"/>
                <w:color w:val="auto"/>
              </w:rPr>
              <w:t>purchased</w:t>
            </w:r>
          </w:p>
        </w:tc>
        <w:tc>
          <w:tcPr>
            <w:tcW w:w="320" w:type="dxa"/>
            <w:vAlign w:val="bottom"/>
          </w:tcPr>
          <w:p>
            <w:pPr>
              <w:spacing w:after="0"/>
              <w:rPr>
                <w:sz w:val="12"/>
                <w:szCs w:val="12"/>
                <w:color w:val="auto"/>
              </w:rPr>
            </w:pPr>
          </w:p>
        </w:tc>
        <w:tc>
          <w:tcPr>
            <w:tcW w:w="94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w w:val="84"/>
              </w:rPr>
              <w:t>Equity based</w:t>
            </w:r>
          </w:p>
        </w:tc>
        <w:tc>
          <w:tcPr>
            <w:tcW w:w="240" w:type="dxa"/>
            <w:vAlign w:val="bottom"/>
          </w:tcPr>
          <w:p>
            <w:pPr>
              <w:spacing w:after="0"/>
              <w:rPr>
                <w:sz w:val="12"/>
                <w:szCs w:val="12"/>
                <w:color w:val="auto"/>
              </w:rPr>
            </w:pPr>
          </w:p>
        </w:tc>
        <w:tc>
          <w:tcPr>
            <w:tcW w:w="9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Gain on sale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87"/>
              </w:rPr>
              <w:t>intangible assets</w:t>
            </w:r>
          </w:p>
        </w:tc>
        <w:tc>
          <w:tcPr>
            <w:tcW w:w="32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3"/>
              <w:spacing w:after="0"/>
              <w:rPr>
                <w:sz w:val="20"/>
                <w:szCs w:val="20"/>
                <w:color w:val="auto"/>
              </w:rPr>
            </w:pPr>
            <w:r>
              <w:rPr>
                <w:rFonts w:ascii="Arial" w:cs="Arial" w:eastAsia="Arial" w:hAnsi="Arial"/>
                <w:sz w:val="14"/>
                <w:szCs w:val="14"/>
                <w:b w:val="1"/>
                <w:bCs w:val="1"/>
                <w:color w:val="auto"/>
              </w:rPr>
              <w:t>GAAP</w:t>
            </w:r>
          </w:p>
        </w:tc>
        <w:tc>
          <w:tcPr>
            <w:tcW w:w="300" w:type="dxa"/>
            <w:vAlign w:val="bottom"/>
          </w:tcPr>
          <w:p>
            <w:pPr>
              <w:spacing w:after="0"/>
              <w:rPr>
                <w:sz w:val="14"/>
                <w:szCs w:val="14"/>
                <w:color w:val="auto"/>
              </w:rPr>
            </w:pPr>
          </w:p>
        </w:tc>
        <w:tc>
          <w:tcPr>
            <w:tcW w:w="10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and other</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expense</w:t>
            </w:r>
          </w:p>
        </w:tc>
        <w:tc>
          <w:tcPr>
            <w:tcW w:w="240" w:type="dxa"/>
            <w:vAlign w:val="bottom"/>
          </w:tcPr>
          <w:p>
            <w:pPr>
              <w:spacing w:after="0"/>
              <w:rPr>
                <w:sz w:val="14"/>
                <w:szCs w:val="14"/>
                <w:color w:val="auto"/>
              </w:rPr>
            </w:pPr>
          </w:p>
        </w:tc>
        <w:tc>
          <w:tcPr>
            <w:tcW w:w="9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investment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rPr>
              <w:t>Tax effect</w:t>
            </w:r>
          </w:p>
        </w:tc>
        <w:tc>
          <w:tcPr>
            <w:tcW w:w="16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3,523</w:t>
            </w:r>
          </w:p>
        </w:tc>
        <w:tc>
          <w:tcPr>
            <w:tcW w:w="8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2,081,945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(22,641)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2,059,304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242,063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(4,320)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424,671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(16,468)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w w:val="93"/>
              </w:rPr>
              <w:t>Amortization of purchased intangible assets and other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52,229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(52,229)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2,804,431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(52,229)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(43,429)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2,708,773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442,472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52,229</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43,429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538,130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6,270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20,761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391,371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52,229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43,429</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7"/>
              </w:rPr>
              <w:t>(6,270)</w:t>
            </w:r>
          </w:p>
        </w:tc>
        <w:tc>
          <w:tcPr>
            <w:tcW w:w="1080" w:type="dxa"/>
            <w:vAlign w:val="bottom"/>
            <w:gridSpan w:val="6"/>
            <w:shd w:val="clear" w:color="auto" w:fill="CCEEFF"/>
          </w:tcPr>
          <w:p>
            <w:pPr>
              <w:ind w:lef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(20,761)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84"/>
              </w:rPr>
              <w:t>Twelve months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w w:val="85"/>
              </w:rPr>
              <w:t>September 30, 2011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7"/>
          </w:tcPr>
          <w:p>
            <w:pPr>
              <w:jc w:val="center"/>
              <w:ind w:right="160"/>
              <w:spacing w:after="0" w:line="142" w:lineRule="exact"/>
              <w:rPr>
                <w:sz w:val="20"/>
                <w:szCs w:val="20"/>
                <w:color w:val="auto"/>
              </w:rPr>
            </w:pPr>
            <w:r>
              <w:rPr>
                <w:rFonts w:ascii="Arial" w:cs="Arial" w:eastAsia="Arial" w:hAnsi="Arial"/>
                <w:sz w:val="14"/>
                <w:szCs w:val="14"/>
                <w:b w:val="1"/>
                <w:bCs w:val="1"/>
                <w:color w:val="auto"/>
                <w:w w:val="86"/>
              </w:rPr>
              <w:t>Reconciliation items</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7"/>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Amortization of</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5"/>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purchased</w:t>
            </w:r>
          </w:p>
        </w:tc>
        <w:tc>
          <w:tcPr>
            <w:tcW w:w="11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Equity based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7"/>
          </w:tcPr>
          <w:p>
            <w:pPr>
              <w:jc w:val="center"/>
              <w:ind w:right="480"/>
              <w:spacing w:after="0" w:line="149" w:lineRule="exact"/>
              <w:rPr>
                <w:sz w:val="20"/>
                <w:szCs w:val="20"/>
                <w:color w:val="auto"/>
              </w:rPr>
            </w:pPr>
            <w:r>
              <w:rPr>
                <w:rFonts w:ascii="Arial" w:cs="Arial" w:eastAsia="Arial" w:hAnsi="Arial"/>
                <w:sz w:val="14"/>
                <w:szCs w:val="14"/>
                <w:b w:val="1"/>
                <w:bCs w:val="1"/>
                <w:color w:val="auto"/>
                <w:w w:val="82"/>
              </w:rPr>
              <w:t>intangible assets</w:t>
            </w:r>
          </w:p>
        </w:tc>
        <w:tc>
          <w:tcPr>
            <w:tcW w:w="11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GAAP</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7"/>
              </w:rPr>
              <w:t>and other</w:t>
            </w:r>
          </w:p>
        </w:tc>
        <w:tc>
          <w:tcPr>
            <w:tcW w:w="1140" w:type="dxa"/>
            <w:vAlign w:val="bottom"/>
            <w:gridSpan w:val="5"/>
          </w:tcPr>
          <w:p>
            <w:pPr>
              <w:ind w:left="180"/>
              <w:spacing w:after="0"/>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4"/>
                <w:szCs w:val="14"/>
                <w:color w:val="auto"/>
              </w:rPr>
            </w:pPr>
          </w:p>
        </w:tc>
        <w:tc>
          <w:tcPr>
            <w:tcW w:w="960" w:type="dxa"/>
            <w:vAlign w:val="bottom"/>
            <w:gridSpan w:val="5"/>
          </w:tcPr>
          <w:p>
            <w:pPr>
              <w:ind w:left="60"/>
              <w:spacing w:after="0"/>
              <w:rPr>
                <w:sz w:val="20"/>
                <w:szCs w:val="20"/>
                <w:color w:val="auto"/>
              </w:rPr>
            </w:pPr>
            <w:r>
              <w:rPr>
                <w:rFonts w:ascii="Arial" w:cs="Arial" w:eastAsia="Arial" w:hAnsi="Arial"/>
                <w:sz w:val="14"/>
                <w:szCs w:val="14"/>
                <w:b w:val="1"/>
                <w:bCs w:val="1"/>
                <w:color w:val="auto"/>
              </w:rPr>
              <w:t>Tax effect</w:t>
            </w:r>
          </w:p>
        </w:tc>
        <w:tc>
          <w:tcPr>
            <w:tcW w:w="16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2,627</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gridSpan w:val="3"/>
          </w:tcPr>
          <w:p>
            <w:pPr>
              <w:jc w:val="center"/>
              <w:ind w:right="400"/>
              <w:spacing w:after="0"/>
              <w:rPr>
                <w:sz w:val="20"/>
                <w:szCs w:val="20"/>
                <w:color w:val="auto"/>
              </w:rPr>
            </w:pPr>
            <w:r>
              <w:rPr>
                <w:rFonts w:ascii="Arial" w:cs="Arial" w:eastAsia="Arial" w:hAnsi="Arial"/>
                <w:sz w:val="18"/>
                <w:szCs w:val="18"/>
                <w:color w:val="auto"/>
                <w:w w:val="88"/>
              </w:rPr>
              <w:t>—</w:t>
            </w:r>
          </w:p>
        </w:tc>
        <w:tc>
          <w:tcPr>
            <w:tcW w:w="34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2,066,740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(14,641)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2,052,099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221,886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(2,701)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409,465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(19,289)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w w:val="93"/>
              </w:rPr>
              <w:t>Amortization of purchased intangible assets and other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72,646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4"/>
          </w:tcPr>
          <w:p>
            <w:pPr>
              <w:jc w:val="right"/>
              <w:ind w:right="181"/>
              <w:spacing w:after="0"/>
              <w:rPr>
                <w:sz w:val="20"/>
                <w:szCs w:val="20"/>
                <w:color w:val="auto"/>
              </w:rPr>
            </w:pPr>
            <w:r>
              <w:rPr>
                <w:rFonts w:ascii="Arial" w:cs="Arial" w:eastAsia="Arial" w:hAnsi="Arial"/>
                <w:sz w:val="18"/>
                <w:szCs w:val="18"/>
                <w:color w:val="auto"/>
              </w:rPr>
              <w:t>(72,646)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jc w:val="center"/>
              <w:ind w:right="4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2,773,364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81"/>
              <w:spacing w:after="0"/>
              <w:rPr>
                <w:sz w:val="20"/>
                <w:szCs w:val="20"/>
                <w:color w:val="auto"/>
              </w:rPr>
            </w:pPr>
            <w:r>
              <w:rPr>
                <w:rFonts w:ascii="Arial" w:cs="Arial" w:eastAsia="Arial" w:hAnsi="Arial"/>
                <w:sz w:val="18"/>
                <w:szCs w:val="18"/>
                <w:color w:val="auto"/>
              </w:rPr>
              <w:t>(72,646)</w:t>
            </w:r>
          </w:p>
        </w:tc>
        <w:tc>
          <w:tcPr>
            <w:tcW w:w="1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(36,631)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2,664,087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404,364</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4"/>
          </w:tcPr>
          <w:p>
            <w:pPr>
              <w:jc w:val="right"/>
              <w:ind w:right="241"/>
              <w:spacing w:after="0"/>
              <w:rPr>
                <w:sz w:val="20"/>
                <w:szCs w:val="20"/>
                <w:color w:val="auto"/>
              </w:rPr>
            </w:pPr>
            <w:r>
              <w:rPr>
                <w:rFonts w:ascii="Arial" w:cs="Arial" w:eastAsia="Arial" w:hAnsi="Arial"/>
                <w:sz w:val="18"/>
                <w:szCs w:val="18"/>
                <w:color w:val="auto"/>
              </w:rPr>
              <w:t>72,646</w:t>
            </w:r>
          </w:p>
        </w:tc>
        <w:tc>
          <w:tcPr>
            <w:tcW w:w="160" w:type="dxa"/>
            <w:vAlign w:val="bottom"/>
          </w:tcPr>
          <w:p>
            <w:pPr>
              <w:spacing w:after="0"/>
              <w:rPr>
                <w:sz w:val="20"/>
                <w:szCs w:val="20"/>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36,631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513,641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49,042</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21,362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346,665</w:t>
            </w:r>
          </w:p>
        </w:tc>
        <w:tc>
          <w:tcPr>
            <w:tcW w:w="460" w:type="dxa"/>
            <w:vAlign w:val="bottom"/>
          </w:tcPr>
          <w:p>
            <w:pPr>
              <w:spacing w:after="0"/>
              <w:rPr>
                <w:sz w:val="19"/>
                <w:szCs w:val="19"/>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100" w:type="dxa"/>
            <w:vAlign w:val="bottom"/>
            <w:gridSpan w:val="4"/>
          </w:tcPr>
          <w:p>
            <w:pPr>
              <w:jc w:val="right"/>
              <w:ind w:right="241"/>
              <w:spacing w:after="0"/>
              <w:rPr>
                <w:sz w:val="20"/>
                <w:szCs w:val="20"/>
                <w:color w:val="auto"/>
              </w:rPr>
            </w:pPr>
            <w:r>
              <w:rPr>
                <w:rFonts w:ascii="Arial" w:cs="Arial" w:eastAsia="Arial" w:hAnsi="Arial"/>
                <w:sz w:val="18"/>
                <w:szCs w:val="18"/>
                <w:color w:val="auto"/>
              </w:rPr>
              <w:t>72,646</w:t>
            </w:r>
          </w:p>
        </w:tc>
        <w:tc>
          <w:tcPr>
            <w:tcW w:w="160" w:type="dxa"/>
            <w:vAlign w:val="bottom"/>
          </w:tcPr>
          <w:p>
            <w:pPr>
              <w:spacing w:after="0"/>
              <w:rPr>
                <w:sz w:val="19"/>
                <w:szCs w:val="19"/>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w w:val="97"/>
              </w:rPr>
              <w:t>$   36,631</w:t>
            </w:r>
          </w:p>
        </w:tc>
        <w:tc>
          <w:tcPr>
            <w:tcW w:w="180" w:type="dxa"/>
            <w:vAlign w:val="bottom"/>
          </w:tcPr>
          <w:p>
            <w:pPr>
              <w:spacing w:after="0"/>
              <w:rPr>
                <w:sz w:val="19"/>
                <w:szCs w:val="19"/>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(21,362)</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434,580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4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2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assets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7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1,118,177</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1,173,470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Accounts receivable, net, including unbilled of $130,697 and $72,048, respectively</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687,223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565,853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receivable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126,388</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2,041,070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1,979,320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Equipment and leasehold improvements, net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277,907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1,883,064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1,933,154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443,182</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4,645,223</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4,636,572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4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1780" w:type="dxa"/>
            <w:vAlign w:val="bottom"/>
            <w:gridSpan w:val="2"/>
          </w:tcPr>
          <w:p>
            <w:pPr>
              <w:ind w:left="16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690,823</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594,603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Deferred revenue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145,184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1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29,551</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1,065,558</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1,011,206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546,463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Shareholders’ equity</w:t>
            </w:r>
          </w:p>
        </w:tc>
        <w:tc>
          <w:tcPr>
            <w:tcW w:w="1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3,033,202</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3,023,301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7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4,645,223</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4,636,572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$ 391,371</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346,665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jc w:val="right"/>
              <w:spacing w:after="0"/>
              <w:rPr>
                <w:sz w:val="20"/>
                <w:szCs w:val="20"/>
                <w:color w:val="auto"/>
              </w:rPr>
            </w:pPr>
            <w:r>
              <w:rPr>
                <w:rFonts w:ascii="Arial" w:cs="Arial" w:eastAsia="Arial" w:hAnsi="Arial"/>
                <w:sz w:val="18"/>
                <w:szCs w:val="18"/>
                <w:color w:val="auto"/>
              </w:rPr>
              <w:t>159,614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Equity-based compensation expense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(4,857)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equity-based compensation</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Gain on sale of investments</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(9,172)</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short-term interest-bearing investments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(106,551)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720" w:type="dxa"/>
            <w:vAlign w:val="bottom"/>
          </w:tcPr>
          <w:p>
            <w:pPr>
              <w:jc w:val="right"/>
              <w:spacing w:after="0"/>
              <w:rPr>
                <w:sz w:val="20"/>
                <w:szCs w:val="20"/>
                <w:color w:val="auto"/>
              </w:rPr>
            </w:pPr>
            <w:r>
              <w:rPr>
                <w:rFonts w:ascii="Arial" w:cs="Arial" w:eastAsia="Arial" w:hAnsi="Arial"/>
                <w:sz w:val="18"/>
                <w:szCs w:val="18"/>
                <w:color w:val="auto"/>
              </w:rPr>
              <w:t>1,601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Accounts payable, accrued expenses and accrued personnel</w:t>
            </w:r>
          </w:p>
        </w:tc>
        <w:tc>
          <w:tcPr>
            <w:tcW w:w="720" w:type="dxa"/>
            <w:vAlign w:val="bottom"/>
          </w:tcPr>
          <w:p>
            <w:pPr>
              <w:jc w:val="right"/>
              <w:spacing w:after="0"/>
              <w:rPr>
                <w:sz w:val="20"/>
                <w:szCs w:val="20"/>
                <w:color w:val="auto"/>
              </w:rPr>
            </w:pPr>
            <w:r>
              <w:rPr>
                <w:rFonts w:ascii="Arial" w:cs="Arial" w:eastAsia="Arial" w:hAnsi="Arial"/>
                <w:sz w:val="18"/>
                <w:szCs w:val="18"/>
                <w:color w:val="auto"/>
              </w:rPr>
              <w:t>60,200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(46,976)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(55,811)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Income taxes payable, net</w:t>
            </w:r>
          </w:p>
        </w:tc>
        <w:tc>
          <w:tcPr>
            <w:tcW w:w="720" w:type="dxa"/>
            <w:vAlign w:val="bottom"/>
          </w:tcPr>
          <w:p>
            <w:pPr>
              <w:jc w:val="right"/>
              <w:spacing w:after="0"/>
              <w:rPr>
                <w:sz w:val="20"/>
                <w:szCs w:val="20"/>
                <w:color w:val="auto"/>
              </w:rPr>
            </w:pPr>
            <w:r>
              <w:rPr>
                <w:rFonts w:ascii="Arial" w:cs="Arial" w:eastAsia="Arial" w:hAnsi="Arial"/>
                <w:sz w:val="18"/>
                <w:szCs w:val="18"/>
                <w:color w:val="auto"/>
              </w:rPr>
              <w:t>14,305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(2,654)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10,876</w:t>
            </w:r>
          </w:p>
        </w:tc>
        <w:tc>
          <w:tcPr>
            <w:tcW w:w="0" w:type="dxa"/>
            <w:vAlign w:val="bottom"/>
          </w:tcPr>
          <w:p>
            <w:pPr>
              <w:spacing w:after="0"/>
              <w:rPr>
                <w:sz w:val="1"/>
                <w:szCs w:val="1"/>
                <w:color w:val="auto"/>
              </w:rPr>
            </w:pP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514,069</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535,492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(122,053)</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(109,779)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440,145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(337,989)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(521,999)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(162,964)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Cash received from sale of investments</w:t>
            </w:r>
          </w:p>
        </w:tc>
        <w:tc>
          <w:tcPr>
            <w:tcW w:w="720" w:type="dxa"/>
            <w:vAlign w:val="bottom"/>
          </w:tcPr>
          <w:p>
            <w:pPr>
              <w:jc w:val="right"/>
              <w:spacing w:after="0"/>
              <w:rPr>
                <w:sz w:val="20"/>
                <w:szCs w:val="20"/>
                <w:color w:val="auto"/>
              </w:rPr>
            </w:pPr>
            <w:r>
              <w:rPr>
                <w:rFonts w:ascii="Arial" w:cs="Arial" w:eastAsia="Arial" w:hAnsi="Arial"/>
                <w:sz w:val="18"/>
                <w:szCs w:val="18"/>
                <w:color w:val="auto"/>
              </w:rPr>
              <w:t>11,172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(8,564)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(18,076)</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340" w:type="dxa"/>
            <w:vAlign w:val="bottom"/>
            <w:gridSpan w:val="2"/>
            <w:vMerge w:val="continue"/>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(17,289)</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(221,671)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7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Borrowings under financing arrangements</w:t>
            </w: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(250,000)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Repurchase of shares</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(484,608)</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(624,241)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86,674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Payments under capital lease, short-term financing arrangements and other</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(1,059)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(448,993)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(518,645)</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40" w:type="dxa"/>
            <w:vAlign w:val="bottom"/>
            <w:gridSpan w:val="2"/>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47,787</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(204,824)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831,371</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1,036,195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$ 879,158</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831,371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7" w:name="page18"/>
    <w:bookmarkEnd w:id="1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Supplementary Information</w:t>
      </w:r>
    </w:p>
    <w:p>
      <w:pPr>
        <w:spacing w:after="0" w:line="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w:t>
      </w:r>
    </w:p>
    <w:p>
      <w:pPr>
        <w:sectPr>
          <w:pgSz w:w="11900" w:h="16838" w:orient="portrait"/>
          <w:cols w:equalWidth="0" w:num="1">
            <w:col w:w="11320"/>
          </w:cols>
          <w:pgMar w:left="24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Europe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Rest of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Emerging Markets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Managed Services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Customer Experience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Directory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12-Month Backlog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 #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129"/>
        </w:trPr>
        <w:tc>
          <w:tcPr>
            <w:tcW w:w="8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4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June 30,</w:t>
            </w:r>
          </w:p>
        </w:tc>
        <w:tc>
          <w:tcPr>
            <w:tcW w:w="4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March 31,</w:t>
            </w: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4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r>
      <w:tr>
        <w:trPr>
          <w:trHeight w:val="161"/>
        </w:trPr>
        <w:tc>
          <w:tcPr>
            <w:tcW w:w="80" w:type="dxa"/>
            <w:vAlign w:val="bottom"/>
          </w:tcPr>
          <w:p>
            <w:pPr>
              <w:spacing w:after="0"/>
              <w:rPr>
                <w:sz w:val="14"/>
                <w:szCs w:val="14"/>
                <w:color w:val="auto"/>
              </w:rPr>
            </w:pPr>
          </w:p>
        </w:tc>
        <w:tc>
          <w:tcPr>
            <w:tcW w:w="74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940" w:type="dxa"/>
            <w:vAlign w:val="bottom"/>
            <w:gridSpan w:val="2"/>
          </w:tcPr>
          <w:p>
            <w:pPr>
              <w:jc w:val="center"/>
              <w:ind w:left="345"/>
              <w:spacing w:after="0"/>
              <w:rPr>
                <w:sz w:val="20"/>
                <w:szCs w:val="20"/>
                <w:color w:val="auto"/>
              </w:rPr>
            </w:pPr>
            <w:r>
              <w:rPr>
                <w:rFonts w:ascii="Arial" w:cs="Arial" w:eastAsia="Arial" w:hAnsi="Arial"/>
                <w:sz w:val="14"/>
                <w:szCs w:val="14"/>
                <w:b w:val="1"/>
                <w:bCs w:val="1"/>
                <w:color w:val="auto"/>
                <w:w w:val="89"/>
              </w:rPr>
              <w:t>2012</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ind w:right="40"/>
              <w:spacing w:after="0"/>
              <w:rPr>
                <w:sz w:val="20"/>
                <w:szCs w:val="20"/>
                <w:color w:val="auto"/>
              </w:rPr>
            </w:pPr>
            <w:r>
              <w:rPr>
                <w:rFonts w:ascii="Arial" w:cs="Arial" w:eastAsia="Arial" w:hAnsi="Arial"/>
                <w:sz w:val="14"/>
                <w:szCs w:val="14"/>
                <w:b w:val="1"/>
                <w:bCs w:val="1"/>
                <w:color w:val="auto"/>
                <w:w w:val="83"/>
              </w:rPr>
              <w:t>2012</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1"/>
              <w:spacing w:after="0"/>
              <w:rPr>
                <w:sz w:val="20"/>
                <w:szCs w:val="20"/>
                <w:color w:val="auto"/>
              </w:rPr>
            </w:pPr>
            <w:r>
              <w:rPr>
                <w:rFonts w:ascii="Arial" w:cs="Arial" w:eastAsia="Arial" w:hAnsi="Arial"/>
                <w:sz w:val="14"/>
                <w:szCs w:val="14"/>
                <w:b w:val="1"/>
                <w:bCs w:val="1"/>
                <w:color w:val="auto"/>
                <w:w w:val="83"/>
              </w:rPr>
              <w:t>2011</w:t>
            </w:r>
          </w:p>
        </w:tc>
      </w:tr>
      <w:tr>
        <w:trPr>
          <w:trHeight w:val="201"/>
        </w:trPr>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570.4</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$558.7</w:t>
            </w:r>
          </w:p>
        </w:tc>
        <w:tc>
          <w:tcPr>
            <w:tcW w:w="4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7"/>
              </w:rPr>
              <w:t>563.2</w:t>
            </w:r>
          </w:p>
        </w:tc>
        <w:tc>
          <w:tcPr>
            <w:tcW w:w="460" w:type="dxa"/>
            <w:vAlign w:val="bottom"/>
          </w:tcPr>
          <w:p>
            <w:pPr>
              <w:spacing w:after="0"/>
              <w:rPr>
                <w:sz w:val="17"/>
                <w:szCs w:val="17"/>
                <w:color w:val="auto"/>
              </w:rPr>
            </w:pPr>
          </w:p>
        </w:tc>
        <w:tc>
          <w:tcPr>
            <w:tcW w:w="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573.8</w:t>
            </w:r>
          </w:p>
        </w:tc>
        <w:tc>
          <w:tcPr>
            <w:tcW w:w="460" w:type="dxa"/>
            <w:vAlign w:val="bottom"/>
          </w:tcPr>
          <w:p>
            <w:pPr>
              <w:spacing w:after="0"/>
              <w:rPr>
                <w:sz w:val="17"/>
                <w:szCs w:val="17"/>
                <w:color w:val="auto"/>
              </w:rPr>
            </w:pPr>
          </w:p>
        </w:tc>
        <w:tc>
          <w:tcPr>
            <w:tcW w:w="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585.1</w:t>
            </w:r>
          </w:p>
        </w:tc>
      </w:tr>
      <w:tr>
        <w:trPr>
          <w:trHeight w:val="216"/>
        </w:trPr>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113.1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106.5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111.8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102.0</w:t>
            </w:r>
          </w:p>
        </w:tc>
      </w:tr>
      <w:tr>
        <w:trPr>
          <w:trHeight w:val="223"/>
        </w:trPr>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138.6</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133.9</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r>
      <w:tr>
        <w:trPr>
          <w:trHeight w:val="223"/>
        </w:trPr>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822.1</w:t>
            </w:r>
          </w:p>
        </w:tc>
        <w:tc>
          <w:tcPr>
            <w:tcW w:w="20" w:type="dxa"/>
            <w:vAlign w:val="bottom"/>
          </w:tcPr>
          <w:p>
            <w:pPr>
              <w:spacing w:after="0"/>
              <w:rPr>
                <w:sz w:val="19"/>
                <w:szCs w:val="19"/>
                <w:color w:val="auto"/>
              </w:rPr>
            </w:pPr>
          </w:p>
        </w:tc>
        <w:tc>
          <w:tcPr>
            <w:tcW w:w="940" w:type="dxa"/>
            <w:vAlign w:val="bottom"/>
            <w:gridSpan w:val="2"/>
          </w:tcPr>
          <w:p>
            <w:pPr>
              <w:jc w:val="center"/>
              <w:ind w:left="365"/>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808.8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808.9</w:t>
            </w:r>
          </w:p>
        </w:tc>
        <w:tc>
          <w:tcPr>
            <w:tcW w:w="4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807.</w:t>
            </w:r>
            <w:r>
              <w:rPr>
                <w:rFonts w:ascii="Arial" w:cs="Arial" w:eastAsia="Arial" w:hAnsi="Arial"/>
                <w:sz w:val="18"/>
                <w:szCs w:val="18"/>
                <w:u w:val="single" w:color="auto"/>
                <w:color w:val="auto"/>
              </w:rPr>
              <w:t>0</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812.2</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360"/>
        </w:trPr>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left="204"/>
              <w:spacing w:after="0"/>
              <w:rPr>
                <w:sz w:val="20"/>
                <w:szCs w:val="20"/>
                <w:color w:val="auto"/>
              </w:rPr>
            </w:pPr>
            <w:r>
              <w:rPr>
                <w:rFonts w:ascii="Arial" w:cs="Arial" w:eastAsia="Arial" w:hAnsi="Arial"/>
                <w:sz w:val="14"/>
                <w:szCs w:val="14"/>
                <w:b w:val="1"/>
                <w:bCs w:val="1"/>
                <w:color w:val="auto"/>
                <w:w w:val="85"/>
              </w:rPr>
              <w:t>Three months ended</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29"/>
        </w:trPr>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44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June 30,</w:t>
            </w:r>
          </w:p>
        </w:tc>
        <w:tc>
          <w:tcPr>
            <w:tcW w:w="460" w:type="dxa"/>
            <w:vAlign w:val="bottom"/>
          </w:tcPr>
          <w:p>
            <w:pPr>
              <w:spacing w:after="0"/>
              <w:rPr>
                <w:sz w:val="11"/>
                <w:szCs w:val="11"/>
                <w:color w:val="auto"/>
              </w:rPr>
            </w:pPr>
          </w:p>
        </w:tc>
        <w:tc>
          <w:tcPr>
            <w:tcW w:w="1040" w:type="dxa"/>
            <w:vAlign w:val="bottom"/>
            <w:gridSpan w:val="3"/>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March 31,</w:t>
            </w: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4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r>
      <w:tr>
        <w:trPr>
          <w:trHeight w:val="161"/>
        </w:trPr>
        <w:tc>
          <w:tcPr>
            <w:tcW w:w="80" w:type="dxa"/>
            <w:vAlign w:val="bottom"/>
          </w:tcPr>
          <w:p>
            <w:pPr>
              <w:spacing w:after="0"/>
              <w:rPr>
                <w:sz w:val="14"/>
                <w:szCs w:val="14"/>
                <w:color w:val="auto"/>
              </w:rPr>
            </w:pPr>
          </w:p>
        </w:tc>
        <w:tc>
          <w:tcPr>
            <w:tcW w:w="74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940" w:type="dxa"/>
            <w:vAlign w:val="bottom"/>
            <w:gridSpan w:val="2"/>
          </w:tcPr>
          <w:p>
            <w:pPr>
              <w:jc w:val="center"/>
              <w:ind w:left="345"/>
              <w:spacing w:after="0"/>
              <w:rPr>
                <w:sz w:val="20"/>
                <w:szCs w:val="20"/>
                <w:color w:val="auto"/>
              </w:rPr>
            </w:pPr>
            <w:r>
              <w:rPr>
                <w:rFonts w:ascii="Arial" w:cs="Arial" w:eastAsia="Arial" w:hAnsi="Arial"/>
                <w:sz w:val="14"/>
                <w:szCs w:val="14"/>
                <w:b w:val="1"/>
                <w:bCs w:val="1"/>
                <w:color w:val="auto"/>
                <w:w w:val="89"/>
              </w:rPr>
              <w:t>2012</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ind w:right="40"/>
              <w:spacing w:after="0"/>
              <w:rPr>
                <w:sz w:val="20"/>
                <w:szCs w:val="20"/>
                <w:color w:val="auto"/>
              </w:rPr>
            </w:pPr>
            <w:r>
              <w:rPr>
                <w:rFonts w:ascii="Arial" w:cs="Arial" w:eastAsia="Arial" w:hAnsi="Arial"/>
                <w:sz w:val="14"/>
                <w:szCs w:val="14"/>
                <w:b w:val="1"/>
                <w:bCs w:val="1"/>
                <w:color w:val="auto"/>
                <w:w w:val="83"/>
              </w:rPr>
              <w:t>2012</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1"/>
              <w:spacing w:after="0"/>
              <w:rPr>
                <w:sz w:val="20"/>
                <w:szCs w:val="20"/>
                <w:color w:val="auto"/>
              </w:rPr>
            </w:pPr>
            <w:r>
              <w:rPr>
                <w:rFonts w:ascii="Arial" w:cs="Arial" w:eastAsia="Arial" w:hAnsi="Arial"/>
                <w:sz w:val="14"/>
                <w:szCs w:val="14"/>
                <w:b w:val="1"/>
                <w:bCs w:val="1"/>
                <w:color w:val="auto"/>
                <w:w w:val="83"/>
              </w:rPr>
              <w:t>2011</w:t>
            </w:r>
          </w:p>
        </w:tc>
      </w:tr>
      <w:tr>
        <w:trPr>
          <w:trHeight w:val="216"/>
        </w:trPr>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$101.7</w:t>
            </w:r>
          </w:p>
        </w:tc>
        <w:tc>
          <w:tcPr>
            <w:tcW w:w="4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w:t>
            </w:r>
          </w:p>
        </w:tc>
      </w:tr>
      <w:tr>
        <w:trPr>
          <w:trHeight w:val="358"/>
        </w:trPr>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left="204"/>
              <w:spacing w:after="0"/>
              <w:rPr>
                <w:sz w:val="20"/>
                <w:szCs w:val="20"/>
                <w:color w:val="auto"/>
              </w:rPr>
            </w:pPr>
            <w:r>
              <w:rPr>
                <w:rFonts w:ascii="Arial" w:cs="Arial" w:eastAsia="Arial" w:hAnsi="Arial"/>
                <w:sz w:val="14"/>
                <w:szCs w:val="14"/>
                <w:b w:val="1"/>
                <w:bCs w:val="1"/>
                <w:color w:val="auto"/>
                <w:w w:val="85"/>
              </w:rPr>
              <w:t>Three months ended</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29"/>
        </w:trPr>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44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June 30,</w:t>
            </w:r>
          </w:p>
        </w:tc>
        <w:tc>
          <w:tcPr>
            <w:tcW w:w="460" w:type="dxa"/>
            <w:vAlign w:val="bottom"/>
          </w:tcPr>
          <w:p>
            <w:pPr>
              <w:spacing w:after="0"/>
              <w:rPr>
                <w:sz w:val="11"/>
                <w:szCs w:val="11"/>
                <w:color w:val="auto"/>
              </w:rPr>
            </w:pPr>
          </w:p>
        </w:tc>
        <w:tc>
          <w:tcPr>
            <w:tcW w:w="1040" w:type="dxa"/>
            <w:vAlign w:val="bottom"/>
            <w:gridSpan w:val="3"/>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March 31,</w:t>
            </w: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4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r>
      <w:tr>
        <w:trPr>
          <w:trHeight w:val="161"/>
        </w:trPr>
        <w:tc>
          <w:tcPr>
            <w:tcW w:w="80" w:type="dxa"/>
            <w:vAlign w:val="bottom"/>
          </w:tcPr>
          <w:p>
            <w:pPr>
              <w:spacing w:after="0"/>
              <w:rPr>
                <w:sz w:val="14"/>
                <w:szCs w:val="14"/>
                <w:color w:val="auto"/>
              </w:rPr>
            </w:pPr>
          </w:p>
        </w:tc>
        <w:tc>
          <w:tcPr>
            <w:tcW w:w="74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940" w:type="dxa"/>
            <w:vAlign w:val="bottom"/>
            <w:gridSpan w:val="2"/>
          </w:tcPr>
          <w:p>
            <w:pPr>
              <w:jc w:val="center"/>
              <w:ind w:left="345"/>
              <w:spacing w:after="0"/>
              <w:rPr>
                <w:sz w:val="20"/>
                <w:szCs w:val="20"/>
                <w:color w:val="auto"/>
              </w:rPr>
            </w:pPr>
            <w:r>
              <w:rPr>
                <w:rFonts w:ascii="Arial" w:cs="Arial" w:eastAsia="Arial" w:hAnsi="Arial"/>
                <w:sz w:val="14"/>
                <w:szCs w:val="14"/>
                <w:b w:val="1"/>
                <w:bCs w:val="1"/>
                <w:color w:val="auto"/>
                <w:w w:val="89"/>
              </w:rPr>
              <w:t>2012</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ind w:right="40"/>
              <w:spacing w:after="0"/>
              <w:rPr>
                <w:sz w:val="20"/>
                <w:szCs w:val="20"/>
                <w:color w:val="auto"/>
              </w:rPr>
            </w:pPr>
            <w:r>
              <w:rPr>
                <w:rFonts w:ascii="Arial" w:cs="Arial" w:eastAsia="Arial" w:hAnsi="Arial"/>
                <w:sz w:val="14"/>
                <w:szCs w:val="14"/>
                <w:b w:val="1"/>
                <w:bCs w:val="1"/>
                <w:color w:val="auto"/>
                <w:w w:val="83"/>
              </w:rPr>
              <w:t>2012</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1"/>
              <w:spacing w:after="0"/>
              <w:rPr>
                <w:sz w:val="20"/>
                <w:szCs w:val="20"/>
                <w:color w:val="auto"/>
              </w:rPr>
            </w:pPr>
            <w:r>
              <w:rPr>
                <w:rFonts w:ascii="Arial" w:cs="Arial" w:eastAsia="Arial" w:hAnsi="Arial"/>
                <w:sz w:val="14"/>
                <w:szCs w:val="14"/>
                <w:b w:val="1"/>
                <w:bCs w:val="1"/>
                <w:color w:val="auto"/>
                <w:w w:val="83"/>
              </w:rPr>
              <w:t>2011</w:t>
            </w:r>
          </w:p>
        </w:tc>
      </w:tr>
      <w:tr>
        <w:trPr>
          <w:trHeight w:val="216"/>
        </w:trPr>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$426.8</w:t>
            </w:r>
          </w:p>
        </w:tc>
        <w:tc>
          <w:tcPr>
            <w:tcW w:w="4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414.4</w:t>
            </w: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419.7</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384.8</w:t>
            </w:r>
          </w:p>
        </w:tc>
      </w:tr>
      <w:tr>
        <w:trPr>
          <w:trHeight w:val="358"/>
        </w:trPr>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left="204"/>
              <w:spacing w:after="0"/>
              <w:rPr>
                <w:sz w:val="20"/>
                <w:szCs w:val="20"/>
                <w:color w:val="auto"/>
              </w:rPr>
            </w:pPr>
            <w:r>
              <w:rPr>
                <w:rFonts w:ascii="Arial" w:cs="Arial" w:eastAsia="Arial" w:hAnsi="Arial"/>
                <w:sz w:val="14"/>
                <w:szCs w:val="14"/>
                <w:b w:val="1"/>
                <w:bCs w:val="1"/>
                <w:color w:val="auto"/>
                <w:w w:val="85"/>
              </w:rPr>
              <w:t>Three months ended</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29"/>
        </w:trPr>
        <w:tc>
          <w:tcPr>
            <w:tcW w:w="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9"/>
              </w:rPr>
              <w:t>September</w:t>
            </w: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21"/>
              <w:spacing w:after="0" w:line="129" w:lineRule="exact"/>
              <w:rPr>
                <w:sz w:val="20"/>
                <w:szCs w:val="20"/>
                <w:color w:val="auto"/>
              </w:rPr>
            </w:pPr>
            <w:r>
              <w:rPr>
                <w:rFonts w:ascii="Arial" w:cs="Arial" w:eastAsia="Arial" w:hAnsi="Arial"/>
                <w:sz w:val="14"/>
                <w:szCs w:val="14"/>
                <w:b w:val="1"/>
                <w:bCs w:val="1"/>
                <w:color w:val="auto"/>
                <w:w w:val="82"/>
              </w:rPr>
              <w:t>September</w:t>
            </w:r>
          </w:p>
        </w:tc>
      </w:tr>
      <w:tr>
        <w:trPr>
          <w:trHeight w:val="149"/>
        </w:trPr>
        <w:tc>
          <w:tcPr>
            <w:tcW w:w="80" w:type="dxa"/>
            <w:vAlign w:val="bottom"/>
          </w:tcPr>
          <w:p>
            <w:pPr>
              <w:spacing w:after="0"/>
              <w:rPr>
                <w:sz w:val="12"/>
                <w:szCs w:val="12"/>
                <w:color w:val="auto"/>
              </w:rPr>
            </w:pPr>
          </w:p>
        </w:tc>
        <w:tc>
          <w:tcPr>
            <w:tcW w:w="7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1"/>
              </w:rPr>
              <w:t>30,</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June 30,</w:t>
            </w:r>
          </w:p>
        </w:tc>
        <w:tc>
          <w:tcPr>
            <w:tcW w:w="460" w:type="dxa"/>
            <w:vAlign w:val="bottom"/>
          </w:tcPr>
          <w:p>
            <w:pPr>
              <w:spacing w:after="0"/>
              <w:rPr>
                <w:sz w:val="12"/>
                <w:szCs w:val="12"/>
                <w:color w:val="auto"/>
              </w:rPr>
            </w:pPr>
          </w:p>
        </w:tc>
        <w:tc>
          <w:tcPr>
            <w:tcW w:w="10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March 31,</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2"/>
              </w:rPr>
              <w:t>30,</w:t>
            </w:r>
          </w:p>
        </w:tc>
      </w:tr>
      <w:tr>
        <w:trPr>
          <w:trHeight w:val="161"/>
        </w:trPr>
        <w:tc>
          <w:tcPr>
            <w:tcW w:w="80" w:type="dxa"/>
            <w:vAlign w:val="bottom"/>
          </w:tcPr>
          <w:p>
            <w:pPr>
              <w:spacing w:after="0"/>
              <w:rPr>
                <w:sz w:val="14"/>
                <w:szCs w:val="14"/>
                <w:color w:val="auto"/>
              </w:rPr>
            </w:pPr>
          </w:p>
        </w:tc>
        <w:tc>
          <w:tcPr>
            <w:tcW w:w="74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940" w:type="dxa"/>
            <w:vAlign w:val="bottom"/>
            <w:gridSpan w:val="2"/>
          </w:tcPr>
          <w:p>
            <w:pPr>
              <w:jc w:val="center"/>
              <w:ind w:left="345"/>
              <w:spacing w:after="0"/>
              <w:rPr>
                <w:sz w:val="20"/>
                <w:szCs w:val="20"/>
                <w:color w:val="auto"/>
              </w:rPr>
            </w:pPr>
            <w:r>
              <w:rPr>
                <w:rFonts w:ascii="Arial" w:cs="Arial" w:eastAsia="Arial" w:hAnsi="Arial"/>
                <w:sz w:val="14"/>
                <w:szCs w:val="14"/>
                <w:b w:val="1"/>
                <w:bCs w:val="1"/>
                <w:color w:val="auto"/>
                <w:w w:val="89"/>
              </w:rPr>
              <w:t>2012</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ind w:right="40"/>
              <w:spacing w:after="0"/>
              <w:rPr>
                <w:sz w:val="20"/>
                <w:szCs w:val="20"/>
                <w:color w:val="auto"/>
              </w:rPr>
            </w:pPr>
            <w:r>
              <w:rPr>
                <w:rFonts w:ascii="Arial" w:cs="Arial" w:eastAsia="Arial" w:hAnsi="Arial"/>
                <w:sz w:val="14"/>
                <w:szCs w:val="14"/>
                <w:b w:val="1"/>
                <w:bCs w:val="1"/>
                <w:color w:val="auto"/>
                <w:w w:val="83"/>
              </w:rPr>
              <w:t>2012</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1"/>
              <w:spacing w:after="0"/>
              <w:rPr>
                <w:sz w:val="20"/>
                <w:szCs w:val="20"/>
                <w:color w:val="auto"/>
              </w:rPr>
            </w:pPr>
            <w:r>
              <w:rPr>
                <w:rFonts w:ascii="Arial" w:cs="Arial" w:eastAsia="Arial" w:hAnsi="Arial"/>
                <w:sz w:val="14"/>
                <w:szCs w:val="14"/>
                <w:b w:val="1"/>
                <w:bCs w:val="1"/>
                <w:color w:val="auto"/>
                <w:w w:val="83"/>
              </w:rPr>
              <w:t>2011</w:t>
            </w:r>
          </w:p>
        </w:tc>
      </w:tr>
      <w:tr>
        <w:trPr>
          <w:trHeight w:val="201"/>
        </w:trPr>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783.1</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$766.2</w:t>
            </w:r>
          </w:p>
        </w:tc>
        <w:tc>
          <w:tcPr>
            <w:tcW w:w="4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7"/>
              </w:rPr>
              <w:t>758.9</w:t>
            </w:r>
          </w:p>
        </w:tc>
        <w:tc>
          <w:tcPr>
            <w:tcW w:w="460" w:type="dxa"/>
            <w:vAlign w:val="bottom"/>
          </w:tcPr>
          <w:p>
            <w:pPr>
              <w:spacing w:after="0"/>
              <w:rPr>
                <w:sz w:val="17"/>
                <w:szCs w:val="17"/>
                <w:color w:val="auto"/>
              </w:rPr>
            </w:pPr>
          </w:p>
        </w:tc>
        <w:tc>
          <w:tcPr>
            <w:tcW w:w="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758.0</w:t>
            </w:r>
          </w:p>
        </w:tc>
        <w:tc>
          <w:tcPr>
            <w:tcW w:w="460" w:type="dxa"/>
            <w:vAlign w:val="bottom"/>
          </w:tcPr>
          <w:p>
            <w:pPr>
              <w:spacing w:after="0"/>
              <w:rPr>
                <w:sz w:val="17"/>
                <w:szCs w:val="17"/>
                <w:color w:val="auto"/>
              </w:rPr>
            </w:pPr>
          </w:p>
        </w:tc>
        <w:tc>
          <w:tcPr>
            <w:tcW w:w="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764.6</w:t>
            </w:r>
          </w:p>
        </w:tc>
      </w:tr>
      <w:tr>
        <w:trPr>
          <w:trHeight w:val="223"/>
        </w:trPr>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39.0</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r>
      <w:tr>
        <w:trPr>
          <w:trHeight w:val="223"/>
        </w:trPr>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822.1</w:t>
            </w:r>
          </w:p>
        </w:tc>
        <w:tc>
          <w:tcPr>
            <w:tcW w:w="20" w:type="dxa"/>
            <w:vAlign w:val="bottom"/>
          </w:tcPr>
          <w:p>
            <w:pPr>
              <w:spacing w:after="0"/>
              <w:rPr>
                <w:sz w:val="19"/>
                <w:szCs w:val="19"/>
                <w:color w:val="auto"/>
              </w:rPr>
            </w:pPr>
          </w:p>
        </w:tc>
        <w:tc>
          <w:tcPr>
            <w:tcW w:w="940" w:type="dxa"/>
            <w:vAlign w:val="bottom"/>
            <w:gridSpan w:val="2"/>
          </w:tcPr>
          <w:p>
            <w:pPr>
              <w:jc w:val="center"/>
              <w:ind w:left="365"/>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808.8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808.9</w:t>
            </w:r>
          </w:p>
        </w:tc>
        <w:tc>
          <w:tcPr>
            <w:tcW w:w="4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807.</w:t>
            </w:r>
            <w:r>
              <w:rPr>
                <w:rFonts w:ascii="Arial" w:cs="Arial" w:eastAsia="Arial" w:hAnsi="Arial"/>
                <w:sz w:val="18"/>
                <w:szCs w:val="18"/>
                <w:u w:val="single" w:color="auto"/>
                <w:color w:val="auto"/>
              </w:rPr>
              <w:t>0</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812.2</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360"/>
        </w:trPr>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As of</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29"/>
        </w:trPr>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44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June 30,</w:t>
            </w:r>
          </w:p>
        </w:tc>
        <w:tc>
          <w:tcPr>
            <w:tcW w:w="460" w:type="dxa"/>
            <w:vAlign w:val="bottom"/>
          </w:tcPr>
          <w:p>
            <w:pPr>
              <w:spacing w:after="0"/>
              <w:rPr>
                <w:sz w:val="11"/>
                <w:szCs w:val="11"/>
                <w:color w:val="auto"/>
              </w:rPr>
            </w:pPr>
          </w:p>
        </w:tc>
        <w:tc>
          <w:tcPr>
            <w:tcW w:w="1040" w:type="dxa"/>
            <w:vAlign w:val="bottom"/>
            <w:gridSpan w:val="3"/>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March 31,</w:t>
            </w: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4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r>
      <w:tr>
        <w:trPr>
          <w:trHeight w:val="161"/>
        </w:trPr>
        <w:tc>
          <w:tcPr>
            <w:tcW w:w="80" w:type="dxa"/>
            <w:vAlign w:val="bottom"/>
          </w:tcPr>
          <w:p>
            <w:pPr>
              <w:spacing w:after="0"/>
              <w:rPr>
                <w:sz w:val="14"/>
                <w:szCs w:val="14"/>
                <w:color w:val="auto"/>
              </w:rPr>
            </w:pPr>
          </w:p>
        </w:tc>
        <w:tc>
          <w:tcPr>
            <w:tcW w:w="74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940" w:type="dxa"/>
            <w:vAlign w:val="bottom"/>
            <w:gridSpan w:val="2"/>
          </w:tcPr>
          <w:p>
            <w:pPr>
              <w:jc w:val="center"/>
              <w:ind w:left="345"/>
              <w:spacing w:after="0"/>
              <w:rPr>
                <w:sz w:val="20"/>
                <w:szCs w:val="20"/>
                <w:color w:val="auto"/>
              </w:rPr>
            </w:pPr>
            <w:r>
              <w:rPr>
                <w:rFonts w:ascii="Arial" w:cs="Arial" w:eastAsia="Arial" w:hAnsi="Arial"/>
                <w:sz w:val="14"/>
                <w:szCs w:val="14"/>
                <w:b w:val="1"/>
                <w:bCs w:val="1"/>
                <w:color w:val="auto"/>
                <w:w w:val="89"/>
              </w:rPr>
              <w:t>2012</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ind w:right="40"/>
              <w:spacing w:after="0"/>
              <w:rPr>
                <w:sz w:val="20"/>
                <w:szCs w:val="20"/>
                <w:color w:val="auto"/>
              </w:rPr>
            </w:pPr>
            <w:r>
              <w:rPr>
                <w:rFonts w:ascii="Arial" w:cs="Arial" w:eastAsia="Arial" w:hAnsi="Arial"/>
                <w:sz w:val="14"/>
                <w:szCs w:val="14"/>
                <w:b w:val="1"/>
                <w:bCs w:val="1"/>
                <w:color w:val="auto"/>
                <w:w w:val="83"/>
              </w:rPr>
              <w:t>2012</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1"/>
              <w:spacing w:after="0"/>
              <w:rPr>
                <w:sz w:val="20"/>
                <w:szCs w:val="20"/>
                <w:color w:val="auto"/>
              </w:rPr>
            </w:pPr>
            <w:r>
              <w:rPr>
                <w:rFonts w:ascii="Arial" w:cs="Arial" w:eastAsia="Arial" w:hAnsi="Arial"/>
                <w:sz w:val="14"/>
                <w:szCs w:val="14"/>
                <w:b w:val="1"/>
                <w:bCs w:val="1"/>
                <w:color w:val="auto"/>
                <w:w w:val="83"/>
              </w:rPr>
              <w:t>2011</w:t>
            </w:r>
          </w:p>
        </w:tc>
      </w:tr>
      <w:tr>
        <w:trPr>
          <w:trHeight w:val="210"/>
        </w:trPr>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2,790</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2,760</w:t>
            </w:r>
          </w:p>
        </w:tc>
        <w:tc>
          <w:tcPr>
            <w:tcW w:w="4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2,725</w:t>
            </w:r>
          </w:p>
        </w:tc>
        <w:tc>
          <w:tcPr>
            <w:tcW w:w="4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4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2,670</w:t>
            </w:r>
          </w:p>
        </w:tc>
      </w:tr>
    </w:tbl>
    <w:p>
      <w:pPr>
        <w:spacing w:after="0" w:line="1" w:lineRule="exact"/>
        <w:rPr>
          <w:sz w:val="20"/>
          <w:szCs w:val="20"/>
          <w:color w:val="auto"/>
        </w:rPr>
      </w:pPr>
    </w:p>
    <w:sectPr>
      <w:pgSz w:w="11900" w:h="16838" w:orient="portrait"/>
      <w:cols w:equalWidth="0" w:num="2">
        <w:col w:w="5880" w:space="80"/>
        <w:col w:w="5360"/>
      </w:cols>
      <w:pgMar w:left="240" w:top="27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2019-12-09T12:46:18Z</dcterms:created>
  <dcterms:modified xsi:type="dcterms:W3CDTF">2019-12-09T12:46:18Z</dcterms:modified>
</cp:coreProperties>
</file>