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4"/>
          <w:szCs w:val="14"/>
          <w:color w:val="auto"/>
        </w:rPr>
        <w:t>As filed with the Securities and Exchange Commission on October 29, 2004</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Registration Statement No. 333-114344</w:t>
      </w:r>
    </w:p>
    <w:p>
      <w:pPr>
        <w:spacing w:after="0" w:line="8"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Post-Effective Amendment No. 2 to</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ISLAND OF GUERNSEY</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47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(State or other jurisdiction of incorporation or</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00" w:type="dxa"/>
            <w:vAlign w:val="bottom"/>
          </w:tcPr>
          <w:p>
            <w:pPr>
              <w:ind w:left="1480"/>
              <w:spacing w:after="0"/>
              <w:rPr>
                <w:sz w:val="20"/>
                <w:szCs w:val="20"/>
                <w:color w:val="auto"/>
              </w:rPr>
            </w:pPr>
            <w:r>
              <w:rPr>
                <w:rFonts w:ascii="Courier New" w:cs="Courier New" w:eastAsia="Courier New" w:hAnsi="Courier New"/>
                <w:sz w:val="14"/>
                <w:szCs w:val="14"/>
                <w:color w:val="auto"/>
              </w:rPr>
              <w:t>organization)</w:t>
            </w:r>
          </w:p>
        </w:tc>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342"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WILMER CUTLER PICKERING 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230-8888</w:t>
      </w:r>
    </w:p>
    <w:p>
      <w:pPr>
        <w:spacing w:after="0" w:line="342" w:lineRule="exact"/>
        <w:rPr>
          <w:sz w:val="24"/>
          <w:szCs w:val="2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 SECURITIES ACT OF 1933 OR UNTIL THE REGISTRATION STATEMENT SHALL BECOME EFFECTIVE ON SUCH DATE AS THE COMMISSION, ACTING PURSUANT TO SAID SECTION 8(c), MAY DETERMINE.</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sectPr>
      </w:pPr>
    </w:p>
    <w:bookmarkStart w:id="1" w:name="page2"/>
    <w:bookmarkEnd w:id="1"/>
    <w:p>
      <w:pPr>
        <w:ind w:left="2780"/>
        <w:spacing w:after="0"/>
        <w:rPr>
          <w:sz w:val="20"/>
          <w:szCs w:val="20"/>
          <w:color w:val="auto"/>
        </w:rPr>
      </w:pPr>
      <w:r>
        <w:rPr>
          <w:rFonts w:ascii="Courier New" w:cs="Courier New" w:eastAsia="Courier New" w:hAnsi="Courier New"/>
          <w:sz w:val="14"/>
          <w:szCs w:val="14"/>
          <w:color w:val="auto"/>
        </w:rPr>
        <w:t>EXPLANATORY NOTE</w:t>
      </w:r>
    </w:p>
    <w:p>
      <w:pPr>
        <w:spacing w:after="0" w:line="200" w:lineRule="exact"/>
        <w:rPr>
          <w:sz w:val="20"/>
          <w:szCs w:val="20"/>
          <w:color w:val="auto"/>
        </w:r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Post-Effective Amendment No. 2 to Form F-3 is being filed to add the names and respective holdings of certain selling securityholders in the table under the caption "Selling Securityholders". Certain other information included herein has also been updated.</w:t>
      </w:r>
    </w:p>
    <w:p>
      <w:pPr>
        <w:sectPr>
          <w:pgSz w:w="11900" w:h="16838" w:orient="portrait"/>
          <w:cols w:equalWidth="0" w:num="1">
            <w:col w:w="10239"/>
          </w:cols>
          <w:pgMar w:left="220" w:top="6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787" w:right="1440" w:bottom="1440" w:gutter="0" w:footer="0" w:header="0"/>
        </w:sectPr>
      </w:pPr>
    </w:p>
    <w:bookmarkStart w:id="3" w:name="page4"/>
    <w:bookmarkEnd w:id="3"/>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October 27, 2004, the closing sale price of our ordinary shares on the New York Stock Exchange was $24.75 per share. You are urged to obtain current market quotations for our ordinary shares.</w:t>
      </w:r>
    </w:p>
    <w:p>
      <w:pPr>
        <w:spacing w:after="0" w:line="33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501"/>
        </w:trPr>
        <w:tc>
          <w:tcPr>
            <w:tcW w:w="38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THE DATE OF THIS PROSPECTUS IS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2004.</w:t>
            </w:r>
          </w:p>
        </w:tc>
      </w:tr>
    </w:tbl>
    <w:p>
      <w:pPr>
        <w:sectPr>
          <w:pgSz w:w="11900" w:h="16838" w:orient="portrait"/>
          <w:cols w:equalWidth="0" w:num="1">
            <w:col w:w="10239"/>
          </w:cols>
          <w:pgMar w:left="220" w:top="620" w:right="1440"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SUMMARY HISTORICAL CONSOLIDATED FINANCIAL INFORMATION</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MATERIAL CHANGES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VOTING/INVESTMENT CONTROL TABLE</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77</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6" w:name="page7"/>
    <w:bookmarkEnd w:id="6"/>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306" w:gutter="0" w:footer="0" w:header="0"/>
        </w:sectPr>
      </w:pPr>
    </w:p>
    <w:bookmarkStart w:id="7" w:name="page8"/>
    <w:bookmarkEnd w:id="7"/>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 w:name="page9"/>
    <w:bookmarkEnd w:id="8"/>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0" w:name="page11"/>
    <w:bookmarkEnd w:id="10"/>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1" w:name="page12"/>
    <w:bookmarkEnd w:id="11"/>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33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 w:name="page13"/>
    <w:bookmarkEnd w:id="12"/>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640" w:gutter="0" w:footer="0" w:header="0"/>
        </w:sectPr>
      </w:pPr>
    </w:p>
    <w:bookmarkStart w:id="13" w:name="page14"/>
    <w:bookmarkEnd w:id="13"/>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4" w:name="page15"/>
    <w:bookmarkEnd w:id="14"/>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974" w:gutter="0" w:footer="0" w:header="0"/>
        </w:sectPr>
      </w:pPr>
    </w:p>
    <w:bookmarkStart w:id="15" w:name="page16"/>
    <w:bookmarkEnd w:id="15"/>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7" w:name="page18"/>
    <w:bookmarkEnd w:id="17"/>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8" w:name="page19"/>
    <w:bookmarkEnd w:id="18"/>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9" w:name="page20"/>
    <w:bookmarkEnd w:id="19"/>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20" w:name="page21"/>
    <w:bookmarkEnd w:id="20"/>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October 27, 2004, the closing price of our ordinary shares was $24.75 per share. Many factors could cause the market price of our ordinary shares to rise and fall, including:</w:t>
      </w:r>
    </w:p>
    <w:p>
      <w:pPr>
        <w:spacing w:after="0" w:line="162"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2" w:name="page23"/>
    <w:bookmarkEnd w:id="22"/>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3" w:name="page24"/>
    <w:bookmarkEnd w:id="23"/>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5" w:name="page26"/>
    <w:bookmarkEnd w:id="25"/>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16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7" w:name="page28"/>
    <w:bookmarkEnd w:id="27"/>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October 27,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On October 27, 2004, the last reported sale price of our ordinary shares on the NYSE was $24.75.</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9" w:name="page30"/>
    <w:bookmarkEnd w:id="29"/>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0" w:name="page31"/>
    <w:bookmarkEnd w:id="30"/>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2" w:name="page33"/>
    <w:bookmarkEnd w:id="32"/>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4" w:name="page35"/>
    <w:bookmarkEnd w:id="34"/>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5" w:name="page36"/>
    <w:bookmarkEnd w:id="35"/>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7" w:name="page38"/>
    <w:bookmarkEnd w:id="37"/>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8" w:name="page39"/>
    <w:bookmarkEnd w:id="38"/>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39" w:name="page40"/>
    <w:bookmarkEnd w:id="39"/>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2" w:name="page43"/>
    <w:bookmarkEnd w:id="42"/>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3" w:name="page44"/>
    <w:bookmarkEnd w:id="43"/>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4" w:name="page45"/>
    <w:bookmarkEnd w:id="44"/>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5" w:name="page46"/>
    <w:bookmarkEnd w:id="45"/>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6" w:name="page47"/>
    <w:bookmarkEnd w:id="46"/>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7" w:name="page48"/>
    <w:bookmarkEnd w:id="47"/>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8" w:name="page49"/>
    <w:bookmarkEnd w:id="48"/>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9" w:name="page50"/>
    <w:bookmarkEnd w:id="49"/>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0" w:name="page51"/>
    <w:bookmarkEnd w:id="50"/>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1" w:name="page52"/>
    <w:bookmarkEnd w:id="51"/>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4" w:name="page55"/>
    <w:bookmarkEnd w:id="54"/>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6" w:name="page57"/>
    <w:bookmarkEnd w:id="56"/>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7" w:name="page58"/>
    <w:bookmarkEnd w:id="57"/>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8" w:name="page59"/>
    <w:bookmarkEnd w:id="5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ectPr>
          <w:pgSz w:w="11900" w:h="16839" w:orient="portrait"/>
          <w:cols w:equalWidth="0" w:num="1">
            <w:col w:w="11540"/>
          </w:cols>
          <w:pgMar w:left="220" w:top="1440" w:right="139" w:bottom="0" w:gutter="0" w:footer="0" w:header="0"/>
        </w:sectPr>
      </w:pPr>
    </w:p>
    <w:bookmarkStart w:id="59" w:name="page60"/>
    <w:bookmarkEnd w:id="5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62" w:orient="portrait"/>
          <w:cols w:equalWidth="0" w:num="1">
            <w:col w:w="11040"/>
          </w:cols>
          <w:pgMar w:left="220" w:top="308" w:right="639" w:bottom="0" w:gutter="0" w:footer="0" w:header="0"/>
        </w:sectPr>
      </w:pPr>
    </w:p>
    <w:bookmarkStart w:id="60" w:name="page61"/>
    <w:bookmarkEnd w:id="60"/>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Fund Services [Cayman] Limited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852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2" w:right="639" w:bottom="0" w:gutter="0" w:footer="0" w:header="0"/>
        </w:sectPr>
      </w:pPr>
    </w:p>
    <w:bookmarkStart w:id="61" w:name="page62"/>
    <w:bookmarkEnd w:id="6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Lehman Brothers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24,350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745 Seventh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Capital 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308" w:right="639" w:bottom="0" w:gutter="0" w:footer="0" w:header="0"/>
        </w:sectPr>
      </w:pPr>
    </w:p>
    <w:bookmarkStart w:id="62" w:name="page63"/>
    <w:bookmarkEnd w:id="6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State of Florida Division of Treasury................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Froley Revy Investment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10900 Wilshire Blvd. Ste. 900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Los Angeles, CA 90024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730 Third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 Fina Elf 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Life 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2" w:right="6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Vermont Mutual</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w w:val="97"/>
              </w:rPr>
              <w:t>Insurance Company......................</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White River Securities L.L.C. (2).....................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NY 10179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Worldwide Transactions Ltd............................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Transactions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5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Avenue, 26th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NY 10017</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10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2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or successor of any holder (3).......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101,015,190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2,342,692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141" w:right="639" w:bottom="1440" w:gutter="0" w:footer="0" w:header="0"/>
        </w:sectPr>
      </w:pPr>
    </w:p>
    <w:bookmarkStart w:id="64" w:name="page65"/>
    <w:bookmarkEnd w:id="64"/>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5" w:name="page66"/>
    <w:bookmarkEnd w:id="65"/>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987"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987"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International E MAC 63 Ltd. ...............................Adam Sterm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GLG Market Neutral Fund.......................................(7)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ind w:right="1840"/>
        <w:spacing w:after="0" w:line="464" w:lineRule="auto"/>
        <w:rPr>
          <w:sz w:val="20"/>
          <w:szCs w:val="20"/>
          <w:color w:val="auto"/>
        </w:rPr>
      </w:pPr>
      <w:r>
        <w:rPr>
          <w:rFonts w:ascii="Courier New" w:cs="Courier New" w:eastAsia="Courier New" w:hAnsi="Courier New"/>
          <w:sz w:val="14"/>
          <w:szCs w:val="14"/>
          <w:color w:val="auto"/>
        </w:rPr>
        <w:t>HSBC Asset Management (Americas) Inc. for the HSBC Multi-Strategy Arbitrage Fund.................................Warren Stein and John Moore Stanley Huntrise Capital Leveraged Partners, LLC. ....................Thomas J. Ray Indianapolis Life Insurance Co. ..............................Thomas J. Ray Inflective Convertible Opportunity Fund I, L.P. ..............Thomas J. Ray Inflective Convertible Opportunity Fund I, LTD. ..............Thomas J. Ray Injured Workers Insurance Fund................................Maren Lindstrom</w:t>
      </w:r>
    </w:p>
    <w:p>
      <w:pPr>
        <w:sectPr>
          <w:pgSz w:w="11900" w:h="16987" w:orient="portrait"/>
          <w:cols w:equalWidth="0" w:num="1">
            <w:col w:w="10260"/>
          </w:cols>
          <w:pgMar w:left="220" w:top="453" w:right="1419" w:bottom="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 ....................................Craig Petherick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Brothers...............................................Kevin Lowe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Overseas Partners Master Fund..........................(9)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Global Opportunities Master Fund Limited...............(9)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Florida Division of Treasury.........................Ann Houlihan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Partners........................................Tim Heekin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ectPr>
          <w:pgSz w:w="11900" w:h="16838" w:orient="portrait"/>
          <w:cols w:equalWidth="0" w:num="1">
            <w:col w:w="10239"/>
          </w:cols>
          <w:pgMar w:left="220" w:top="308"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4"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800" w:right="3899" w:hanging="791"/>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800" w:right="4239" w:hanging="791"/>
        <w:spacing w:after="0" w:line="258"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63" w:lineRule="exact"/>
        <w:rPr>
          <w:rFonts w:ascii="Courier New" w:cs="Courier New" w:eastAsia="Courier New" w:hAnsi="Courier New"/>
          <w:sz w:val="14"/>
          <w:szCs w:val="14"/>
          <w:color w:val="auto"/>
        </w:rPr>
      </w:pPr>
    </w:p>
    <w:p>
      <w:pPr>
        <w:jc w:val="both"/>
        <w:ind w:left="800" w:right="3379" w:hanging="791"/>
        <w:spacing w:after="0" w:line="252"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9"/>
          </w:cols>
          <w:pgMar w:left="220" w:top="142" w:right="1440" w:bottom="1440" w:gutter="0" w:footer="0" w:header="0"/>
        </w:sectPr>
      </w:pP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239"/>
          </w:cols>
          <w:pgMar w:left="220" w:top="142" w:right="1440" w:bottom="1440" w:gutter="0" w:footer="0" w:header="0"/>
          <w:type w:val="continuous"/>
        </w:sectPr>
      </w:pPr>
    </w:p>
    <w:bookmarkStart w:id="68" w:name="page69"/>
    <w:bookmarkEnd w:id="68"/>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69" w:name="page70"/>
    <w:bookmarkEnd w:id="69"/>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70" w:name="page71"/>
    <w:bookmarkEnd w:id="70"/>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20-F/A Amendment No. 1)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71" w:name="page72"/>
    <w:bookmarkEnd w:id="71"/>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0"/>
          </w:cols>
          <w:pgMar w:left="229" w:top="142" w:right="1440" w:bottom="1440" w:gutter="0" w:footer="0" w:header="0"/>
        </w:sectPr>
      </w:pPr>
    </w:p>
    <w:bookmarkStart w:id="72" w:name="page73"/>
    <w:bookmarkEnd w:id="72"/>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159"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326"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940"/>
          </w:cols>
          <w:pgMar w:left="220" w:top="453" w:right="739" w:bottom="1440" w:gutter="0" w:footer="0" w:header="0"/>
        </w:sectPr>
      </w:pPr>
    </w:p>
    <w:bookmarkStart w:id="74" w:name="page75"/>
    <w:bookmarkEnd w:id="7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453" w:right="1440"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6" w:name="page77"/>
    <w:bookmarkEnd w:id="76"/>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41"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78" w:name="page79"/>
    <w:bookmarkEnd w:id="7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3" w:right="1440" w:bottom="1440" w:gutter="0" w:footer="0" w:header="0"/>
        </w:sectPr>
      </w:pPr>
    </w:p>
    <w:bookmarkStart w:id="79" w:name="page80"/>
    <w:bookmarkEnd w:id="79"/>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9799"/>
          </w:cols>
          <w:pgMar w:left="660" w:top="620" w:right="1440" w:bottom="1440"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type w:val="continuous"/>
        </w:sectPr>
      </w:pPr>
    </w:p>
    <w:bookmarkStart w:id="81" w:name="page82"/>
    <w:bookmarkEnd w:id="8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2" w:name="page83"/>
    <w:bookmarkEnd w:id="82"/>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60"/>
          </w:cols>
          <w:pgMar w:left="220" w:top="620" w:right="1419" w:bottom="306" w:gutter="0" w:footer="0" w:header="0"/>
        </w:sectPr>
      </w:pPr>
    </w:p>
    <w:bookmarkStart w:id="83" w:name="page84"/>
    <w:bookmarkEnd w:id="8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3" w:right="1440" w:bottom="1440" w:gutter="0" w:footer="0" w:header="0"/>
        </w:sectPr>
      </w:pPr>
    </w:p>
    <w:bookmarkStart w:id="84" w:name="page85"/>
    <w:bookmarkEnd w:id="84"/>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5" w:name="page86"/>
    <w:bookmarkEnd w:id="85"/>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799"/>
          </w:cols>
          <w:pgMar w:left="660" w:top="453" w:right="1440" w:bottom="1440" w:gutter="0" w:footer="0" w:header="0"/>
        </w:sectPr>
      </w:pPr>
    </w:p>
    <w:bookmarkStart w:id="86" w:name="page87"/>
    <w:bookmarkEnd w:id="8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787" w:right="1440" w:bottom="1440" w:gutter="0" w:footer="0" w:header="0"/>
        </w:sectPr>
      </w:pPr>
    </w:p>
    <w:bookmarkStart w:id="87" w:name="page88"/>
    <w:bookmarkEnd w:id="87"/>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88" w:name="page89"/>
    <w:bookmarkEnd w:id="88"/>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20" w:hanging="1119"/>
        <w:spacing w:after="0"/>
        <w:tabs>
          <w:tab w:leader="none" w:pos="18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3,276</w:t>
      </w:r>
    </w:p>
    <w:p>
      <w:pPr>
        <w:spacing w:after="0" w:line="8" w:lineRule="exact"/>
        <w:rPr>
          <w:rFonts w:ascii="Courier New" w:cs="Courier New" w:eastAsia="Courier New" w:hAnsi="Courier New"/>
          <w:sz w:val="14"/>
          <w:szCs w:val="14"/>
          <w:color w:val="auto"/>
        </w:rPr>
      </w:pPr>
    </w:p>
    <w:p>
      <w:pPr>
        <w:ind w:left="1740" w:hanging="1039"/>
        <w:spacing w:after="0"/>
        <w:tabs>
          <w:tab w:leader="none" w:pos="17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w:t>
      </w:r>
    </w:p>
    <w:p>
      <w:pPr>
        <w:spacing w:after="0" w:line="8" w:lineRule="exact"/>
        <w:rPr>
          <w:rFonts w:ascii="Courier New" w:cs="Courier New" w:eastAsia="Courier New" w:hAnsi="Courier New"/>
          <w:sz w:val="14"/>
          <w:szCs w:val="14"/>
          <w:color w:val="auto"/>
        </w:rPr>
      </w:pPr>
    </w:p>
    <w:p>
      <w:pPr>
        <w:ind w:left="2000" w:hanging="1299"/>
        <w:spacing w:after="0"/>
        <w:tabs>
          <w:tab w:leader="none" w:pos="20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68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2,213</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120" w:space="340"/>
            <w:col w:w="2620"/>
          </w:cols>
          <w:pgMar w:left="660" w:top="620" w:right="1159" w:bottom="1440" w:gutter="0" w:footer="0" w:header="0"/>
        </w:sectPr>
      </w:pPr>
    </w:p>
    <w:bookmarkStart w:id="89" w:name="page90"/>
    <w:bookmarkEnd w:id="89"/>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60"/>
          </w:cols>
          <w:pgMar w:left="220" w:top="453" w:right="1419" w:bottom="1440" w:gutter="0" w:footer="0" w:header="0"/>
        </w:sectPr>
      </w:pPr>
    </w:p>
    <w:bookmarkStart w:id="90" w:name="page91"/>
    <w:bookmarkEnd w:id="9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91" w:name="page92"/>
    <w:bookmarkEnd w:id="91"/>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93" w:name="page94"/>
    <w:bookmarkEnd w:id="93"/>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787" w:right="1440" w:bottom="1440" w:gutter="0" w:footer="0" w:header="0"/>
        </w:sectPr>
      </w:pPr>
    </w:p>
    <w:bookmarkStart w:id="94" w:name="page95"/>
    <w:bookmarkEnd w:id="94"/>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5" w:name="page96"/>
    <w:bookmarkEnd w:id="95"/>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53" w:right="1440" w:bottom="0" w:gutter="0" w:footer="0" w:header="0"/>
        </w:sectPr>
      </w:pPr>
    </w:p>
    <w:bookmarkStart w:id="96" w:name="page97"/>
    <w:bookmarkEnd w:id="96"/>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7" w:name="page98"/>
    <w:bookmarkEnd w:id="97"/>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1440" w:gutter="0" w:footer="0" w:header="0"/>
        </w:sectPr>
      </w:pPr>
    </w:p>
    <w:bookmarkStart w:id="98" w:name="page99"/>
    <w:bookmarkEnd w:id="98"/>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53" w:right="1440" w:bottom="0" w:gutter="0" w:footer="0" w:header="0"/>
        </w:sectPr>
      </w:pPr>
    </w:p>
    <w:bookmarkStart w:id="99" w:name="page100"/>
    <w:bookmarkEnd w:id="99"/>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100" w:name="page101"/>
    <w:bookmarkEnd w:id="100"/>
    <w:p>
      <w:pPr>
        <w:jc w:val="center"/>
        <w:ind w:right="319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Compuation of Ratio of Earnings to Fixed Charges.</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(included 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T-1, Statement of Eligibility under the Trust Indenture Act</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of The Bank of New York.</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338"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8" w:lineRule="exact"/>
        <w:rPr>
          <w:rFonts w:ascii="Courier New" w:cs="Courier New" w:eastAsia="Courier New" w:hAnsi="Courier New"/>
          <w:sz w:val="14"/>
          <w:szCs w:val="14"/>
          <w:color w:val="auto"/>
        </w:rPr>
      </w:pPr>
    </w:p>
    <w:p>
      <w:pPr>
        <w:ind w:left="180" w:right="3459" w:hanging="17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20"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62" w:lineRule="exact"/>
        <w:rPr>
          <w:sz w:val="20"/>
          <w:szCs w:val="20"/>
          <w:color w:val="auto"/>
        </w:rPr>
      </w:pPr>
    </w:p>
    <w:p>
      <w:pPr>
        <w:ind w:left="1320" w:right="3379" w:hanging="530"/>
        <w:spacing w:after="0" w:line="254"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20" w:right="1440" w:bottom="1440" w:gutter="0" w:footer="0" w:header="0"/>
        </w:sectPr>
      </w:pPr>
    </w:p>
    <w:bookmarkStart w:id="102" w:name="page103"/>
    <w:bookmarkEnd w:id="102"/>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20" w:right="1440" w:bottom="1440" w:gutter="0" w:footer="0" w:header="0"/>
        </w:sectPr>
      </w:pPr>
    </w:p>
    <w:bookmarkStart w:id="103" w:name="page104"/>
    <w:bookmarkEnd w:id="103"/>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F-3 and has duly caused this Post-Effective Amendment No. 2 to Registration Statement to be signed on its behalf by the undersigned, thereunto duly authorized, in the city of New York, State of New York, on this 29th day of October, 2004.</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Post-Effective Amendment No. 2 to Registration Statement has been signed below by the following persons in the capacities and on the dates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140" w:space="720"/>
            <w:col w:w="2420" w:space="720"/>
            <w:col w:w="22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29, 2004</w:t>
      </w:r>
    </w:p>
    <w:p>
      <w:pPr>
        <w:spacing w:after="0" w:line="8" w:lineRule="exact"/>
        <w:rPr>
          <w:sz w:val="20"/>
          <w:szCs w:val="20"/>
          <w:color w:val="auto"/>
        </w:rPr>
      </w:pPr>
    </w:p>
    <w:p>
      <w:pPr>
        <w:sectPr>
          <w:pgSz w:w="11900" w:h="16838" w:orient="portrait"/>
          <w:cols w:equalWidth="0" w:num="3">
            <w:col w:w="2840" w:space="720"/>
            <w:col w:w="3200" w:space="720"/>
            <w:col w:w="2759"/>
          </w:cols>
          <w:pgMar w:left="220" w:top="620" w:right="1440" w:bottom="1440" w:gutter="0" w:footer="0" w:header="0"/>
          <w:type w:val="continuous"/>
        </w:sect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460" w:val="left"/>
          <w:tab w:leader="none" w:pos="7460" w:val="left"/>
        </w:tabs>
        <w:rPr>
          <w:sz w:val="20"/>
          <w:szCs w:val="20"/>
          <w:color w:val="auto"/>
        </w:rPr>
      </w:pPr>
      <w:r>
        <w:rPr>
          <w:rFonts w:ascii="Courier New" w:cs="Courier New" w:eastAsia="Courier New" w:hAnsi="Courier New"/>
          <w:sz w:val="14"/>
          <w:szCs w:val="14"/>
          <w:color w:val="auto"/>
        </w:rPr>
        <w:t>/s/ Dov Baharav</w:t>
      </w:r>
      <w:r>
        <w:rPr>
          <w:sz w:val="20"/>
          <w:szCs w:val="20"/>
          <w:color w:val="auto"/>
        </w:rPr>
        <w:tab/>
      </w:r>
      <w:r>
        <w:rPr>
          <w:rFonts w:ascii="Courier New" w:cs="Courier New" w:eastAsia="Courier New" w:hAnsi="Courier New"/>
          <w:sz w:val="14"/>
          <w:szCs w:val="14"/>
          <w:color w:val="auto"/>
        </w:rPr>
        <w:t>Director and Principal Executive Officer</w:t>
      </w:r>
      <w:r>
        <w:rPr>
          <w:sz w:val="20"/>
          <w:szCs w:val="20"/>
          <w:color w:val="auto"/>
        </w:rPr>
        <w:tab/>
      </w:r>
      <w:r>
        <w:rPr>
          <w:rFonts w:ascii="Courier New" w:cs="Courier New" w:eastAsia="Courier New" w:hAnsi="Courier New"/>
          <w:sz w:val="14"/>
          <w:szCs w:val="14"/>
          <w:color w:val="auto"/>
        </w:rPr>
        <w:t>October 29, 2004</w:t>
      </w:r>
    </w:p>
    <w:p>
      <w:pPr>
        <w:spacing w:after="0" w:line="8"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20" w:right="1440"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 Ron Moskovitz</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Principal Accounting Officer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Ron Moskovitz</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Robert A. Minicucci</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29,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1"/>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 Thomas G. O'Brien</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8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Thomas G. O'Brien Attorney-in-Fact</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1121"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 (included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T-1, Statement of Eligibility under the Trust Indenture Act</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of The Bank of New York.</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8" w:lineRule="exact"/>
        <w:rPr>
          <w:sz w:val="20"/>
          <w:szCs w:val="20"/>
          <w:color w:val="auto"/>
        </w:rPr>
      </w:pPr>
    </w:p>
    <w:p>
      <w:pPr>
        <w:ind w:left="180" w:right="3459" w:hanging="171"/>
        <w:spacing w:after="0" w:line="258" w:lineRule="auto"/>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ectPr>
          <w:pgSz w:w="11900" w:h="16838" w:orient="portrait"/>
          <w:cols w:equalWidth="0" w:num="1">
            <w:col w:w="10239"/>
          </w:cols>
          <w:pgMar w:left="220" w:top="620" w:right="1440" w:bottom="1440" w:gutter="0" w:footer="0" w:header="0"/>
        </w:sectPr>
      </w:pPr>
    </w:p>
    <w:bookmarkStart w:id="106" w:name="page107"/>
    <w:bookmarkEnd w:id="106"/>
    <w:p>
      <w:pPr>
        <w:ind w:left="5920"/>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Consent of Ernst &amp; Young LLP, Independent Registered Public Accountants</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Post-Effective Amendment No. 2 to the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2004</w:t>
      </w:r>
    </w:p>
    <w:p>
      <w:pPr>
        <w:sectPr>
          <w:pgSz w:w="11900" w:h="16838" w:orient="portrait"/>
          <w:cols w:equalWidth="0" w:num="1">
            <w:col w:w="10239"/>
          </w:cols>
          <w:pgMar w:left="220" w:top="475" w:right="1440" w:bottom="1440" w:gutter="0" w:footer="0" w:header="0"/>
        </w:sectPr>
      </w:pPr>
    </w:p>
    <w:bookmarkStart w:id="107" w:name="page108"/>
    <w:bookmarkEnd w:id="107"/>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1 Place Ville Marie</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Suite 3000</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Montreal QC H3B 4T9</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Tel: (514) 393-5451</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Fax: (514) 390-4113</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www.deloitte.ca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REGISTERED CHARTER ACCOUNTANTS</w:t>
      </w:r>
    </w:p>
    <w:p>
      <w:pPr>
        <w:spacing w:after="0" w:line="175"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Post-Effective Amendment No. 2 to the Registration Statement on Form F-3 of Amdocs Limited (File No.</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333-114344)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We also consent to the reference to us under the heading "Experts" in the prospectus, which is part of this Registration Statement.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2004</w:t>
      </w:r>
    </w:p>
    <w:p>
      <w:pPr>
        <w:sectPr>
          <w:pgSz w:w="11900" w:h="16838" w:orient="portrait"/>
          <w:cols w:equalWidth="0" w:num="1">
            <w:col w:w="10239"/>
          </w:cols>
          <w:pgMar w:left="220" w:top="308" w:right="1440" w:bottom="1440" w:gutter="0" w:footer="0" w:header="0"/>
        </w:sectPr>
      </w:pPr>
    </w:p>
    <w:bookmarkStart w:id="108" w:name="page109"/>
    <w:bookmarkEnd w:id="108"/>
    <w:p>
      <w:pPr>
        <w:ind w:left="5920"/>
        <w:spacing w:after="0"/>
        <w:rPr>
          <w:sz w:val="20"/>
          <w:szCs w:val="20"/>
          <w:color w:val="auto"/>
        </w:rPr>
      </w:pPr>
      <w:r>
        <w:rPr>
          <w:rFonts w:ascii="Courier New" w:cs="Courier New" w:eastAsia="Courier New" w:hAnsi="Courier New"/>
          <w:sz w:val="14"/>
          <w:szCs w:val="14"/>
          <w:color w:val="auto"/>
        </w:rPr>
        <w:t>EXHIBIT 25.1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T-l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 OF ELIGIBILITY</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UNDER THE TRUST INDENTURE ACT OF 1939 OF A</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CORPORATION DESIGNATED TO ACT AS TRUSTEE</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CHECK IF AN APPLICATION TO DETERMINE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ELIGIBILITY OF A TRUSTEE PURSUANT TO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SECTION 305(b)(2) [ ]</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BANK OF NEW YORK</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38" w:orient="portrait"/>
          <w:cols w:equalWidth="0" w:num="1">
            <w:col w:w="10239"/>
          </w:cols>
          <w:pgMar w:left="220" w:top="47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not a U.S. national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13-5160382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140" w:space="720"/>
            <w:col w:w="5379"/>
          </w:cols>
          <w:pgMar w:left="22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One Wall Street, New York, 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10286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0"/>
          <w:szCs w:val="20"/>
          <w:color w:val="auto"/>
        </w:rPr>
      </w:pPr>
    </w:p>
    <w:p>
      <w:pPr>
        <w:sectPr>
          <w:pgSz w:w="11900" w:h="16838" w:orient="portrait"/>
          <w:cols w:equalWidth="0" w:num="2">
            <w:col w:w="4140" w:space="720"/>
            <w:col w:w="5379"/>
          </w:cols>
          <w:pgMar w:left="220" w:top="475"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39"/>
          </w:cols>
          <w:pgMar w:left="220" w:top="475"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Island of Guernsey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140" w:space="720"/>
            <w:col w:w="5379"/>
          </w:cols>
          <w:pgMar w:left="22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Peter Port, Island of Guernsey, GY1 3QT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Channel Islands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0"/>
          <w:szCs w:val="20"/>
          <w:color w:val="auto"/>
        </w:rPr>
      </w:pPr>
    </w:p>
    <w:p>
      <w:pPr>
        <w:sectPr>
          <w:pgSz w:w="11900" w:h="16838" w:orient="portrait"/>
          <w:cols w:equalWidth="0" w:num="2">
            <w:col w:w="4140" w:space="720"/>
            <w:col w:w="5379"/>
          </w:cols>
          <w:pgMar w:left="220" w:top="475"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Convertible Senior Notes due 2024</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(Title of the indenture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5" w:right="1440" w:bottom="1440" w:gutter="0" w:footer="0" w:header="0"/>
          <w:type w:val="continuous"/>
        </w:sectPr>
      </w:pPr>
    </w:p>
    <w:bookmarkStart w:id="109" w:name="page110"/>
    <w:bookmarkEnd w:id="109"/>
    <w:p>
      <w:pPr>
        <w:ind w:left="520" w:hanging="511"/>
        <w:spacing w:after="0"/>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INFORMATION. FURNISH THE FOLLOWING INFORMATION AS TO THE TRUSTEE:</w:t>
      </w:r>
    </w:p>
    <w:p>
      <w:pPr>
        <w:spacing w:after="0" w:line="175"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SUPERVISING AUTHORITY TO WHICH IT IS SUBJECT.</w:t>
      </w:r>
    </w:p>
    <w:p>
      <w:pPr>
        <w:spacing w:after="0" w:line="200" w:lineRule="exact"/>
        <w:rPr>
          <w:sz w:val="20"/>
          <w:szCs w:val="20"/>
          <w:color w:val="auto"/>
        </w:rPr>
      </w:pPr>
    </w:p>
    <w:p>
      <w:pPr>
        <w:spacing w:after="0" w:line="294" w:lineRule="exact"/>
        <w:rPr>
          <w:sz w:val="20"/>
          <w:szCs w:val="20"/>
          <w:color w:val="auto"/>
        </w:rPr>
      </w:pPr>
    </w:p>
    <w:p>
      <w:pPr>
        <w:ind w:left="1400"/>
        <w:spacing w:after="0"/>
        <w:tabs>
          <w:tab w:leader="none" w:pos="45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Superintendent of Banks</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of the State of</w:t>
            </w: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2 Rector Street, New York, N.Y.</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52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10006, and Albany, N.Y. 12203</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Federal Reserve Bank of</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New York</w:t>
            </w: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33 Liberty Plaza, New York, N.Y.</w:t>
            </w:r>
          </w:p>
        </w:tc>
      </w:tr>
      <w:tr>
        <w:trPr>
          <w:trHeight w:val="167"/>
        </w:trPr>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10045</w:t>
            </w:r>
          </w:p>
        </w:tc>
      </w:tr>
      <w:tr>
        <w:trPr>
          <w:trHeight w:val="334"/>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Federal Deposit Insurance Corporation</w:t>
            </w: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20429</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York Clearing House</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Association</w:t>
            </w:r>
          </w:p>
        </w:tc>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10005</w:t>
            </w:r>
          </w:p>
        </w:tc>
      </w:tr>
    </w:tbl>
    <w:p>
      <w:pPr>
        <w:spacing w:after="0" w:line="338" w:lineRule="exact"/>
        <w:rPr>
          <w:sz w:val="20"/>
          <w:szCs w:val="20"/>
          <w:color w:val="auto"/>
        </w:rPr>
      </w:pPr>
    </w:p>
    <w:p>
      <w:pPr>
        <w:ind w:left="1060" w:hanging="530"/>
        <w:spacing w:after="0"/>
        <w:tabs>
          <w:tab w:leader="none" w:pos="106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AFFILIATIONS WITH OBLIGOR.</w:t>
      </w:r>
    </w:p>
    <w:p>
      <w:pPr>
        <w:spacing w:after="0" w:line="175" w:lineRule="exact"/>
        <w:rPr>
          <w:rFonts w:ascii="Courier New" w:cs="Courier New" w:eastAsia="Courier New" w:hAnsi="Courier New"/>
          <w:sz w:val="14"/>
          <w:szCs w:val="14"/>
          <w:color w:val="auto"/>
        </w:rPr>
      </w:pPr>
    </w:p>
    <w:p>
      <w:pPr>
        <w:ind w:left="520" w:right="40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OBLIGOR IS AN AFFILIATE OF THE TRUSTEE, DESCRIBE EACH SUCH AFFILIATION.</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520" w:hanging="511"/>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EXHIBITS.</w:t>
      </w:r>
    </w:p>
    <w:p>
      <w:pPr>
        <w:spacing w:after="0" w:line="175" w:lineRule="exact"/>
        <w:rPr>
          <w:rFonts w:ascii="Courier New" w:cs="Courier New" w:eastAsia="Courier New" w:hAnsi="Courier New"/>
          <w:sz w:val="14"/>
          <w:szCs w:val="14"/>
          <w:color w:val="auto"/>
        </w:rPr>
      </w:pPr>
    </w:p>
    <w:p>
      <w:pPr>
        <w:ind w:left="5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229.10(d).</w:t>
      </w:r>
    </w:p>
    <w:p>
      <w:pPr>
        <w:spacing w:after="0" w:line="175" w:lineRule="exact"/>
        <w:rPr>
          <w:rFonts w:ascii="Courier New" w:cs="Courier New" w:eastAsia="Courier New" w:hAnsi="Courier New"/>
          <w:sz w:val="14"/>
          <w:szCs w:val="14"/>
          <w:color w:val="auto"/>
        </w:rPr>
      </w:pPr>
    </w:p>
    <w:p>
      <w:pPr>
        <w:ind w:left="1060" w:right="3279" w:hanging="530"/>
        <w:spacing w:after="0" w:line="252" w:lineRule="auto"/>
        <w:tabs>
          <w:tab w:leader="none" w:pos="106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 corporate trust powers. (Exhibit 1 to Amendment No. 1 to Form T-l filed with Registration Statement No. 33-6215, Exhibits la and lb to Form T-l filed with Registration Statement No. 33-21672 and Exhibit 1 to Form T-l filed with Registration Statement No.</w:t>
      </w:r>
    </w:p>
    <w:p>
      <w:pPr>
        <w:spacing w:after="0" w:line="2"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33-29637.)</w:t>
      </w:r>
    </w:p>
    <w:p>
      <w:pPr>
        <w:spacing w:after="0" w:line="175" w:lineRule="exact"/>
        <w:rPr>
          <w:sz w:val="20"/>
          <w:szCs w:val="20"/>
          <w:color w:val="auto"/>
        </w:rPr>
      </w:pPr>
    </w:p>
    <w:p>
      <w:pPr>
        <w:ind w:left="1060" w:right="3539" w:hanging="530"/>
        <w:spacing w:after="0" w:line="258"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existing By-laws of the Trustee. (Exhibit 4 to Form T-l filed with Registration Statement No. 33-31019.)</w:t>
      </w:r>
    </w:p>
    <w:p>
      <w:pPr>
        <w:spacing w:after="0" w:line="160" w:lineRule="exact"/>
        <w:rPr>
          <w:sz w:val="20"/>
          <w:szCs w:val="20"/>
          <w:color w:val="auto"/>
        </w:rPr>
      </w:pPr>
    </w:p>
    <w:p>
      <w:pPr>
        <w:ind w:left="1060" w:right="3539" w:hanging="530"/>
        <w:spacing w:after="0" w:line="252" w:lineRule="auto"/>
        <w:tabs>
          <w:tab w:leader="none" w:pos="10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 (Exhibit 6 to Form T-l filed with Registration Statement No.</w:t>
      </w: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33-44051.)</w:t>
      </w:r>
    </w:p>
    <w:p>
      <w:pPr>
        <w:spacing w:after="0" w:line="175" w:lineRule="exact"/>
        <w:rPr>
          <w:rFonts w:ascii="Courier New" w:cs="Courier New" w:eastAsia="Courier New" w:hAnsi="Courier New"/>
          <w:sz w:val="14"/>
          <w:szCs w:val="14"/>
          <w:color w:val="auto"/>
        </w:rPr>
      </w:pPr>
    </w:p>
    <w:p>
      <w:pPr>
        <w:ind w:left="1060" w:right="3539" w:hanging="530"/>
        <w:spacing w:after="0" w:line="255" w:lineRule="auto"/>
        <w:tabs>
          <w:tab w:leader="none" w:pos="10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to the requirements of its supervising or examining authority.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10" w:name="page111"/>
    <w:bookmarkEnd w:id="110"/>
    <w:p>
      <w:pPr>
        <w:jc w:val="center"/>
        <w:ind w:right="3199"/>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25th day of October, 2004.</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THE BANK OF NEW YORK</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 /s/Van K. Brown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tabs>
          <w:tab w:leader="none" w:pos="4240" w:val="left"/>
        </w:tabs>
        <w:rPr>
          <w:sz w:val="20"/>
          <w:szCs w:val="20"/>
          <w:color w:val="auto"/>
        </w:rPr>
      </w:pPr>
      <w:r>
        <w:rPr>
          <w:rFonts w:ascii="Courier New" w:cs="Courier New" w:eastAsia="Courier New" w:hAnsi="Courier New"/>
          <w:sz w:val="14"/>
          <w:szCs w:val="14"/>
          <w:color w:val="auto"/>
        </w:rPr>
        <w:t>Name:</w:t>
        <w:tab/>
        <w:t>Van K. Brown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 Vice President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2"/>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EXHIBIT 7</w:t>
            </w:r>
          </w:p>
        </w:tc>
        <w:tc>
          <w:tcPr>
            <w:tcW w:w="2300" w:type="dxa"/>
            <w:vAlign w:val="bottom"/>
          </w:tcPr>
          <w:p>
            <w:pPr>
              <w:spacing w:after="0"/>
              <w:rPr>
                <w:sz w:val="14"/>
                <w:szCs w:val="14"/>
                <w:color w:val="auto"/>
              </w:rPr>
            </w:pPr>
          </w:p>
        </w:tc>
      </w:tr>
      <w:tr>
        <w:trPr>
          <w:trHeight w:val="334"/>
        </w:trPr>
        <w:tc>
          <w:tcPr>
            <w:tcW w:w="8040" w:type="dxa"/>
            <w:vAlign w:val="bottom"/>
          </w:tcPr>
          <w:p>
            <w:pPr>
              <w:jc w:val="right"/>
              <w:ind w:right="2928"/>
              <w:spacing w:after="0"/>
              <w:rPr>
                <w:sz w:val="20"/>
                <w:szCs w:val="20"/>
                <w:color w:val="auto"/>
              </w:rPr>
            </w:pPr>
            <w:r>
              <w:rPr>
                <w:rFonts w:ascii="Courier New" w:cs="Courier New" w:eastAsia="Courier New" w:hAnsi="Courier New"/>
                <w:sz w:val="14"/>
                <w:szCs w:val="14"/>
                <w:color w:val="auto"/>
              </w:rPr>
              <w:t>Consolidated Report of Condition of</w:t>
            </w:r>
          </w:p>
        </w:tc>
        <w:tc>
          <w:tcPr>
            <w:tcW w:w="2300" w:type="dxa"/>
            <w:vAlign w:val="bottom"/>
          </w:tcPr>
          <w:p>
            <w:pPr>
              <w:spacing w:after="0"/>
              <w:rPr>
                <w:sz w:val="24"/>
                <w:szCs w:val="24"/>
                <w:color w:val="auto"/>
              </w:rPr>
            </w:pPr>
          </w:p>
        </w:tc>
      </w:tr>
      <w:tr>
        <w:trPr>
          <w:trHeight w:val="334"/>
        </w:trPr>
        <w:tc>
          <w:tcPr>
            <w:tcW w:w="80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THE BANK OF NEW YORK</w:t>
            </w:r>
          </w:p>
        </w:tc>
        <w:tc>
          <w:tcPr>
            <w:tcW w:w="2300" w:type="dxa"/>
            <w:vAlign w:val="bottom"/>
          </w:tcPr>
          <w:p>
            <w:pPr>
              <w:spacing w:after="0"/>
              <w:rPr>
                <w:sz w:val="24"/>
                <w:szCs w:val="24"/>
                <w:color w:val="auto"/>
              </w:rPr>
            </w:pPr>
          </w:p>
        </w:tc>
      </w:tr>
      <w:tr>
        <w:trPr>
          <w:trHeight w:val="334"/>
        </w:trPr>
        <w:tc>
          <w:tcPr>
            <w:tcW w:w="80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of One Wall Street, New York, N.Y. 10286</w:t>
            </w:r>
          </w:p>
        </w:tc>
        <w:tc>
          <w:tcPr>
            <w:tcW w:w="2300" w:type="dxa"/>
            <w:vAlign w:val="bottom"/>
          </w:tcPr>
          <w:p>
            <w:pPr>
              <w:spacing w:after="0"/>
              <w:rPr>
                <w:sz w:val="24"/>
                <w:szCs w:val="24"/>
                <w:color w:val="auto"/>
              </w:rPr>
            </w:pPr>
          </w:p>
        </w:tc>
      </w:tr>
      <w:tr>
        <w:trPr>
          <w:trHeight w:val="167"/>
        </w:trPr>
        <w:tc>
          <w:tcPr>
            <w:tcW w:w="80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And Foreign and Domestic Subsidiaries,</w:t>
            </w:r>
          </w:p>
        </w:tc>
        <w:tc>
          <w:tcPr>
            <w:tcW w:w="2300" w:type="dxa"/>
            <w:vAlign w:val="bottom"/>
          </w:tcPr>
          <w:p>
            <w:pPr>
              <w:spacing w:after="0"/>
              <w:rPr>
                <w:sz w:val="14"/>
                <w:szCs w:val="14"/>
                <w:color w:val="auto"/>
              </w:rPr>
            </w:pP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a member of the Federal Reserve System, at the close of business June 30, 2004,</w:t>
            </w:r>
          </w:p>
        </w:tc>
        <w:tc>
          <w:tcPr>
            <w:tcW w:w="2300" w:type="dxa"/>
            <w:vAlign w:val="bottom"/>
          </w:tcPr>
          <w:p>
            <w:pPr>
              <w:spacing w:after="0"/>
              <w:rPr>
                <w:sz w:val="14"/>
                <w:szCs w:val="14"/>
                <w:color w:val="auto"/>
              </w:rPr>
            </w:pP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published in accordance with a call made by the Federal Reserve Bank of this</w:t>
            </w:r>
          </w:p>
        </w:tc>
        <w:tc>
          <w:tcPr>
            <w:tcW w:w="2300" w:type="dxa"/>
            <w:vAlign w:val="bottom"/>
          </w:tcPr>
          <w:p>
            <w:pPr>
              <w:spacing w:after="0"/>
              <w:rPr>
                <w:sz w:val="14"/>
                <w:szCs w:val="14"/>
                <w:color w:val="auto"/>
              </w:rPr>
            </w:pP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District pursuant to the provisions of the Federal Reserve Act.</w:t>
            </w:r>
          </w:p>
        </w:tc>
        <w:tc>
          <w:tcPr>
            <w:tcW w:w="2300" w:type="dxa"/>
            <w:vAlign w:val="bottom"/>
          </w:tcPr>
          <w:p>
            <w:pPr>
              <w:spacing w:after="0"/>
              <w:rPr>
                <w:sz w:val="14"/>
                <w:szCs w:val="14"/>
                <w:color w:val="auto"/>
              </w:rPr>
            </w:pPr>
          </w:p>
        </w:tc>
      </w:tr>
      <w:tr>
        <w:trPr>
          <w:trHeight w:val="668"/>
        </w:trPr>
        <w:tc>
          <w:tcPr>
            <w:tcW w:w="80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Dollar Amounts</w:t>
            </w:r>
          </w:p>
        </w:tc>
      </w:tr>
      <w:tr>
        <w:trPr>
          <w:trHeight w:val="167"/>
        </w:trPr>
        <w:tc>
          <w:tcPr>
            <w:tcW w:w="8040" w:type="dxa"/>
            <w:vAlign w:val="bottom"/>
          </w:tcPr>
          <w:p>
            <w:pPr>
              <w:spacing w:after="0"/>
              <w:rPr>
                <w:sz w:val="14"/>
                <w:szCs w:val="14"/>
                <w:color w:val="auto"/>
              </w:rPr>
            </w:pPr>
          </w:p>
        </w:tc>
        <w:tc>
          <w:tcPr>
            <w:tcW w:w="2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8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00" w:type="dxa"/>
            <w:vAlign w:val="bottom"/>
          </w:tcPr>
          <w:p>
            <w:pPr>
              <w:spacing w:after="0"/>
              <w:rPr>
                <w:sz w:val="24"/>
                <w:szCs w:val="24"/>
                <w:color w:val="auto"/>
              </w:rPr>
            </w:pP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Cash and balances due from depository</w:t>
            </w:r>
          </w:p>
        </w:tc>
        <w:tc>
          <w:tcPr>
            <w:tcW w:w="2300" w:type="dxa"/>
            <w:vAlign w:val="bottom"/>
          </w:tcPr>
          <w:p>
            <w:pPr>
              <w:spacing w:after="0"/>
              <w:rPr>
                <w:sz w:val="14"/>
                <w:szCs w:val="14"/>
                <w:color w:val="auto"/>
              </w:rPr>
            </w:pPr>
          </w:p>
        </w:tc>
      </w:tr>
      <w:tr>
        <w:trPr>
          <w:trHeight w:val="167"/>
        </w:trPr>
        <w:tc>
          <w:tcPr>
            <w:tcW w:w="8040" w:type="dxa"/>
            <w:vAlign w:val="bottom"/>
          </w:tcPr>
          <w:p>
            <w:pPr>
              <w:ind w:left="180"/>
              <w:spacing w:after="0"/>
              <w:rPr>
                <w:sz w:val="20"/>
                <w:szCs w:val="20"/>
                <w:color w:val="auto"/>
              </w:rPr>
            </w:pPr>
            <w:r>
              <w:rPr>
                <w:rFonts w:ascii="Courier New" w:cs="Courier New" w:eastAsia="Courier New" w:hAnsi="Courier New"/>
                <w:sz w:val="14"/>
                <w:szCs w:val="14"/>
                <w:color w:val="auto"/>
              </w:rPr>
              <w:t>institutions:</w:t>
            </w:r>
          </w:p>
        </w:tc>
        <w:tc>
          <w:tcPr>
            <w:tcW w:w="2300" w:type="dxa"/>
            <w:vAlign w:val="bottom"/>
          </w:tcPr>
          <w:p>
            <w:pPr>
              <w:spacing w:after="0"/>
              <w:rPr>
                <w:sz w:val="14"/>
                <w:szCs w:val="14"/>
                <w:color w:val="auto"/>
              </w:rPr>
            </w:pPr>
          </w:p>
        </w:tc>
      </w:tr>
      <w:tr>
        <w:trPr>
          <w:trHeight w:val="167"/>
        </w:trPr>
        <w:tc>
          <w:tcPr>
            <w:tcW w:w="804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 balances and currency</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and coin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$ 2,954,963</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Interest-bearing balances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10,036,895</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Held-to-maturity securities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1,437,899</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Available-for-sale securities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20,505,806</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 purchased</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under agreements to resell ...................................................</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Federal funds sold in domestic offices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5,482,900</w:t>
            </w:r>
          </w:p>
        </w:tc>
      </w:tr>
      <w:tr>
        <w:trPr>
          <w:trHeight w:val="167"/>
        </w:trPr>
        <w:tc>
          <w:tcPr>
            <w:tcW w:w="8040" w:type="dxa"/>
            <w:vAlign w:val="bottom"/>
          </w:tcPr>
          <w:p>
            <w:pPr>
              <w:ind w:left="180"/>
              <w:spacing w:after="0"/>
              <w:rPr>
                <w:sz w:val="20"/>
                <w:szCs w:val="20"/>
                <w:color w:val="auto"/>
              </w:rPr>
            </w:pPr>
            <w:r>
              <w:rPr>
                <w:rFonts w:ascii="Courier New" w:cs="Courier New" w:eastAsia="Courier New" w:hAnsi="Courier New"/>
                <w:sz w:val="14"/>
                <w:szCs w:val="14"/>
                <w:color w:val="auto"/>
              </w:rPr>
              <w:t>Securities purchased under agreements to</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resell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838,105</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Loans and lease financing receivables:</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Loans and leases held for sale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48,034</w:t>
            </w:r>
          </w:p>
        </w:tc>
      </w:tr>
      <w:tr>
        <w:trPr>
          <w:trHeight w:val="167"/>
        </w:trPr>
        <w:tc>
          <w:tcPr>
            <w:tcW w:w="8040" w:type="dxa"/>
            <w:vAlign w:val="bottom"/>
          </w:tcPr>
          <w:p>
            <w:pPr>
              <w:ind w:left="260"/>
              <w:spacing w:after="0"/>
              <w:rPr>
                <w:sz w:val="20"/>
                <w:szCs w:val="20"/>
                <w:color w:val="auto"/>
              </w:rPr>
            </w:pPr>
            <w:r>
              <w:rPr>
                <w:rFonts w:ascii="Courier New" w:cs="Courier New" w:eastAsia="Courier New" w:hAnsi="Courier New"/>
                <w:sz w:val="14"/>
                <w:szCs w:val="14"/>
                <w:color w:val="auto"/>
              </w:rPr>
              <w:t>Loans and leases, net of unearned</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income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38,299,913</w:t>
            </w:r>
          </w:p>
        </w:tc>
      </w:tr>
      <w:tr>
        <w:trPr>
          <w:trHeight w:val="167"/>
        </w:trPr>
        <w:tc>
          <w:tcPr>
            <w:tcW w:w="8040" w:type="dxa"/>
            <w:vAlign w:val="bottom"/>
          </w:tcPr>
          <w:p>
            <w:pPr>
              <w:ind w:left="260"/>
              <w:spacing w:after="0"/>
              <w:rPr>
                <w:sz w:val="20"/>
                <w:szCs w:val="20"/>
                <w:color w:val="auto"/>
              </w:rPr>
            </w:pPr>
            <w:r>
              <w:rPr>
                <w:rFonts w:ascii="Courier New" w:cs="Courier New" w:eastAsia="Courier New" w:hAnsi="Courier New"/>
                <w:sz w:val="14"/>
                <w:szCs w:val="14"/>
                <w:color w:val="auto"/>
              </w:rPr>
              <w:t>LESS: Allowance for loan and</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lease losses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594,926</w:t>
            </w:r>
          </w:p>
        </w:tc>
      </w:tr>
      <w:tr>
        <w:trPr>
          <w:trHeight w:val="167"/>
        </w:trPr>
        <w:tc>
          <w:tcPr>
            <w:tcW w:w="8040" w:type="dxa"/>
            <w:vAlign w:val="bottom"/>
          </w:tcPr>
          <w:p>
            <w:pPr>
              <w:ind w:left="260"/>
              <w:spacing w:after="0"/>
              <w:rPr>
                <w:sz w:val="20"/>
                <w:szCs w:val="20"/>
                <w:color w:val="auto"/>
              </w:rPr>
            </w:pPr>
            <w:r>
              <w:rPr>
                <w:rFonts w:ascii="Courier New" w:cs="Courier New" w:eastAsia="Courier New" w:hAnsi="Courier New"/>
                <w:sz w:val="14"/>
                <w:szCs w:val="14"/>
                <w:color w:val="auto"/>
              </w:rPr>
              <w:t>Loans and leases, net of unearned</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income and allowance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37,704,987</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Trading Assets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2,986,727</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Premises and fixed assets (including</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capitalized leases) ....................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957,249</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Other real estate owned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Investments in unconsolidated subsidiaries</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and associated companies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246,280</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Customers' liability to this bank on</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acceptances outstanding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251,948</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Intangible assets ..............................................................</w:t>
            </w:r>
          </w:p>
        </w:tc>
        <w:tc>
          <w:tcPr>
            <w:tcW w:w="2300" w:type="dxa"/>
            <w:vAlign w:val="bottom"/>
          </w:tcPr>
          <w:p>
            <w:pPr>
              <w:spacing w:after="0"/>
              <w:rPr>
                <w:sz w:val="14"/>
                <w:szCs w:val="14"/>
                <w:color w:val="auto"/>
              </w:rPr>
            </w:pP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Goodwill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2,699,812</w:t>
            </w:r>
          </w:p>
        </w:tc>
      </w:tr>
      <w:tr>
        <w:trPr>
          <w:trHeight w:val="167"/>
        </w:trPr>
        <w:tc>
          <w:tcPr>
            <w:tcW w:w="8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Other intangible assets .....................................................</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755,311</w:t>
            </w:r>
          </w:p>
        </w:tc>
      </w:tr>
    </w:tbl>
    <w:p>
      <w:pPr>
        <w:sectPr>
          <w:pgSz w:w="11900" w:h="16838" w:orient="portrait"/>
          <w:cols w:equalWidth="0" w:num="1">
            <w:col w:w="10340"/>
          </w:cols>
          <w:pgMar w:left="220" w:top="620" w:right="1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20"/>
                <w:szCs w:val="20"/>
                <w:color w:val="auto"/>
              </w:rPr>
            </w:pPr>
            <w:r>
              <w:rPr>
                <w:rFonts w:ascii="Courier New" w:cs="Courier New" w:eastAsia="Courier New" w:hAnsi="Courier New"/>
                <w:sz w:val="14"/>
                <w:szCs w:val="14"/>
                <w:color w:val="auto"/>
              </w:rPr>
              <w:t>Other assets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7,629,093</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$94,536,383</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300" w:type="dxa"/>
            <w:vAlign w:val="bottom"/>
          </w:tcPr>
          <w:p>
            <w:pPr>
              <w:spacing w:after="0"/>
              <w:rPr>
                <w:sz w:val="14"/>
                <w:szCs w:val="14"/>
                <w:color w:val="auto"/>
              </w:rPr>
            </w:pP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 domestic offices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$36,481,716</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Noninterest-bearing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15,636,690</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Interest-bearing.........................................................</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20,845,026</w:t>
            </w:r>
          </w:p>
        </w:tc>
      </w:tr>
      <w:tr>
        <w:trPr>
          <w:trHeight w:val="167"/>
        </w:trPr>
        <w:tc>
          <w:tcPr>
            <w:tcW w:w="7220" w:type="dxa"/>
            <w:vAlign w:val="bottom"/>
          </w:tcPr>
          <w:p>
            <w:pPr>
              <w:jc w:val="right"/>
              <w:ind w:right="3589"/>
              <w:spacing w:after="0"/>
              <w:rPr>
                <w:sz w:val="20"/>
                <w:szCs w:val="20"/>
                <w:color w:val="auto"/>
              </w:rPr>
            </w:pPr>
            <w:r>
              <w:rPr>
                <w:rFonts w:ascii="Courier New" w:cs="Courier New" w:eastAsia="Courier New" w:hAnsi="Courier New"/>
                <w:sz w:val="14"/>
                <w:szCs w:val="14"/>
                <w:color w:val="auto"/>
              </w:rPr>
              <w:t>In foreign offices, Edge and Agreement</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subsidiaries, and IBFs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25,163,274</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Noninterest-bearing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413,981</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Interest-bearing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24,749,293</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Federal funds purchased and securities sold</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under agreements to repurchase ..........................................</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3749"/>
              <w:spacing w:after="0"/>
              <w:rPr>
                <w:sz w:val="20"/>
                <w:szCs w:val="20"/>
                <w:color w:val="auto"/>
              </w:rPr>
            </w:pPr>
            <w:r>
              <w:rPr>
                <w:rFonts w:ascii="Courier New" w:cs="Courier New" w:eastAsia="Courier New" w:hAnsi="Courier New"/>
                <w:sz w:val="14"/>
                <w:szCs w:val="14"/>
                <w:color w:val="auto"/>
              </w:rPr>
              <w:t>Federal funds purchased in domestic</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offices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898,340</w:t>
            </w:r>
          </w:p>
        </w:tc>
      </w:tr>
      <w:tr>
        <w:trPr>
          <w:trHeight w:val="167"/>
        </w:trPr>
        <w:tc>
          <w:tcPr>
            <w:tcW w:w="7220" w:type="dxa"/>
            <w:vAlign w:val="bottom"/>
          </w:tcPr>
          <w:p>
            <w:pPr>
              <w:jc w:val="right"/>
              <w:ind w:right="3749"/>
              <w:spacing w:after="0"/>
              <w:rPr>
                <w:sz w:val="20"/>
                <w:szCs w:val="20"/>
                <w:color w:val="auto"/>
              </w:rPr>
            </w:pPr>
            <w:r>
              <w:rPr>
                <w:rFonts w:ascii="Courier New" w:cs="Courier New" w:eastAsia="Courier New" w:hAnsi="Courier New"/>
                <w:sz w:val="14"/>
                <w:szCs w:val="14"/>
                <w:color w:val="auto"/>
              </w:rPr>
              <w:t>Securities sold under agreements to</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repurchase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721,016</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Trading liabilities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2,377,862</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Other borrowed money:</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3749"/>
              <w:spacing w:after="0"/>
              <w:rPr>
                <w:sz w:val="20"/>
                <w:szCs w:val="20"/>
                <w:color w:val="auto"/>
              </w:rPr>
            </w:pPr>
            <w:r>
              <w:rPr>
                <w:rFonts w:ascii="Courier New" w:cs="Courier New" w:eastAsia="Courier New" w:hAnsi="Courier New"/>
                <w:sz w:val="14"/>
                <w:szCs w:val="14"/>
                <w:color w:val="auto"/>
              </w:rPr>
              <w:t>(includes mortgage indebtedness and</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obligations under capitalized leases)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10,475,320</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c>
          <w:tcPr>
            <w:tcW w:w="1300" w:type="dxa"/>
            <w:vAlign w:val="bottom"/>
          </w:tcPr>
          <w:p>
            <w:pPr>
              <w:spacing w:after="0"/>
              <w:rPr>
                <w:sz w:val="14"/>
                <w:szCs w:val="14"/>
                <w:color w:val="auto"/>
              </w:rPr>
            </w:pP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Bank's liability on acceptances executed and</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outstanding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254,569</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Subordinated notes and debentures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2,422,807</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Other liabilities ..............................................................</w:t>
            </w:r>
          </w:p>
        </w:tc>
        <w:tc>
          <w:tcPr>
            <w:tcW w:w="1300" w:type="dxa"/>
            <w:vAlign w:val="bottom"/>
          </w:tcPr>
          <w:p>
            <w:pPr>
              <w:spacing w:after="0"/>
              <w:rPr>
                <w:sz w:val="14"/>
                <w:szCs w:val="14"/>
                <w:color w:val="auto"/>
              </w:rPr>
            </w:pP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7,321,226</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liabilities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$86,116,130</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subsidiaries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139,967</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EQUITY CAPITAL</w:t>
            </w:r>
          </w:p>
        </w:tc>
        <w:tc>
          <w:tcPr>
            <w:tcW w:w="1300" w:type="dxa"/>
            <w:vAlign w:val="bottom"/>
          </w:tcPr>
          <w:p>
            <w:pPr>
              <w:spacing w:after="0"/>
              <w:rPr>
                <w:sz w:val="24"/>
                <w:szCs w:val="24"/>
                <w:color w:val="auto"/>
              </w:rPr>
            </w:pP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Perpetual preferred stock and related</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surplus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Common stock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1,135,284</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Surplus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2,082,308</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Retained earnings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5,118,989</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Accumulated other comprehensive income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(56,295)</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Other equity capital components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equity capital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8,280,286</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Total liabilities, minority interest, and equity</w:t>
            </w:r>
          </w:p>
        </w:tc>
        <w:tc>
          <w:tcPr>
            <w:tcW w:w="1300" w:type="dxa"/>
            <w:vAlign w:val="bottom"/>
          </w:tcPr>
          <w:p>
            <w:pPr>
              <w:spacing w:after="0"/>
              <w:rPr>
                <w:sz w:val="14"/>
                <w:szCs w:val="14"/>
                <w:color w:val="auto"/>
              </w:rPr>
            </w:pPr>
          </w:p>
        </w:tc>
      </w:tr>
      <w:tr>
        <w:trPr>
          <w:trHeight w:val="167"/>
        </w:trPr>
        <w:tc>
          <w:tcPr>
            <w:tcW w:w="7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capital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$94,536,383</w:t>
            </w:r>
          </w:p>
        </w:tc>
      </w:tr>
      <w:tr>
        <w:trPr>
          <w:trHeight w:val="167"/>
        </w:trPr>
        <w:tc>
          <w:tcPr>
            <w:tcW w:w="72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54" w:right="1440" w:bottom="1440" w:gutter="0" w:footer="0" w:header="0"/>
        </w:sectPr>
      </w:pPr>
    </w:p>
    <w:bookmarkStart w:id="113" w:name="page114"/>
    <w:bookmarkEnd w:id="113"/>
    <w:p>
      <w:pPr>
        <w:ind w:right="3639" w:firstLine="521"/>
        <w:spacing w:after="0" w:line="255" w:lineRule="auto"/>
        <w:rPr>
          <w:sz w:val="20"/>
          <w:szCs w:val="20"/>
          <w:color w:val="auto"/>
        </w:rPr>
      </w:pPr>
      <w:r>
        <w:rPr>
          <w:rFonts w:ascii="Courier New" w:cs="Courier New" w:eastAsia="Courier New" w:hAnsi="Courier New"/>
          <w:sz w:val="14"/>
          <w:szCs w:val="14"/>
          <w:color w:val="auto"/>
        </w:rPr>
        <w:t>I, Thomas J. Mastro, Senior Vice President and Comptroller of the above-named bank do hereby declare that this Report of Condition is true and correct to the best of my knowledge and belief.</w:t>
      </w:r>
    </w:p>
    <w:p>
      <w:pPr>
        <w:spacing w:after="0" w:line="162"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4"/>
          <w:szCs w:val="14"/>
          <w:color w:val="auto"/>
        </w:rPr>
        <w:t>Thomas J. Mastro,</w:t>
      </w:r>
    </w:p>
    <w:p>
      <w:pPr>
        <w:spacing w:after="0" w:line="8"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4"/>
          <w:szCs w:val="14"/>
          <w:color w:val="auto"/>
        </w:rPr>
        <w:t>Senior Vice President and Comptroller</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A. Renyi</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Gerald L. Hassell</w:t>
      </w:r>
      <w:r>
        <w:rPr>
          <w:sz w:val="20"/>
          <w:szCs w:val="20"/>
          <w:color w:val="auto"/>
        </w:rPr>
        <w:tab/>
      </w:r>
      <w:r>
        <w:rPr>
          <w:rFonts w:ascii="Courier New" w:cs="Courier New" w:eastAsia="Courier New" w:hAnsi="Courier New"/>
          <w:sz w:val="14"/>
          <w:szCs w:val="14"/>
          <w:color w:val="auto"/>
        </w:rPr>
        <w:t>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R. Griffith</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3"/>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amp;"/>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1"/>
    </w:lvl>
    <w:lvl w:ilvl="1">
      <w:lvlJc w:val="left"/>
      <w:lvlText w:val="(%2)"/>
      <w:numFmt w:val="decimal"/>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amp;"/>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lvl w:ilvl="1">
      <w:lvlJc w:val="left"/>
      <w:lvlText w:val="*"/>
      <w:numFmt w:val="bullet"/>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1"/>
    </w:lvl>
    <w:lvl w:ilvl="1">
      <w:lvlJc w:val="left"/>
      <w:lvlText w:val="-"/>
      <w:numFmt w:val="bullet"/>
      <w:start w:val="1"/>
    </w:lvl>
  </w:abstractNum>
  <w:abstractNum w:abstractNumId="57">
    <w:nsid w:val="42963E5A"/>
    <w:multiLevelType w:val="hybridMultilevel"/>
    <w:lvl w:ilvl="0">
      <w:lvlJc w:val="left"/>
      <w:lvlText w:val="%1."/>
      <w:numFmt w:val="decimal"/>
      <w:start w:val="1"/>
    </w:lvl>
    <w:lvl w:ilvl="1">
      <w:lvlJc w:val="left"/>
      <w:lvlText w:val="-"/>
      <w:numFmt w:val="bullet"/>
      <w:start w:val="1"/>
    </w:lvl>
  </w:abstractNum>
  <w:abstractNum w:abstractNumId="58">
    <w:nsid w:val="A0382C5"/>
    <w:multiLevelType w:val="hybridMultilevel"/>
    <w:lvl w:ilvl="0">
      <w:lvlJc w:val="left"/>
      <w:lvlText w:val="o"/>
      <w:numFmt w:val="bullet"/>
      <w:start w:val="1"/>
    </w:lvl>
  </w:abstractNum>
  <w:abstractNum w:abstractNumId="59">
    <w:nsid w:val="8F2B15E"/>
    <w:multiLevelType w:val="hybridMultilevel"/>
    <w:lvl w:ilvl="0">
      <w:lvlJc w:val="left"/>
      <w:lvlText w:val="(%1)"/>
      <w:numFmt w:val="decimal"/>
      <w:start w:val="2"/>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2"/>
    </w:lvl>
  </w:abstractNum>
  <w:abstractNum w:abstractNumId="62">
    <w:nsid w:val="68EB2F63"/>
    <w:multiLevelType w:val="hybridMultilevel"/>
    <w:lvl w:ilvl="0">
      <w:lvlJc w:val="left"/>
      <w:lvlText w:val="%1."/>
      <w:numFmt w:val="decimal"/>
      <w:start w:val="3"/>
    </w:lvl>
  </w:abstractNum>
  <w:abstractNum w:abstractNumId="63">
    <w:nsid w:val="4962813B"/>
    <w:multiLevelType w:val="hybridMultilevel"/>
    <w:lvl w:ilvl="0">
      <w:lvlJc w:val="left"/>
      <w:lvlText w:val="%1."/>
      <w:numFmt w:val="decimal"/>
      <w:start w:val="4"/>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5"/>
    </w:lvl>
  </w:abstractNum>
  <w:abstractNum w:abstractNumId="66">
    <w:nsid w:val="14330624"/>
    <w:multiLevelType w:val="hybridMultilevel"/>
    <w:lvl w:ilvl="0">
      <w:lvlJc w:val="left"/>
      <w:lvlText w:val="%1."/>
      <w:numFmt w:val="decimal"/>
      <w:start w:val="6"/>
    </w:lvl>
  </w:abstractNum>
  <w:abstractNum w:abstractNumId="67">
    <w:nsid w:val="7FFFCA11"/>
    <w:multiLevelType w:val="hybridMultilevel"/>
    <w:lvl w:ilvl="0">
      <w:lvlJc w:val="left"/>
      <w:lvlText w:val="%1."/>
      <w:numFmt w:val="decimal"/>
      <w:start w:val="7"/>
    </w:lvl>
  </w:abstractNum>
  <w:abstractNum w:abstractNumId="68">
    <w:nsid w:val="1A27709E"/>
    <w:multiLevelType w:val="hybridMultilevel"/>
    <w:lvl w:ilvl="0">
      <w:lvlJc w:val="left"/>
      <w:lvlText w:val="%1."/>
      <w:numFmt w:val="decimal"/>
      <w:start w:val="8"/>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9"/>
    </w:lvl>
  </w:abstractNum>
  <w:abstractNum w:abstractNumId="71">
    <w:nsid w:val="7FB7E0AA"/>
    <w:multiLevelType w:val="hybridMultilevel"/>
    <w:lvl w:ilvl="0">
      <w:lvlJc w:val="left"/>
      <w:lvlText w:val="%1."/>
      <w:numFmt w:val="decimal"/>
      <w:start w:val="11"/>
    </w:lvl>
  </w:abstractNum>
  <w:abstractNum w:abstractNumId="72">
    <w:nsid w:val="6EB5BD4"/>
    <w:multiLevelType w:val="hybridMultilevel"/>
    <w:lvl w:ilvl="0">
      <w:lvlJc w:val="left"/>
      <w:lvlText w:val="%1"/>
      <w:numFmt w:val="decimal"/>
      <w:start w:val="1"/>
    </w:lvl>
    <w:lvl w:ilvl="1">
      <w:lvlJc w:val="left"/>
      <w:lvlText w:val="(%2)"/>
      <w:numFmt w:val="lowerRoman"/>
      <w:start w:val="2"/>
    </w:lvl>
  </w:abstractNum>
  <w:abstractNum w:abstractNumId="73">
    <w:nsid w:val="6F6DD9AC"/>
    <w:multiLevelType w:val="hybridMultilevel"/>
    <w:lvl w:ilvl="0">
      <w:lvlJc w:val="left"/>
      <w:lvlText w:val="%1."/>
      <w:numFmt w:val="decimal"/>
      <w:start w:val="12"/>
    </w:lvl>
    <w:lvl w:ilvl="1">
      <w:lvlJc w:val="left"/>
      <w:lvlText w:val="%2"/>
      <w:numFmt w:val="lowerRoman"/>
      <w:start w:val="1"/>
    </w:lvl>
  </w:abstractNum>
  <w:abstractNum w:abstractNumId="74">
    <w:nsid w:val="94211F2"/>
    <w:multiLevelType w:val="hybridMultilevel"/>
    <w:lvl w:ilvl="0">
      <w:lvlJc w:val="left"/>
      <w:lvlText w:val="(%1)"/>
      <w:numFmt w:val="decimal"/>
      <w:start w:val="94"/>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1."/>
      <w:numFmt w:val="decimal"/>
      <w:start w:val="13"/>
    </w:lvl>
  </w:abstractNum>
  <w:abstractNum w:abstractNumId="79">
    <w:nsid w:val="14E17E33"/>
    <w:multiLevelType w:val="hybridMultilevel"/>
    <w:lvl w:ilvl="0">
      <w:lvlJc w:val="left"/>
      <w:lvlText w:val="%1."/>
      <w:numFmt w:val="decimal"/>
      <w:start w:val="14"/>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1"/>
    </w:lvl>
    <w:lvl w:ilvl="1">
      <w:lvlJc w:val="left"/>
      <w:lvlText w:val="(%2)"/>
      <w:numFmt w:val="lowerRoman"/>
      <w:start w:val="1"/>
    </w:lvl>
  </w:abstractNum>
  <w:abstractNum w:abstractNumId="86">
    <w:nsid w:val="39EE015C"/>
    <w:multiLevelType w:val="hybridMultilevel"/>
    <w:lvl w:ilvl="0">
      <w:lvlJc w:val="left"/>
      <w:lvlText w:val="(%1)"/>
      <w:numFmt w:val="decimal"/>
      <w:start w:val="2"/>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decimal"/>
      <w:start w:val="1"/>
    </w:lvl>
    <w:lvl w:ilvl="1">
      <w:lvlJc w:val="left"/>
      <w:lvlText w:val="(%2)"/>
      <w:numFmt w:val="lowerLetter"/>
      <w:start w:val="1"/>
    </w:lvl>
  </w:abstractNum>
  <w:abstractNum w:abstractNumId="92">
    <w:nsid w:val="7F01579B"/>
    <w:multiLevelType w:val="hybridMultilevel"/>
    <w:lvl w:ilvl="0">
      <w:lvlJc w:val="left"/>
      <w:lvlText w:val="%1"/>
      <w:numFmt w:val="decimal"/>
      <w:start w:val="1"/>
    </w:lvl>
    <w:lvl w:ilvl="1">
      <w:lvlJc w:val="left"/>
      <w:lvlText w:val="(%2)"/>
      <w:numFmt w:val="lowerLetter"/>
      <w:start w:val="2"/>
    </w:lvl>
  </w:abstractNum>
  <w:abstractNum w:abstractNumId="93">
    <w:nsid w:val="49DA307D"/>
    <w:multiLevelType w:val="hybridMultilevel"/>
    <w:lvl w:ilvl="0">
      <w:lvlJc w:val="left"/>
      <w:lvlText w:val="%1."/>
      <w:numFmt w:val="decimal"/>
      <w:start w:val="2"/>
    </w:lvl>
    <w:lvl w:ilvl="1">
      <w:lvlJc w:val="left"/>
      <w:lvlText w:val="%2"/>
      <w:numFmt w:val="lowerLetter"/>
      <w:start w:val="1"/>
    </w:lvl>
  </w:abstractNum>
  <w:abstractNum w:abstractNumId="94">
    <w:nsid w:val="7055A5F5"/>
    <w:multiLevelType w:val="hybridMultilevel"/>
    <w:lvl w:ilvl="0">
      <w:lvlJc w:val="left"/>
      <w:lvlText w:val="%1."/>
      <w:numFmt w:val="decimal"/>
      <w:start w:val="16"/>
    </w:lvl>
    <w:lvl w:ilvl="1">
      <w:lvlJc w:val="left"/>
      <w:lvlText w:val="%2."/>
      <w:numFmt w:val="decimal"/>
      <w:start w:val="1"/>
    </w:lvl>
  </w:abstractNum>
  <w:abstractNum w:abstractNumId="95">
    <w:nsid w:val="5FB8370B"/>
    <w:multiLevelType w:val="hybridMultilevel"/>
    <w:lvl w:ilvl="0">
      <w:lvlJc w:val="left"/>
      <w:lvlText w:val="%1."/>
      <w:numFmt w:val="decimal"/>
      <w:start w:val="4"/>
    </w:lvl>
  </w:abstractNum>
  <w:abstractNum w:abstractNumId="96">
    <w:nsid w:val="50801EE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2019-12-14T20:10:03Z</dcterms:created>
  <dcterms:modified xsi:type="dcterms:W3CDTF">2019-12-14T20:10:03Z</dcterms:modified>
</cp:coreProperties>
</file>