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7 Pages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STATEMENTS FILES PURSUANT TO RULES 13d-1(b),(c) AND (d) AND AMENDMENTS THERETO FILED PURSUANT TO RULE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2)[FN1]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hanging="204"/>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960" w:right="7479" w:hanging="4"/>
        <w:spacing w:after="0" w:line="290" w:lineRule="auto"/>
        <w:tabs>
          <w:tab w:leader="none" w:pos="117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[FN]</w:t>
      </w:r>
    </w:p>
    <w:p>
      <w:pPr>
        <w:spacing w:after="0" w:line="4" w:lineRule="exact"/>
        <w:rPr>
          <w:rFonts w:ascii="Courier New" w:cs="Courier New" w:eastAsia="Courier New" w:hAnsi="Courier New"/>
          <w:sz w:val="18"/>
          <w:szCs w:val="18"/>
          <w:color w:val="auto"/>
        </w:rPr>
      </w:pPr>
    </w:p>
    <w:p>
      <w:pPr>
        <w:jc w:val="both"/>
        <w:ind w:right="1779" w:firstLine="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Anderson &amp; Stowe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VII, L.P.</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540" w:right="419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451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Number of 5) Sole Voting 10,677,281 Ordinary Shares Beneficially Power Shares</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Owned by Each</w:t>
            </w: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8440" w:type="dxa"/>
            <w:vAlign w:val="bottom"/>
            <w:gridSpan w:val="3"/>
          </w:tcPr>
          <w:p>
            <w:pPr>
              <w:ind w:left="25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02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6)</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440" w:type="dxa"/>
            <w:vAlign w:val="bottom"/>
            <w:gridSpan w:val="3"/>
          </w:tcPr>
          <w:p>
            <w:pPr>
              <w:ind w:left="25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02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7)</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10,677,281 Ordinary</w:t>
            </w:r>
          </w:p>
        </w:tc>
      </w:tr>
      <w:tr>
        <w:trPr>
          <w:trHeight w:val="203"/>
        </w:trPr>
        <w:tc>
          <w:tcPr>
            <w:tcW w:w="302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8440" w:type="dxa"/>
            <w:vAlign w:val="bottom"/>
            <w:gridSpan w:val="3"/>
          </w:tcPr>
          <w:p>
            <w:pPr>
              <w:ind w:left="25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02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8)</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440" w:type="dxa"/>
            <w:vAlign w:val="bottom"/>
            <w:gridSpan w:val="3"/>
          </w:tcPr>
          <w:p>
            <w:pPr>
              <w:ind w:left="25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10,677,281 Ordinary</w:t>
            </w: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Owned by Each Reporting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4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Anderson &amp; Stowe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VI, L.P.</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9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51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3,119,488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3,119,488 Ordinary</w:t>
            </w: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3,119,488 Ordinary</w:t>
            </w:r>
          </w:p>
        </w:tc>
      </w:tr>
      <w:tr>
        <w:trPr>
          <w:trHeight w:val="203"/>
        </w:trPr>
        <w:tc>
          <w:tcPr>
            <w:tcW w:w="3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Owned by Each Reporting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4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Capital</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Partners III, L.P.</w:t>
      </w:r>
    </w:p>
    <w:p>
      <w:pPr>
        <w:ind w:left="540"/>
        <w:spacing w:after="0"/>
        <w:rPr>
          <w:sz w:val="20"/>
          <w:szCs w:val="20"/>
          <w:color w:val="auto"/>
        </w:rPr>
      </w:pPr>
      <w:r>
        <w:rPr>
          <w:rFonts w:ascii="Courier New" w:cs="Courier New" w:eastAsia="Courier New" w:hAnsi="Courier New"/>
          <w:sz w:val="18"/>
          <w:szCs w:val="18"/>
          <w:color w:val="auto"/>
        </w:rPr>
        <w:t>No. of Above Person</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9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51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2,788,571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2,788,571 Ordinary</w:t>
            </w: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2,788,571 Ordinary</w:t>
            </w:r>
          </w:p>
        </w:tc>
      </w:tr>
      <w:tr>
        <w:trPr>
          <w:trHeight w:val="203"/>
        </w:trPr>
        <w:tc>
          <w:tcPr>
            <w:tcW w:w="3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Owned by Each Reporting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4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AMENDMENT NO. 2 TO SCHEDULE 13G</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Reference is hereby made to the statement on Schedule 13G originally filed on January 29, 1999 and Amendment No. 1 thereto filed on January 10, 2000 (as so amended, the "Schedule 13G"). Terms used in the Schedule 13G are used herein as so defined.</w:t>
      </w:r>
    </w:p>
    <w:p>
      <w:pPr>
        <w:spacing w:after="0" w:line="207" w:lineRule="exact"/>
        <w:rPr>
          <w:sz w:val="20"/>
          <w:szCs w:val="20"/>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The following Items of the Schedule 13G are hereby amended and restated to read in their entirety as follows:</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4 -</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220" w:hanging="527"/>
        <w:spacing w:after="0"/>
        <w:tabs>
          <w:tab w:leader="none" w:pos="2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10,677,281 Ordinary Shares</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3,119,488 Ordinary Shares</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0 Ordinary Shares</w:t>
      </w:r>
    </w:p>
    <w:p>
      <w:pPr>
        <w:ind w:left="1700"/>
        <w:spacing w:after="0" w:line="237" w:lineRule="auto"/>
        <w:rPr>
          <w:sz w:val="20"/>
          <w:szCs w:val="20"/>
          <w:color w:val="auto"/>
        </w:rPr>
      </w:pPr>
      <w:r>
        <w:rPr>
          <w:rFonts w:ascii="Courier New" w:cs="Courier New" w:eastAsia="Courier New" w:hAnsi="Courier New"/>
          <w:sz w:val="18"/>
          <w:szCs w:val="18"/>
          <w:color w:val="auto"/>
        </w:rPr>
        <w:t>WCAS CP III: 2,788,571 Ordinary Shares</w:t>
      </w:r>
    </w:p>
    <w:p>
      <w:pPr>
        <w:spacing w:after="0" w:line="202" w:lineRule="exact"/>
        <w:rPr>
          <w:sz w:val="20"/>
          <w:szCs w:val="20"/>
          <w:color w:val="auto"/>
        </w:rPr>
      </w:pPr>
    </w:p>
    <w:p>
      <w:pPr>
        <w:ind w:left="2220" w:hanging="527"/>
        <w:spacing w:after="0"/>
        <w:tabs>
          <w:tab w:leader="none" w:pos="2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4.8%</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1.4%</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8"/>
          <w:szCs w:val="18"/>
          <w:color w:val="auto"/>
        </w:rPr>
        <w:t>0%</w:t>
      </w:r>
    </w:p>
    <w:p>
      <w:pPr>
        <w:ind w:left="1700"/>
        <w:spacing w:after="0" w:line="237" w:lineRule="auto"/>
        <w:rPr>
          <w:sz w:val="20"/>
          <w:szCs w:val="20"/>
          <w:color w:val="auto"/>
        </w:rPr>
      </w:pPr>
      <w:r>
        <w:rPr>
          <w:rFonts w:ascii="Courier New" w:cs="Courier New" w:eastAsia="Courier New" w:hAnsi="Courier New"/>
          <w:sz w:val="18"/>
          <w:szCs w:val="18"/>
          <w:color w:val="auto"/>
        </w:rPr>
        <w:t>WCAS CP III: 1.3%</w:t>
      </w:r>
    </w:p>
    <w:p>
      <w:pPr>
        <w:spacing w:after="0" w:line="200" w:lineRule="exact"/>
        <w:rPr>
          <w:sz w:val="20"/>
          <w:szCs w:val="20"/>
          <w:color w:val="auto"/>
        </w:rPr>
      </w:pPr>
    </w:p>
    <w:p>
      <w:pPr>
        <w:spacing w:after="0" w:line="204" w:lineRule="exact"/>
        <w:rPr>
          <w:sz w:val="20"/>
          <w:szCs w:val="20"/>
          <w:color w:val="auto"/>
        </w:rPr>
      </w:pPr>
    </w:p>
    <w:p>
      <w:pPr>
        <w:ind w:left="2220" w:hanging="527"/>
        <w:spacing w:after="0"/>
        <w:tabs>
          <w:tab w:leader="none" w:pos="2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220" w:hanging="527"/>
        <w:spacing w:after="0"/>
        <w:tabs>
          <w:tab w:leader="none" w:pos="2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10,677,281 Ordinary Shares</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3,119,488 Ordinary Shares</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0 Ordinary Shares</w:t>
      </w:r>
    </w:p>
    <w:p>
      <w:pPr>
        <w:ind w:left="1700"/>
        <w:spacing w:after="0" w:line="237" w:lineRule="auto"/>
        <w:rPr>
          <w:sz w:val="20"/>
          <w:szCs w:val="20"/>
          <w:color w:val="auto"/>
        </w:rPr>
      </w:pPr>
      <w:r>
        <w:rPr>
          <w:rFonts w:ascii="Courier New" w:cs="Courier New" w:eastAsia="Courier New" w:hAnsi="Courier New"/>
          <w:sz w:val="18"/>
          <w:szCs w:val="18"/>
          <w:color w:val="auto"/>
        </w:rPr>
        <w:t>WCAS CP III: 2,788,571 Ordinary Shares</w:t>
      </w:r>
    </w:p>
    <w:p>
      <w:pPr>
        <w:spacing w:after="0" w:line="202" w:lineRule="exact"/>
        <w:rPr>
          <w:sz w:val="20"/>
          <w:szCs w:val="20"/>
          <w:color w:val="auto"/>
        </w:rPr>
      </w:pPr>
    </w:p>
    <w:p>
      <w:pPr>
        <w:ind w:left="2320" w:hanging="627"/>
        <w:spacing w:after="0"/>
        <w:tabs>
          <w:tab w:leader="none" w:pos="2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10,677,281 Ordinary Shares</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3,119,488 Ordinary Shares</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6 of 7 Pages</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0 Ordinary Shares</w:t>
      </w:r>
    </w:p>
    <w:p>
      <w:pPr>
        <w:ind w:left="1700"/>
        <w:spacing w:after="0" w:line="238" w:lineRule="auto"/>
        <w:rPr>
          <w:sz w:val="20"/>
          <w:szCs w:val="20"/>
          <w:color w:val="auto"/>
        </w:rPr>
      </w:pPr>
      <w:r>
        <w:rPr>
          <w:rFonts w:ascii="Courier New" w:cs="Courier New" w:eastAsia="Courier New" w:hAnsi="Courier New"/>
          <w:sz w:val="18"/>
          <w:szCs w:val="18"/>
          <w:color w:val="auto"/>
        </w:rPr>
        <w:t>WCAS CP III: 2,788,571 Ordinary Shares</w:t>
      </w:r>
    </w:p>
    <w:p>
      <w:pPr>
        <w:spacing w:after="0" w:line="207" w:lineRule="exact"/>
        <w:rPr>
          <w:sz w:val="20"/>
          <w:szCs w:val="20"/>
          <w:color w:val="auto"/>
        </w:rPr>
      </w:pPr>
    </w:p>
    <w:p>
      <w:pPr>
        <w:ind w:left="1700" w:right="3779" w:hanging="7"/>
        <w:spacing w:after="0" w:line="235" w:lineRule="auto"/>
        <w:tabs>
          <w:tab w:leader="none" w:pos="22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919" w:right="1440" w:bottom="1440" w:gutter="0" w:footer="0" w:header="0"/>
          <w:type w:val="continuous"/>
        </w:sectPr>
      </w:pPr>
    </w:p>
    <w:bookmarkStart w:id="6" w:name="page7"/>
    <w:bookmarkEnd w:id="6"/>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WELSH, CARSON, ANDERSON &amp; STOWE VII,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VII Partners, L.P., General Partner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WELSH, CARSON, ANDERSON &amp; STOWE VI,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 Partners, L.P., General Partner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WCAS INFORMATION PARTNERS,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IP Partners, General Partner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WCAS CAPITAL PARTNERS III,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CP III Associates, L.L.C., General Partner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29, 2001</w:t>
      </w:r>
    </w:p>
    <w:p>
      <w:pPr>
        <w:sectPr>
          <w:pgSz w:w="11900" w:h="16838" w:orient="portrait"/>
          <w:cols w:equalWidth="0" w:num="1">
            <w:col w:w="10219"/>
          </w:cols>
          <w:pgMar w:left="240" w:top="919"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2019-12-11T23:21:45Z</dcterms:created>
  <dcterms:modified xsi:type="dcterms:W3CDTF">2019-12-11T23:21:45Z</dcterms:modified>
</cp:coreProperties>
</file>