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As filed with the Securities and Exchange Commission on September 23, 2004</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Statement No. 333-114344</w:t>
      </w:r>
    </w:p>
    <w:p>
      <w:pPr>
        <w:spacing w:after="0" w:line="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3 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F-3</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2740"/>
        <w:spacing w:after="0"/>
        <w:rPr>
          <w:sz w:val="20"/>
          <w:szCs w:val="20"/>
          <w:color w:val="auto"/>
        </w:rPr>
      </w:pPr>
      <w:r>
        <w:rPr>
          <w:rFonts w:ascii="Courier New" w:cs="Courier New" w:eastAsia="Courier New" w:hAnsi="Courier New"/>
          <w:sz w:val="18"/>
          <w:szCs w:val="18"/>
          <w:color w:val="auto"/>
        </w:rPr>
        <w:t>----------------------------</w:t>
      </w:r>
    </w:p>
    <w:p>
      <w:pPr>
        <w:sectPr>
          <w:pgSz w:w="11900" w:h="16884" w:orient="portrait"/>
          <w:cols w:equalWidth="0" w:num="1">
            <w:col w:w="10219"/>
          </w:cols>
          <w:pgMar w:left="240" w:top="649" w:right="1440" w:bottom="0" w:gutter="0" w:footer="0" w:header="0"/>
        </w:sectPr>
      </w:pPr>
    </w:p>
    <w:p>
      <w:pPr>
        <w:spacing w:after="0" w:line="200"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ISLAND OF GUERNSEY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 incorporation or</w:t>
      </w:r>
    </w:p>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84" w:orient="portrait"/>
          <w:cols w:equalWidth="0" w:num="2">
            <w:col w:w="5600" w:space="720"/>
            <w:col w:w="3899"/>
          </w:cols>
          <w:pgMar w:left="240" w:top="649" w:right="1440" w:bottom="0" w:gutter="0" w:footer="0" w:header="0"/>
          <w:type w:val="continuous"/>
        </w:sectPr>
      </w:pP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ectPr>
          <w:pgSz w:w="11900" w:h="16884" w:orient="portrait"/>
          <w:cols w:equalWidth="0" w:num="1">
            <w:col w:w="10219"/>
          </w:cols>
          <w:pgMar w:left="240" w:top="649" w:right="1440" w:bottom="0"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011-44-1481-728444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and telephone number of registrant's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jc w:val="center"/>
        <w:ind w:right="1659"/>
        <w:spacing w:after="0"/>
        <w:rPr>
          <w:sz w:val="20"/>
          <w:szCs w:val="20"/>
          <w:color w:val="auto"/>
        </w:rPr>
      </w:pPr>
      <w:r>
        <w:rPr>
          <w:rFonts w:ascii="Courier New" w:cs="Courier New" w:eastAsia="Courier New" w:hAnsi="Courier New"/>
          <w:sz w:val="18"/>
          <w:szCs w:val="18"/>
          <w:color w:val="auto"/>
        </w:rPr>
        <w:t>ATTENTION: THOMAS G. O'BRIEN, TREASURER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(314) 212-8328</w:t>
      </w:r>
    </w:p>
    <w:p>
      <w:pPr>
        <w:jc w:val="center"/>
        <w:ind w:right="1659"/>
        <w:spacing w:after="0" w:line="238" w:lineRule="auto"/>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00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480"/>
        <w:spacing w:after="0"/>
        <w:rPr>
          <w:sz w:val="20"/>
          <w:szCs w:val="20"/>
          <w:color w:val="auto"/>
        </w:rPr>
      </w:pPr>
      <w:r>
        <w:rPr>
          <w:rFonts w:ascii="Courier New" w:cs="Courier New" w:eastAsia="Courier New" w:hAnsi="Courier New"/>
          <w:sz w:val="18"/>
          <w:szCs w:val="18"/>
          <w:color w:val="auto"/>
        </w:rPr>
        <w:t>300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480"/>
        <w:spacing w:after="0" w:line="238" w:lineRule="auto"/>
        <w:rPr>
          <w:sz w:val="20"/>
          <w:szCs w:val="20"/>
          <w:color w:val="auto"/>
        </w:rPr>
      </w:pPr>
      <w:r>
        <w:rPr>
          <w:rFonts w:ascii="Courier New" w:cs="Courier New" w:eastAsia="Courier New" w:hAnsi="Courier New"/>
          <w:sz w:val="18"/>
          <w:szCs w:val="18"/>
          <w:color w:val="auto"/>
        </w:rPr>
        <w:t>(212) 937-7200</w:t>
      </w:r>
    </w:p>
    <w:p>
      <w:pPr>
        <w:spacing w:after="0" w:line="208"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From time to time after this Registration Statement becomes effective.</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_________________</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w:t>
      </w:r>
    </w:p>
    <w:p>
      <w:pPr>
        <w:spacing w:after="0" w:line="207"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COMPANY HEREBY AMENDS THIS REGISTRATION STATEMENT ON SUCH DATE OR DATES AS MAY BE NECESSARY TO DELAY ITS EFFECTIVE DATE UNTIL THE COMPANY SHALL FILE A FURTHER AMENDMENT WHICH SPECIFICALLY STATES THAT THIS REGISTRATION STATEMENT</w:t>
      </w:r>
    </w:p>
    <w:p>
      <w:pPr>
        <w:sectPr>
          <w:pgSz w:w="11900" w:h="16884" w:orient="portrait"/>
          <w:cols w:equalWidth="0" w:num="1">
            <w:col w:w="10219"/>
          </w:cols>
          <w:pgMar w:left="240" w:top="649"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SHALL THEREAFTER BECOME EFFECTIVE IN ACCORDANCE WITH SECTION 8(a) OF THE SECURITIES ACT OF 1933 OR UNTIL THE REGISTRATION STATEMENT SHALL BECOME EFFECTIVE ON SUCH DATE AS THE COMMISSION, ACTING PURSUANT TO SAID SECTION 8(a), MAY DETERMINE.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right="1879" w:firstLine="632"/>
        <w:spacing w:after="0" w:line="237" w:lineRule="auto"/>
        <w:rPr>
          <w:sz w:val="20"/>
          <w:szCs w:val="20"/>
          <w:color w:val="auto"/>
        </w:rPr>
      </w:pPr>
      <w:r>
        <w:rPr>
          <w:rFonts w:ascii="Courier New" w:cs="Courier New" w:eastAsia="Courier New" w:hAnsi="Courier New"/>
          <w:sz w:val="18"/>
          <w:szCs w:val="18"/>
          <w:color w:val="auto"/>
        </w:rPr>
        <w:t>This Amendment No. 3 to the Registrant's Registration Statement on Form F-3 (File No. 333-114344) is being filed solely for the purpose of filing a certain exhibit, and no changes or additions are being made hereby to the prospectus which forms a part of this Registration Statement. Accordingly, the prospectus has been omitted from this filing.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128"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INDEMNIFICATION OF DIRECTORS AND OFFICERS.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8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2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220" w:type="dxa"/>
            <w:vAlign w:val="bottom"/>
          </w:tcPr>
          <w:p>
            <w:pPr>
              <w:ind w:left="322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220" w:type="dxa"/>
            <w:vAlign w:val="bottom"/>
          </w:tcPr>
          <w:p>
            <w:pPr>
              <w:ind w:left="3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Memorandum and Articles of Association of Amdocs Limited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(incorporated by reference to Exhibits 3.1 and 3.2 to Amdocs'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Registration Statement on Form F-1 dated June 19, 1998;</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Registration No. 333-8826)</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4.2</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Specimen Certificate for the ordinary shares of Amdocs Limited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(incorporated by reference to Exhibit 4.1 to Amdocs' Registration</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Statement on Form F-1 dated June 19, 1998; Registration No.</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333-8826)</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4.3</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Indenture, dated March 5, 2004, between Amdocs Limited and The</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Bank of New York, as trustee, for 0.50% Convertible Senior Notes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due 2024 (incorporated by reference to Exhibit 99.1 to Amdocs'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Report on Form 6-K, filed March 5, 2004)</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4.4</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w w:val="98"/>
              </w:rPr>
              <w:t>Registration Rights Agreement, dated March 5, 2004, among Amdocs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Limited and Morgan Stanley &amp; Co. Incorporated, Goldman, Sachs &amp;</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 and Merrill Lynch, Pierce Fenner &amp; Smith Incorporated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(incorporated by reference to Exhibit 99.2 to Amdocs' Report on</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Form 6-K, filed March 5, 2004)</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Opinion of Carey Olsen.</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5.2</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Opinion of Wilmer Cutler Pickering Hale and Dorr LLP.</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Compuation of Ratio of Earnings to Fixed Charges.</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Consent of Ernst &amp; Young LLP.</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23.2*</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Consent of Deloitte &amp; Touche, LLP.</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23.3*</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Consent of Carey Olsen (included in Exhibit 5.1).</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23.4</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Consent of Wilmer Cutler Pickering Hale and Dorr LLP</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(included in Exhibit 5.2).</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24.1*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Power of Attorney.</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99.1*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w w:val="98"/>
              </w:rPr>
              <w:t>Share Purchase Agreement dated as of May 28, 2003 between Amdocs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Holdings ULC and Bell Canada.</w:t>
            </w:r>
          </w:p>
        </w:tc>
      </w:tr>
      <w:tr>
        <w:trPr>
          <w:trHeight w:val="405"/>
        </w:trPr>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99.2*+</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w w:val="97"/>
              </w:rPr>
              <w:t>Software Master Agreement between Amdocs Software Systems Limited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 SBC Services, Inc., effective December 10, 2003.</w:t>
            </w:r>
          </w:p>
        </w:tc>
      </w:tr>
    </w:tbl>
    <w:p>
      <w:pPr>
        <w:sectPr>
          <w:pgSz w:w="11900" w:h="16838" w:orient="portrait"/>
          <w:cols w:equalWidth="0" w:num="1">
            <w:col w:w="10219"/>
          </w:cols>
          <w:pgMar w:left="240" w:top="717" w:right="1440" w:bottom="0" w:gutter="0" w:footer="0" w:header="0"/>
        </w:sectPr>
      </w:pPr>
    </w:p>
    <w:bookmarkStart w:id="4" w:name="page5"/>
    <w:bookmarkEnd w:id="4"/>
    <w:p>
      <w:pPr>
        <w:jc w:val="center"/>
        <w:ind w:left="360"/>
        <w:spacing w:after="0" w:line="235" w:lineRule="auto"/>
        <w:rPr>
          <w:sz w:val="20"/>
          <w:szCs w:val="20"/>
          <w:color w:val="auto"/>
        </w:rPr>
      </w:pPr>
      <w:r>
        <w:rPr>
          <w:rFonts w:ascii="Courier New" w:cs="Courier New" w:eastAsia="Courier New" w:hAnsi="Courier New"/>
          <w:sz w:val="18"/>
          <w:szCs w:val="18"/>
          <w:color w:val="auto"/>
        </w:rPr>
        <w:t>99.3*+        Agreement between Amdocs Inc. and SBC Services, Inc. for Software and Professional Services, effective August 7, 2003.</w:t>
      </w: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4" w:lineRule="exact"/>
        <w:rPr>
          <w:rFonts w:ascii="Courier New" w:cs="Courier New" w:eastAsia="Courier New" w:hAnsi="Courier New"/>
          <w:sz w:val="18"/>
          <w:szCs w:val="18"/>
          <w:color w:val="auto"/>
        </w:rPr>
      </w:pPr>
    </w:p>
    <w:p>
      <w:pPr>
        <w:ind w:left="220" w:right="199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10. UNDERTAKINGS.</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Item 512(a) of Regulation S-K. The undersigned Registrant hereby undertakes:</w:t>
      </w:r>
    </w:p>
    <w:p>
      <w:pPr>
        <w:spacing w:after="0" w:line="208" w:lineRule="exact"/>
        <w:rPr>
          <w:sz w:val="20"/>
          <w:szCs w:val="20"/>
          <w:color w:val="auto"/>
        </w:rPr>
      </w:pPr>
    </w:p>
    <w:p>
      <w:pPr>
        <w:ind w:left="1580" w:right="1879" w:hanging="624"/>
        <w:spacing w:after="0" w:line="290" w:lineRule="auto"/>
        <w:tabs>
          <w:tab w:leader="none" w:pos="15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1900" w:right="2199" w:firstLine="952"/>
        <w:spacing w:after="0" w:line="236" w:lineRule="auto"/>
        <w:tabs>
          <w:tab w:leader="none" w:pos="3796"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1900" w:right="1879" w:firstLine="952"/>
        <w:spacing w:after="0" w:line="269" w:lineRule="auto"/>
        <w:tabs>
          <w:tab w:leader="none" w:pos="3796"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96" w:lineRule="exact"/>
        <w:rPr>
          <w:rFonts w:ascii="Courier New" w:cs="Courier New" w:eastAsia="Courier New" w:hAnsi="Courier New"/>
          <w:sz w:val="16"/>
          <w:szCs w:val="16"/>
          <w:color w:val="auto"/>
        </w:rPr>
      </w:pPr>
    </w:p>
    <w:p>
      <w:pPr>
        <w:ind w:left="1900" w:right="1879" w:firstLine="952"/>
        <w:spacing w:after="0" w:line="237" w:lineRule="auto"/>
        <w:tabs>
          <w:tab w:leader="none" w:pos="3796"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85" w:lineRule="exact"/>
        <w:rPr>
          <w:sz w:val="20"/>
          <w:szCs w:val="20"/>
          <w:color w:val="auto"/>
        </w:rPr>
      </w:pPr>
    </w:p>
    <w:p>
      <w:pPr>
        <w:ind w:left="1580" w:right="1879" w:hanging="624"/>
        <w:spacing w:after="0" w:line="273" w:lineRule="auto"/>
        <w:tabs>
          <w:tab w:leader="none" w:pos="15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1580" w:right="2199" w:hanging="624"/>
        <w:spacing w:after="0" w:line="236"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ind w:right="1779"/>
        <w:spacing w:after="0" w:line="271" w:lineRule="auto"/>
        <w:rPr>
          <w:sz w:val="20"/>
          <w:szCs w:val="20"/>
          <w:color w:val="auto"/>
        </w:rPr>
      </w:pPr>
      <w:r>
        <w:rPr>
          <w:rFonts w:ascii="Courier New" w:cs="Courier New" w:eastAsia="Courier New" w:hAnsi="Courier New"/>
          <w:sz w:val="16"/>
          <w:szCs w:val="16"/>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520"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F-3 and has duly caused this Amendment No. 3 to Registration Statement to be signed on its behalf by the undersigned, thereunto duly authorized, in the city of New York, State of New York, on this 23rd day of September, 2004.</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Thomas G. O'Brien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7" w:lineRule="auto"/>
        <w:rPr>
          <w:sz w:val="20"/>
          <w:szCs w:val="20"/>
          <w:color w:val="auto"/>
        </w:rPr>
      </w:pPr>
      <w:r>
        <w:rPr>
          <w:rFonts w:ascii="Courier New" w:cs="Courier New" w:eastAsia="Courier New" w:hAnsi="Courier New"/>
          <w:sz w:val="18"/>
          <w:szCs w:val="18"/>
          <w:color w:val="auto"/>
        </w:rPr>
        <w:t>Treasurer and Secretary</w:t>
      </w:r>
    </w:p>
    <w:p>
      <w:pPr>
        <w:ind w:left="4440"/>
        <w:spacing w:after="0" w:line="238" w:lineRule="auto"/>
        <w:rPr>
          <w:sz w:val="20"/>
          <w:szCs w:val="20"/>
          <w:color w:val="auto"/>
        </w:rPr>
      </w:pPr>
      <w:r>
        <w:rPr>
          <w:rFonts w:ascii="Courier New" w:cs="Courier New" w:eastAsia="Courier New" w:hAnsi="Courier New"/>
          <w:sz w:val="18"/>
          <w:szCs w:val="18"/>
          <w:color w:val="auto"/>
        </w:rPr>
        <w:t>Authorized U.S. Representative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20"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960"/>
          </w:cols>
          <w:pgMar w:left="240" w:top="717"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180" w:space="720"/>
            <w:col w:w="3080" w:space="720"/>
            <w:col w:w="1260"/>
          </w:cols>
          <w:pgMar w:left="240" w:top="717" w:right="699"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800"/>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23, 2004</w:t>
      </w:r>
    </w:p>
    <w:p>
      <w:pPr>
        <w:spacing w:after="0" w:line="16" w:lineRule="exact"/>
        <w:rPr>
          <w:sz w:val="20"/>
          <w:szCs w:val="20"/>
          <w:color w:val="auto"/>
        </w:rPr>
      </w:pPr>
    </w:p>
    <w:p>
      <w:pPr>
        <w:sectPr>
          <w:pgSz w:w="11900" w:h="16838" w:orient="portrait"/>
          <w:cols w:equalWidth="0" w:num="3">
            <w:col w:w="3600" w:space="720"/>
            <w:col w:w="4020" w:space="720"/>
            <w:col w:w="1900"/>
          </w:cols>
          <w:pgMar w:left="240" w:top="717" w:right="699" w:bottom="1440" w:gutter="0" w:footer="0" w:header="0"/>
          <w:type w:val="continuous"/>
        </w:sect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w:t>
      </w:r>
    </w:p>
    <w:p>
      <w:pPr>
        <w:spacing w:after="0" w:line="202" w:lineRule="exact"/>
        <w:rPr>
          <w:sz w:val="20"/>
          <w:szCs w:val="20"/>
          <w:color w:val="auto"/>
        </w:rPr>
      </w:pPr>
    </w:p>
    <w:p>
      <w:pPr>
        <w:spacing w:after="0"/>
        <w:tabs>
          <w:tab w:leader="none" w:pos="4200" w:val="left"/>
          <w:tab w:leader="none" w:pos="9040" w:val="left"/>
        </w:tabs>
        <w:rPr>
          <w:sz w:val="20"/>
          <w:szCs w:val="20"/>
          <w:color w:val="auto"/>
        </w:rPr>
      </w:pPr>
      <w:r>
        <w:rPr>
          <w:rFonts w:ascii="Courier New" w:cs="Courier New" w:eastAsia="Courier New" w:hAnsi="Courier New"/>
          <w:sz w:val="18"/>
          <w:szCs w:val="18"/>
          <w:color w:val="auto"/>
        </w:rPr>
        <w:t>/s/ Dov Baharav</w:t>
      </w:r>
      <w:r>
        <w:rPr>
          <w:sz w:val="20"/>
          <w:szCs w:val="20"/>
          <w:color w:val="auto"/>
        </w:rPr>
        <w:tab/>
      </w:r>
      <w:r>
        <w:rPr>
          <w:rFonts w:ascii="Courier New" w:cs="Courier New" w:eastAsia="Courier New" w:hAnsi="Courier New"/>
          <w:sz w:val="18"/>
          <w:szCs w:val="18"/>
          <w:color w:val="auto"/>
        </w:rPr>
        <w:t>Director and Principal Executive Officer</w:t>
      </w:r>
      <w:r>
        <w:rPr>
          <w:sz w:val="20"/>
          <w:szCs w:val="20"/>
          <w:color w:val="auto"/>
        </w:rPr>
        <w:tab/>
      </w:r>
      <w:r>
        <w:rPr>
          <w:rFonts w:ascii="Courier New" w:cs="Courier New" w:eastAsia="Courier New" w:hAnsi="Courier New"/>
          <w:sz w:val="16"/>
          <w:szCs w:val="16"/>
          <w:color w:val="auto"/>
        </w:rPr>
        <w:t>September 23, 2004</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 Baharav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960"/>
          </w:cols>
          <w:pgMar w:left="240" w:top="717" w:right="69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/s/ Ron Moskovitz</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Principal Accounting Officer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Ron Moskovitz</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A. Minicucci</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Adrian Gardner</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E. Foster</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Eli Gelman</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S. Kahan</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Nehmeia Lemelbaum</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T. McLennan</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2840" w:type="dxa"/>
            <w:vAlign w:val="bottom"/>
          </w:tcPr>
          <w:p>
            <w:pPr>
              <w:ind w:left="960"/>
              <w:spacing w:after="0"/>
              <w:rPr>
                <w:sz w:val="20"/>
                <w:szCs w:val="20"/>
                <w:color w:val="auto"/>
              </w:rPr>
            </w:pPr>
            <w:r>
              <w:rPr>
                <w:rFonts w:ascii="Courier New" w:cs="Courier New" w:eastAsia="Courier New" w:hAnsi="Courier New"/>
                <w:sz w:val="18"/>
                <w:szCs w:val="18"/>
                <w:color w:val="auto"/>
                <w:w w:val="95"/>
              </w:rPr>
              <w:t>September 23, 2004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Mario Segal</w:t>
            </w:r>
          </w:p>
        </w:tc>
        <w:tc>
          <w:tcPr>
            <w:tcW w:w="420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 Thomas G. O'Brien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640" w:right="8620"/>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Thomas G. O'Brien Attorney-in-Fact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1060"/>
          </w:cols>
          <w:pgMar w:left="240" w:top="1325" w:right="599" w:bottom="1440" w:gutter="0" w:footer="0" w:header="0"/>
        </w:sectPr>
      </w:pPr>
    </w:p>
    <w:bookmarkStart w:id="9" w:name="page10"/>
    <w:bookmarkEnd w:id="9"/>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2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220" w:type="dxa"/>
            <w:vAlign w:val="bottom"/>
          </w:tcPr>
          <w:p>
            <w:pPr>
              <w:ind w:left="322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220" w:type="dxa"/>
            <w:vAlign w:val="bottom"/>
          </w:tcPr>
          <w:p>
            <w:pPr>
              <w:ind w:left="3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Memorandum and Articles of Association of Amdocs Limited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(incorporated by reference to Exhibits 3.1 and 3.2 to Amdocs'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Registration Statement on Form F-1 dated June 19, 1998;</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Registration No. 333-8826)</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4.2</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Specimen Certificate for the ordinary shares of Amdocs Limited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(incorporated by reference to Exhibit 4.1 to Amdocs' Registration</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Statement on Form F-1 dated June 19, 1998; Registration No.</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333-8826)</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4.3</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Indenture, dated March 5, 2004, between Amdocs Limited and The</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Bank of New York, as trustee, for 0.50% Convertible Senior Notes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due 2024 (incorporated by reference to Exhibit 99.1 to Amdocs'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Report on Form 6-K, filed March 5, 2004)</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4.4</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w w:val="98"/>
              </w:rPr>
              <w:t>Registration Rights Agreement, dated March 5, 2004, among Amdocs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Limited and Morgan Stanley &amp; Co. Incorporated, Goldman, Sachs &amp;</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 and Merrill Lynch, Pierce Fenner &amp; Smith Incorporated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(incorporated by reference to Exhibit 99.2 to Amdocs' Report on</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Form 6-K, filed March 5, 2004)</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Opinion of Carey Olsen.</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5.2</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Opinion of Wilmer Cutler Pickering Hale and Dorr LLP.</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Computation of Ratio of Earnings to Fixed Charges</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Consent of Ernst &amp; Young LLP.</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23.2*</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Consent of Deloitte &amp; Touche, LLP.</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23.3*</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Consent of Carey Olsen (included in Exhibit 5.1).</w:t>
            </w:r>
          </w:p>
        </w:tc>
      </w:tr>
      <w:tr>
        <w:trPr>
          <w:trHeight w:val="405"/>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23.4</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rPr>
              <w:t>Consent of Wilmer Cutler Pickering Hale and Dorr LLP (included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 Exhibit 5.2).</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24.1*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w w:val="97"/>
              </w:rPr>
              <w:t>Power of Attorney (See page II-4 of this Registration Statement).</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99.1*</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w w:val="98"/>
              </w:rPr>
              <w:t>Share Purchase Agreement dated as of May 28, 2003 between Amdocs</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Holdings ULC and Bell Canada.</w:t>
            </w:r>
          </w:p>
        </w:tc>
      </w:tr>
      <w:tr>
        <w:trPr>
          <w:trHeight w:val="405"/>
        </w:trPr>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99.2*+</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w w:val="97"/>
              </w:rPr>
              <w:t>Software Master Agreement between Amdocs Software Systems Limited</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 SBC Services, Inc., effective December 10, 2003.</w:t>
            </w:r>
          </w:p>
        </w:tc>
      </w:tr>
      <w:tr>
        <w:trPr>
          <w:trHeight w:val="405"/>
        </w:trPr>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99.3*+</w:t>
            </w:r>
          </w:p>
        </w:tc>
        <w:tc>
          <w:tcPr>
            <w:tcW w:w="7220" w:type="dxa"/>
            <w:vAlign w:val="bottom"/>
          </w:tcPr>
          <w:p>
            <w:pPr>
              <w:ind w:left="360"/>
              <w:spacing w:after="0"/>
              <w:rPr>
                <w:sz w:val="20"/>
                <w:szCs w:val="20"/>
                <w:color w:val="auto"/>
              </w:rPr>
            </w:pPr>
            <w:r>
              <w:rPr>
                <w:rFonts w:ascii="Courier New" w:cs="Courier New" w:eastAsia="Courier New" w:hAnsi="Courier New"/>
                <w:sz w:val="18"/>
                <w:szCs w:val="18"/>
                <w:color w:val="auto"/>
                <w:w w:val="97"/>
              </w:rPr>
              <w:t>Agreement between Amdocs Inc. and SBC Services, Inc. for Software</w:t>
            </w:r>
          </w:p>
        </w:tc>
      </w:tr>
      <w:tr>
        <w:trPr>
          <w:trHeight w:val="203"/>
        </w:trPr>
        <w:tc>
          <w:tcPr>
            <w:tcW w:w="1220" w:type="dxa"/>
            <w:vAlign w:val="bottom"/>
          </w:tcPr>
          <w:p>
            <w:pPr>
              <w:spacing w:after="0"/>
              <w:rPr>
                <w:sz w:val="17"/>
                <w:szCs w:val="17"/>
                <w:color w:val="auto"/>
              </w:rPr>
            </w:pPr>
          </w:p>
        </w:tc>
        <w:tc>
          <w:tcPr>
            <w:tcW w:w="7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 Professional Services, effective August 7, 2003.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Previously filed.</w:t>
      </w:r>
    </w:p>
    <w:p>
      <w:pPr>
        <w:spacing w:after="0" w:line="5" w:lineRule="exact"/>
        <w:rPr>
          <w:sz w:val="20"/>
          <w:szCs w:val="20"/>
          <w:color w:val="auto"/>
        </w:rPr>
      </w:pPr>
    </w:p>
    <w:p>
      <w:pPr>
        <w:ind w:left="220" w:right="1999" w:hanging="212"/>
        <w:spacing w:after="0" w:line="235"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[LETTERHEAD OF WILMER CUTLER PICKERING HALE AND DORR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23,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Tower Hill House</w:t>
      </w:r>
    </w:p>
    <w:p>
      <w:pPr>
        <w:spacing w:after="0"/>
        <w:rPr>
          <w:sz w:val="20"/>
          <w:szCs w:val="20"/>
          <w:color w:val="auto"/>
        </w:rPr>
      </w:pPr>
      <w:r>
        <w:rPr>
          <w:rFonts w:ascii="Courier New" w:cs="Courier New" w:eastAsia="Courier New" w:hAnsi="Courier New"/>
          <w:sz w:val="18"/>
          <w:szCs w:val="18"/>
          <w:color w:val="auto"/>
        </w:rPr>
        <w:t>The Bordage</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Registration Statement on Form F-3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540"/>
              <w:spacing w:after="0"/>
              <w:rPr>
                <w:sz w:val="20"/>
                <w:szCs w:val="20"/>
                <w:color w:val="auto"/>
              </w:rPr>
            </w:pPr>
            <w:r>
              <w:rPr>
                <w:rFonts w:ascii="Courier New" w:cs="Courier New" w:eastAsia="Courier New" w:hAnsi="Courier New"/>
                <w:sz w:val="18"/>
                <w:szCs w:val="18"/>
                <w:color w:val="auto"/>
              </w:rPr>
              <w:t>This opinion</w:t>
            </w:r>
          </w:p>
        </w:tc>
        <w:tc>
          <w:tcPr>
            <w:tcW w:w="65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is furnished to you in connection with a Registration</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on Form</w:t>
            </w:r>
          </w:p>
        </w:tc>
        <w:tc>
          <w:tcPr>
            <w:tcW w:w="4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F-3 (File No. 333-114334) (the "Registration</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Statement") filed</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with the Securities and</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Exchange Commission (the "Commission")</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 the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Act of</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1933,</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amended (the "Securities Act"), for</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registration</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$450.0 million</w:t>
            </w:r>
          </w:p>
        </w:tc>
        <w:tc>
          <w:tcPr>
            <w:tcW w:w="6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aggregate principal amount of 0.50% Convertible Senior Notes</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due 2024 (the "Notes"),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Amdocs Limited, a company organized</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 the law of</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Guernsey, Channel</w:t>
            </w:r>
          </w:p>
        </w:tc>
        <w:tc>
          <w:tcPr>
            <w:tcW w:w="6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Islands (the "Company"), and the ordinary shares, (pound)0.01</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 of the</w:t>
            </w:r>
          </w:p>
        </w:tc>
        <w:tc>
          <w:tcPr>
            <w:tcW w:w="6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Company issuable upon conversion of the Notes (the "Shares",</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together with</w:t>
            </w:r>
          </w:p>
        </w:tc>
        <w:tc>
          <w:tcPr>
            <w:tcW w:w="6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the Notes, the "Securities"). All of the Securities are being</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registered on behalf of</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certain securityholders of the Company.</w:t>
            </w:r>
          </w:p>
        </w:tc>
        <w:tc>
          <w:tcPr>
            <w:tcW w:w="1800" w:type="dxa"/>
            <w:vAlign w:val="bottom"/>
          </w:tcPr>
          <w:p>
            <w:pPr>
              <w:spacing w:after="0"/>
              <w:rPr>
                <w:sz w:val="17"/>
                <w:szCs w:val="17"/>
                <w:color w:val="auto"/>
              </w:rPr>
            </w:pPr>
          </w:p>
        </w:tc>
      </w:tr>
    </w:tbl>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Notes were issued pursuant to an Indenture, dated March 5, 2004 (the "Indenture"), between the Company and The Bank of New York, as trustee (the "Trustee").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acting as counsel for the Company in connection with the registration for resale of the Notes. We have examined signed copies of the Registration Statement as filed with the Commission. We have also examined and relied upon the Registration Rights Agreement, dated March 5, 2004, among the Company and Morgan Stanley &amp; Co. Incorporated, Goldman, Sachs &amp; Co. and Merrill Lynch, Pierce Fenner &amp; Smith Incorporated, the Indenture, minutes of meetings of the Board of Directors of the Company as provided to us by the Company, the Articles of Association and Memorandum of Association of the Company, each as restated and/or amended to date, and such other documents as we have deemed necessary for purposes of rendering the opinions hereinafter set forth.</w:t>
      </w:r>
    </w:p>
    <w:p>
      <w:pPr>
        <w:sectPr>
          <w:pgSz w:w="11900" w:h="16838" w:orient="portrait"/>
          <w:cols w:equalWidth="0" w:num="1">
            <w:col w:w="10219"/>
          </w:cols>
          <w:pgMar w:left="240" w:top="33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September 23, 2004</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express no opinion herein as to the laws of any state or jurisdiction other than the state laws of the State of New York and the federal laws of the United States of America.</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opinions below are qualified to the extent that they may be subject to or affected by (a) applicable bankruptcy, insolvency, reorganization, moratorium, fraudulent conveyance or other laws affecting the rights of creditors generally; (b) statutory or decisional law concerning recourse by creditors to security in the absence of notice or hearing; (c) duties and standards imposed on creditors and parties to contracts, including, without limitation, requirements of good faith, reasonableness and fair dealing; (d) general equitable principles; and (e) applicable usury laws of jurisdictions other than the State of New York. We express no opinion as to the availability of any equitable or specific remedy upon any breach of the Notes or the Indenture, or any of the agreements, documents or obligations referred to therein, or to the successful assertion of any equitable defenses, inasmuch as the availability of such remedies or the success of any equitable defenses may be subject to the discretion of a court.</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also express no opinion herein as to any provision of the Notes or the Indenture (a) which waives any right of the Company; (b) to the effect that rights and remedies are not exclusive, that every right or remedy is cumulative and may be exercised in addition to or with any other right or remedy and does not preclude recourse to one or more other rights or remedies; (c) relating to the effect of any future invalidity or unenforceability of any provision of the Notes or the Indenture on the future validity or enforceability of any other provision thereof; (d) which is in violation of public policy; (e) relating to indemnification and contribution with respect to securities law matters; (f) which provides that waivers or modifications of the terms of the Indenture or the Notes may only be in writing; (g) purporting to indemnify any person against his, her or its own negligence or misconduct; or (h) relating to choice of law (to the extent such issue is determined under the laws of any jurisdiction other than the State of New York) or consent to jurisdiction.</w:t>
      </w:r>
    </w:p>
    <w:p>
      <w:pPr>
        <w:spacing w:after="0" w:line="200" w:lineRule="exact"/>
        <w:rPr>
          <w:sz w:val="20"/>
          <w:szCs w:val="20"/>
          <w:color w:val="auto"/>
        </w:rPr>
      </w:pPr>
    </w:p>
    <w:p>
      <w:pPr>
        <w:spacing w:after="0" w:line="39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purposes of our opinions rendered below, we have assumed that the facts and law governing the future performance by the Company of its obligations under the Notes and the Indenture will be identical to the facts and law governing its performance on the date of this opinion.</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the Notes, assuming they have been (i) duly authorized and are validly issued, executed and delivered by the Company, and (ii) authenticated by the Trustee in the manner provided by the Indenture, are valid and binding obligations of the Company.</w:t>
      </w:r>
    </w:p>
    <w:p>
      <w:pPr>
        <w:spacing w:after="0" w:line="200" w:lineRule="exact"/>
        <w:rPr>
          <w:sz w:val="20"/>
          <w:szCs w:val="20"/>
          <w:color w:val="auto"/>
        </w:rPr>
      </w:pPr>
    </w:p>
    <w:p>
      <w:pPr>
        <w:spacing w:after="0" w:line="211"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Please note that we are opining only as to the matters expressly set forth herein, and no opinion should be inferred as to any other matters. This opinion is based upon currently existing</w:t>
      </w:r>
    </w:p>
    <w:p>
      <w:pPr>
        <w:sectPr>
          <w:pgSz w:w="11900" w:h="16838" w:orient="portrait"/>
          <w:cols w:equalWidth="0" w:num="1">
            <w:col w:w="10219"/>
          </w:cols>
          <w:pgMar w:left="240" w:top="717" w:right="1440" w:bottom="1440" w:gutter="0" w:footer="0" w:header="0"/>
        </w:sectPr>
      </w:pPr>
    </w:p>
    <w:bookmarkStart w:id="12" w:name="page13"/>
    <w:bookmarkEnd w:id="12"/>
    <w:p>
      <w:pPr>
        <w:ind w:right="2419"/>
        <w:spacing w:after="0" w:line="237" w:lineRule="auto"/>
        <w:rPr>
          <w:sz w:val="20"/>
          <w:szCs w:val="20"/>
          <w:color w:val="auto"/>
        </w:rPr>
      </w:pPr>
      <w:r>
        <w:rPr>
          <w:rFonts w:ascii="Courier New" w:cs="Courier New" w:eastAsia="Courier New" w:hAnsi="Courier New"/>
          <w:sz w:val="18"/>
          <w:szCs w:val="18"/>
          <w:color w:val="auto"/>
        </w:rPr>
        <w:t>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WILMER CUTLER PICKERING</w:t>
      </w:r>
    </w:p>
    <w:p>
      <w:pPr>
        <w:spacing w:after="0" w:line="238" w:lineRule="auto"/>
        <w:rPr>
          <w:sz w:val="20"/>
          <w:szCs w:val="20"/>
          <w:color w:val="auto"/>
        </w:rPr>
      </w:pPr>
      <w:r>
        <w:rPr>
          <w:rFonts w:ascii="Courier New" w:cs="Courier New" w:eastAsia="Courier New" w:hAnsi="Courier New"/>
          <w:sz w:val="18"/>
          <w:szCs w:val="18"/>
          <w:color w:val="auto"/>
        </w:rPr>
        <w:t>HALE AND DORR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Robert A. Schwed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Robert A. Schwed, a Partner</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Roman"/>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2019-12-12T01:17:47Z</dcterms:created>
  <dcterms:modified xsi:type="dcterms:W3CDTF">2019-12-12T01:17:47Z</dcterms:modified>
</cp:coreProperties>
</file>