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Amdocs Ltd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 .01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12/31/2013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220" w:right="100" w:hanging="21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82"/>
        </w:trPr>
        <w:tc>
          <w:tcPr>
            <w:tcW w:w="40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Manning &amp; Napier Advisors, LLC</w:t>
            </w:r>
          </w:p>
        </w:tc>
        <w:tc>
          <w:tcPr>
            <w:tcW w:w="0" w:type="dxa"/>
            <w:vAlign w:val="bottom"/>
          </w:tcPr>
          <w:p>
            <w:pPr>
              <w:spacing w:after="0"/>
              <w:rPr>
                <w:sz w:val="1"/>
                <w:szCs w:val="1"/>
                <w:color w:val="auto"/>
              </w:rPr>
            </w:pPr>
          </w:p>
        </w:tc>
      </w:tr>
      <w:tr>
        <w:trPr>
          <w:trHeight w:val="449"/>
        </w:trPr>
        <w:tc>
          <w:tcPr>
            <w:tcW w:w="40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2"/>
                <w:szCs w:val="22"/>
                <w:color w:val="auto"/>
              </w:rPr>
              <w:t>45-3240790</w:t>
            </w:r>
          </w:p>
        </w:tc>
        <w:tc>
          <w:tcPr>
            <w:tcW w:w="0" w:type="dxa"/>
            <w:vAlign w:val="bottom"/>
          </w:tcPr>
          <w:p>
            <w:pPr>
              <w:spacing w:after="0"/>
              <w:rPr>
                <w:sz w:val="1"/>
                <w:szCs w:val="1"/>
                <w:color w:val="auto"/>
              </w:rPr>
            </w:pPr>
          </w:p>
        </w:tc>
      </w:tr>
      <w:tr>
        <w:trPr>
          <w:trHeight w:val="164"/>
        </w:trPr>
        <w:tc>
          <w:tcPr>
            <w:tcW w:w="400" w:type="dxa"/>
            <w:vAlign w:val="bottom"/>
            <w:tcBorders>
              <w:left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980" w:type="dxa"/>
            <w:vAlign w:val="bottom"/>
            <w:tcBorders>
              <w:right w:val="single" w:sz="8" w:color="auto"/>
            </w:tcBorders>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tcBorders>
              <w:right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9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2"/>
              </w:rPr>
              <w:t>New York</w:t>
            </w:r>
          </w:p>
        </w:tc>
        <w:tc>
          <w:tcPr>
            <w:tcW w:w="9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118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7,214,057</w:t>
            </w:r>
          </w:p>
        </w:tc>
        <w:tc>
          <w:tcPr>
            <w:tcW w:w="0" w:type="dxa"/>
            <w:vAlign w:val="bottom"/>
          </w:tcPr>
          <w:p>
            <w:pPr>
              <w:spacing w:after="0"/>
              <w:rPr>
                <w:sz w:val="1"/>
                <w:szCs w:val="1"/>
                <w:color w:val="auto"/>
              </w:rPr>
            </w:pPr>
          </w:p>
        </w:tc>
      </w:tr>
      <w:tr>
        <w:trPr>
          <w:trHeight w:val="159"/>
        </w:trPr>
        <w:tc>
          <w:tcPr>
            <w:tcW w:w="1180" w:type="dxa"/>
            <w:vAlign w:val="bottom"/>
            <w:tcBorders>
              <w:left w:val="single" w:sz="8" w:color="auto"/>
              <w:right w:val="single" w:sz="8" w:color="auto"/>
            </w:tcBorders>
            <w:gridSpan w:val="3"/>
            <w:vMerge w:val="continue"/>
          </w:tcPr>
          <w:p>
            <w:pPr>
              <w:spacing w:after="0"/>
              <w:rPr>
                <w:sz w:val="13"/>
                <w:szCs w:val="13"/>
                <w:color w:val="auto"/>
              </w:rPr>
            </w:pPr>
          </w:p>
        </w:tc>
        <w:tc>
          <w:tcPr>
            <w:tcW w:w="30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8"/>
                <w:szCs w:val="18"/>
                <w:color w:val="auto"/>
              </w:rPr>
              <w:t>6.</w:t>
            </w:r>
          </w:p>
        </w:tc>
        <w:tc>
          <w:tcPr>
            <w:tcW w:w="996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tcPr>
          <w:p>
            <w:pPr>
              <w:spacing w:after="0"/>
              <w:rPr>
                <w:sz w:val="18"/>
                <w:szCs w:val="18"/>
                <w:color w:val="auto"/>
              </w:rPr>
            </w:pPr>
          </w:p>
        </w:tc>
        <w:tc>
          <w:tcPr>
            <w:tcW w:w="9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99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19"/>
        </w:trPr>
        <w:tc>
          <w:tcPr>
            <w:tcW w:w="118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10"/>
                <w:szCs w:val="10"/>
                <w:color w:val="auto"/>
              </w:rPr>
            </w:pPr>
          </w:p>
        </w:tc>
        <w:tc>
          <w:tcPr>
            <w:tcW w:w="9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1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vMerge w:val="continue"/>
          </w:tcPr>
          <w:p>
            <w:pPr>
              <w:spacing w:after="0"/>
              <w:rPr>
                <w:sz w:val="13"/>
                <w:szCs w:val="13"/>
                <w:color w:val="auto"/>
              </w:rPr>
            </w:pPr>
          </w:p>
        </w:tc>
        <w:tc>
          <w:tcPr>
            <w:tcW w:w="9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9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99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8,162,325</w:t>
            </w: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gridSpan w:val="3"/>
          </w:tcPr>
          <w:p>
            <w:pPr>
              <w:jc w:val="center"/>
              <w:ind w:left="70"/>
              <w:spacing w:after="0" w:line="203" w:lineRule="exact"/>
              <w:rPr>
                <w:sz w:val="20"/>
                <w:szCs w:val="20"/>
                <w:color w:val="auto"/>
              </w:rPr>
            </w:pPr>
            <w:r>
              <w:rPr>
                <w:rFonts w:ascii="Arial" w:cs="Arial" w:eastAsia="Arial" w:hAnsi="Arial"/>
                <w:sz w:val="18"/>
                <w:szCs w:val="18"/>
                <w:color w:val="auto"/>
                <w:w w:val="91"/>
              </w:rPr>
              <w:t>Person With:</w:t>
            </w:r>
          </w:p>
        </w:tc>
        <w:tc>
          <w:tcPr>
            <w:tcW w:w="300" w:type="dxa"/>
            <w:vAlign w:val="bottom"/>
            <w:tcBorders>
              <w:bottom w:val="single" w:sz="8" w:color="auto"/>
              <w:right w:val="single" w:sz="8" w:color="auto"/>
            </w:tcBorders>
          </w:tcPr>
          <w:p>
            <w:pPr>
              <w:spacing w:after="0"/>
              <w:rPr>
                <w:sz w:val="17"/>
                <w:szCs w:val="17"/>
                <w:color w:val="auto"/>
              </w:rPr>
            </w:pPr>
          </w:p>
        </w:tc>
        <w:tc>
          <w:tcPr>
            <w:tcW w:w="99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9"/>
              </w:rPr>
              <w:t>8,162,325</w:t>
            </w:r>
          </w:p>
        </w:tc>
        <w:tc>
          <w:tcPr>
            <w:tcW w:w="9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5.02%</w:t>
            </w:r>
          </w:p>
        </w:tc>
        <w:tc>
          <w:tcPr>
            <w:tcW w:w="300" w:type="dxa"/>
            <w:vAlign w:val="bottom"/>
            <w:tcBorders>
              <w:bottom w:val="single" w:sz="8" w:color="auto"/>
            </w:tcBorders>
          </w:tcPr>
          <w:p>
            <w:pPr>
              <w:spacing w:after="0"/>
              <w:rPr>
                <w:sz w:val="24"/>
                <w:szCs w:val="24"/>
                <w:color w:val="auto"/>
              </w:rPr>
            </w:pPr>
          </w:p>
        </w:tc>
        <w:tc>
          <w:tcPr>
            <w:tcW w:w="9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IA</w:t>
            </w:r>
          </w:p>
        </w:tc>
        <w:tc>
          <w:tcPr>
            <w:tcW w:w="300" w:type="dxa"/>
            <w:vAlign w:val="bottom"/>
            <w:tcBorders>
              <w:bottom w:val="single" w:sz="8" w:color="auto"/>
            </w:tcBorders>
          </w:tcPr>
          <w:p>
            <w:pPr>
              <w:spacing w:after="0"/>
              <w:rPr>
                <w:sz w:val="24"/>
                <w:szCs w:val="24"/>
                <w:color w:val="auto"/>
              </w:rPr>
            </w:pPr>
          </w:p>
        </w:tc>
        <w:tc>
          <w:tcPr>
            <w:tcW w:w="9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Amdocs Ltd</w:t>
      </w:r>
    </w:p>
    <w:p>
      <w:pPr>
        <w:spacing w:after="0" w:line="333" w:lineRule="exact"/>
        <w:rPr>
          <w:sz w:val="20"/>
          <w:szCs w:val="20"/>
          <w:color w:val="auto"/>
        </w:rPr>
      </w:pPr>
    </w:p>
    <w:p>
      <w:pPr>
        <w:jc w:val="center"/>
        <w:ind w:right="6760"/>
        <w:spacing w:after="0"/>
        <w:rPr>
          <w:sz w:val="20"/>
          <w:szCs w:val="20"/>
          <w:color w:val="auto"/>
        </w:rPr>
      </w:pPr>
      <w:r>
        <w:rPr>
          <w:rFonts w:ascii="Arial" w:cs="Arial" w:eastAsia="Arial" w:hAnsi="Arial"/>
          <w:sz w:val="16"/>
          <w:szCs w:val="16"/>
          <w:color w:val="auto"/>
        </w:rPr>
        <w:t>Item 1(b): Address of Issuer’s Principal Executive Offices: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1390 Timberlake Manor Parkway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Chesterfield, Missouri 63017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Manning &amp; Napier Advisors, LLC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290 Woodcliff Drive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Fairport, NY 14450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Common Stock, Par Value </w:t>
      </w:r>
      <w:r>
        <w:rPr>
          <w:rFonts w:ascii="Arial" w:cs="Arial" w:eastAsia="Arial" w:hAnsi="Arial"/>
          <w:sz w:val="18"/>
          <w:szCs w:val="18"/>
          <w:b w:val="1"/>
          <w:bCs w:val="1"/>
          <w:color w:val="auto"/>
        </w:rPr>
        <w:t>£ .01</w:t>
      </w:r>
      <w:r>
        <w:rPr>
          <w:rFonts w:ascii="Arial" w:cs="Arial" w:eastAsia="Arial" w:hAnsi="Arial"/>
          <w:sz w:val="18"/>
          <w:szCs w:val="18"/>
          <w:color w:val="auto"/>
        </w:rPr>
        <w:t xml:space="preserve"> per share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G02602103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3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4: Ownership: Provide the following information regarding the aggregate number and percentage of the class of securities of the issuer identified in Item 1.</w:t>
      </w:r>
    </w:p>
    <w:p>
      <w:pPr>
        <w:spacing w:after="0" w:line="6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8,162,325</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5.02%</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7,214,057</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8,162,325</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2/3/2014</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Michelle Thomas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Michelle Thomas, Corporate Secretary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2019-12-06T19:47:40Z</dcterms:created>
  <dcterms:modified xsi:type="dcterms:W3CDTF">2019-12-06T19:47:40Z</dcterms:modified>
</cp:coreProperties>
</file>