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drawing>
          <wp:anchor simplePos="0" relativeHeight="251657728" behindDoc="1" locked="0" layoutInCell="0" allowOverlap="1">
            <wp:simplePos x="0" y="0"/>
            <wp:positionH relativeFrom="page">
              <wp:posOffset>276860</wp:posOffset>
            </wp:positionH>
            <wp:positionV relativeFrom="page">
              <wp:posOffset>174625</wp:posOffset>
            </wp:positionV>
            <wp:extent cx="699516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26035"/>
                    </a:xfrm>
                    <a:prstGeom prst="rect">
                      <a:avLst/>
                    </a:prstGeom>
                    <a:noFill/>
                  </pic:spPr>
                </pic:pic>
              </a:graphicData>
            </a:graphic>
          </wp:anchor>
        </w:drawing>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71120</wp:posOffset>
            </wp:positionV>
            <wp:extent cx="1817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9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104140</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36" w:lineRule="exact"/>
        <w:rPr>
          <w:sz w:val="24"/>
          <w:szCs w:val="24"/>
          <w:color w:val="auto"/>
        </w:rPr>
      </w:pPr>
    </w:p>
    <w:p>
      <w:pPr>
        <w:jc w:val="center"/>
        <w:ind w:left="620" w:right="2340"/>
        <w:spacing w:after="0" w:line="274" w:lineRule="auto"/>
        <w:rPr>
          <w:sz w:val="20"/>
          <w:szCs w:val="20"/>
          <w:color w:val="auto"/>
        </w:rPr>
      </w:pPr>
      <w:r>
        <w:rPr>
          <w:rFonts w:ascii="Times New Roman" w:cs="Times New Roman" w:eastAsia="Times New Roman" w:hAnsi="Times New Roman"/>
          <w:sz w:val="28"/>
          <w:szCs w:val="28"/>
          <w:b w:val="1"/>
          <w:bCs w:val="1"/>
          <w:color w:val="auto"/>
        </w:rPr>
        <w:t>REPORT OF FOREIGN PRIVATE ISSUER PURSUANT TO RULE 13A-16 OR 15D-16 OF THE SECURITIES EXCHANGE ACT OF 1934</w:t>
      </w:r>
    </w:p>
    <w:p>
      <w:pPr>
        <w:spacing w:after="0" w:line="128"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3"/>
          <w:szCs w:val="23"/>
          <w:b w:val="1"/>
          <w:bCs w:val="1"/>
          <w:color w:val="auto"/>
        </w:rPr>
        <w:t>For the month of December 2020</w:t>
      </w:r>
    </w:p>
    <w:p>
      <w:pPr>
        <w:spacing w:after="0" w:line="22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3"/>
          <w:szCs w:val="23"/>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103505</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58"/>
          <w:szCs w:val="58"/>
          <w:b w:val="1"/>
          <w:bCs w:val="1"/>
          <w:color w:val="auto"/>
        </w:rPr>
        <w:t>AMDOCS LIMITED</w:t>
      </w:r>
    </w:p>
    <w:p>
      <w:pPr>
        <w:spacing w:after="0" w:line="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75565</wp:posOffset>
            </wp:positionV>
            <wp:extent cx="1817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9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Hirzel House, Smith Street,</w:t>
      </w:r>
    </w:p>
    <w:p>
      <w:pPr>
        <w:spacing w:after="0" w:line="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St. Peter Port, Guernsey, GY1 2NG</w:t>
      </w:r>
    </w:p>
    <w:p>
      <w:pPr>
        <w:spacing w:after="0" w:line="1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Amdocs, Inc.</w:t>
      </w:r>
    </w:p>
    <w:p>
      <w:pPr>
        <w:spacing w:after="0" w:line="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1390 Timberlake Manor Parkway</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Chesterfield, Missouri 63017</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75565</wp:posOffset>
            </wp:positionV>
            <wp:extent cx="1817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97" w:lineRule="exact"/>
        <w:rPr>
          <w:sz w:val="24"/>
          <w:szCs w:val="24"/>
          <w:color w:val="auto"/>
        </w:rPr>
      </w:pPr>
    </w:p>
    <w:p>
      <w:pPr>
        <w:ind w:right="340"/>
        <w:spacing w:after="0" w:line="281" w:lineRule="auto"/>
        <w:rPr>
          <w:sz w:val="20"/>
          <w:szCs w:val="20"/>
          <w:color w:val="auto"/>
        </w:rPr>
      </w:pPr>
      <w:r>
        <w:rPr>
          <w:rFonts w:ascii="Times New Roman" w:cs="Times New Roman" w:eastAsia="Times New Roman" w:hAnsi="Times New Roman"/>
          <w:sz w:val="23"/>
          <w:szCs w:val="23"/>
          <w:color w:val="auto"/>
        </w:rPr>
        <w:t>Indicate by check mark whether the registrant files or will file annual reports under cover of Form 20-F or Form 40-F:</w:t>
      </w:r>
    </w:p>
    <w:p>
      <w:pPr>
        <w:spacing w:after="0" w:line="114" w:lineRule="exact"/>
        <w:rPr>
          <w:sz w:val="24"/>
          <w:szCs w:val="24"/>
          <w:color w:val="auto"/>
        </w:rPr>
      </w:pPr>
    </w:p>
    <w:p>
      <w:pPr>
        <w:jc w:val="center"/>
        <w:ind w:right="-179"/>
        <w:spacing w:after="0" w:line="265" w:lineRule="exact"/>
        <w:rPr>
          <w:sz w:val="20"/>
          <w:szCs w:val="20"/>
          <w:color w:val="auto"/>
        </w:rPr>
      </w:pPr>
      <w:r>
        <w:rPr>
          <w:rFonts w:ascii="Times New Roman" w:cs="Times New Roman" w:eastAsia="Times New Roman" w:hAnsi="Times New Roman"/>
          <w:sz w:val="23"/>
          <w:szCs w:val="23"/>
          <w:color w:val="auto"/>
        </w:rPr>
        <w:t xml:space="preserve">Form 20-F </w:t>
      </w:r>
      <w:r>
        <w:rPr>
          <w:rFonts w:ascii="MS PGothic" w:cs="MS PGothic" w:eastAsia="MS PGothic" w:hAnsi="MS PGothic"/>
          <w:sz w:val="23"/>
          <w:szCs w:val="23"/>
          <w:color w:val="auto"/>
        </w:rPr>
        <w:t>☒</w:t>
      </w:r>
      <w:r>
        <w:rPr>
          <w:rFonts w:ascii="Times New Roman" w:cs="Times New Roman" w:eastAsia="Times New Roman" w:hAnsi="Times New Roman"/>
          <w:sz w:val="23"/>
          <w:szCs w:val="23"/>
          <w:color w:val="auto"/>
        </w:rPr>
        <w:t xml:space="preserve"> Form 40-F </w:t>
      </w:r>
      <w:r>
        <w:rPr>
          <w:rFonts w:ascii="MS PGothic" w:cs="MS PGothic" w:eastAsia="MS PGothic" w:hAnsi="MS PGothic"/>
          <w:sz w:val="23"/>
          <w:szCs w:val="23"/>
          <w:color w:val="auto"/>
        </w:rPr>
        <w:t>☐</w:t>
      </w:r>
    </w:p>
    <w:p>
      <w:pPr>
        <w:spacing w:after="0" w:line="258" w:lineRule="exact"/>
        <w:rPr>
          <w:sz w:val="24"/>
          <w:szCs w:val="24"/>
          <w:color w:val="auto"/>
        </w:rPr>
      </w:pPr>
    </w:p>
    <w:p>
      <w:pPr>
        <w:ind w:right="220"/>
        <w:spacing w:after="0" w:line="281" w:lineRule="auto"/>
        <w:rPr>
          <w:sz w:val="20"/>
          <w:szCs w:val="20"/>
          <w:color w:val="auto"/>
        </w:rPr>
      </w:pPr>
      <w:r>
        <w:rPr>
          <w:rFonts w:ascii="Times New Roman" w:cs="Times New Roman" w:eastAsia="Times New Roman" w:hAnsi="Times New Roman"/>
          <w:sz w:val="23"/>
          <w:szCs w:val="23"/>
          <w:color w:val="auto"/>
        </w:rPr>
        <w:t>Indicate by check mark if the registrant is submitting the Form 6-K in paper as permitted by Regulation S-T Rule 101(b)(1):</w:t>
      </w:r>
    </w:p>
    <w:p>
      <w:pPr>
        <w:spacing w:after="0" w:line="114" w:lineRule="exact"/>
        <w:rPr>
          <w:sz w:val="24"/>
          <w:szCs w:val="24"/>
          <w:color w:val="auto"/>
        </w:rPr>
      </w:pPr>
    </w:p>
    <w:p>
      <w:pPr>
        <w:jc w:val="center"/>
        <w:ind w:right="-179"/>
        <w:spacing w:after="0" w:line="265" w:lineRule="exact"/>
        <w:rPr>
          <w:sz w:val="20"/>
          <w:szCs w:val="20"/>
          <w:color w:val="auto"/>
        </w:rPr>
      </w:pPr>
      <w:r>
        <w:rPr>
          <w:rFonts w:ascii="Times New Roman" w:cs="Times New Roman" w:eastAsia="Times New Roman" w:hAnsi="Times New Roman"/>
          <w:sz w:val="23"/>
          <w:szCs w:val="23"/>
          <w:color w:val="auto"/>
        </w:rPr>
        <w:t xml:space="preserve">Yes </w:t>
      </w:r>
      <w:r>
        <w:rPr>
          <w:rFonts w:ascii="MS PGothic" w:cs="MS PGothic" w:eastAsia="MS PGothic" w:hAnsi="MS PGothic"/>
          <w:sz w:val="23"/>
          <w:szCs w:val="23"/>
          <w:color w:val="auto"/>
        </w:rPr>
        <w:t>☐</w:t>
      </w:r>
      <w:r>
        <w:rPr>
          <w:rFonts w:ascii="Times New Roman" w:cs="Times New Roman" w:eastAsia="Times New Roman" w:hAnsi="Times New Roman"/>
          <w:sz w:val="23"/>
          <w:szCs w:val="23"/>
          <w:color w:val="auto"/>
        </w:rPr>
        <w:t xml:space="preserve"> No </w:t>
      </w:r>
      <w:r>
        <w:rPr>
          <w:rFonts w:ascii="MS PGothic" w:cs="MS PGothic" w:eastAsia="MS PGothic" w:hAnsi="MS PGothic"/>
          <w:sz w:val="23"/>
          <w:szCs w:val="23"/>
          <w:color w:val="auto"/>
        </w:rPr>
        <w:t>☒</w:t>
      </w:r>
    </w:p>
    <w:p>
      <w:pPr>
        <w:spacing w:after="0" w:line="258" w:lineRule="exact"/>
        <w:rPr>
          <w:sz w:val="24"/>
          <w:szCs w:val="24"/>
          <w:color w:val="auto"/>
        </w:rPr>
      </w:pPr>
    </w:p>
    <w:p>
      <w:pPr>
        <w:ind w:right="220"/>
        <w:spacing w:after="0" w:line="281" w:lineRule="auto"/>
        <w:rPr>
          <w:sz w:val="20"/>
          <w:szCs w:val="20"/>
          <w:color w:val="auto"/>
        </w:rPr>
      </w:pPr>
      <w:r>
        <w:rPr>
          <w:rFonts w:ascii="Times New Roman" w:cs="Times New Roman" w:eastAsia="Times New Roman" w:hAnsi="Times New Roman"/>
          <w:sz w:val="23"/>
          <w:szCs w:val="23"/>
          <w:color w:val="auto"/>
        </w:rPr>
        <w:t>Indicate by check mark if the registrant is submitting the Form 6-K in paper as permitted by Regulation S-T Rule 101(b)(7):</w:t>
      </w:r>
    </w:p>
    <w:p>
      <w:pPr>
        <w:spacing w:after="0" w:line="114" w:lineRule="exact"/>
        <w:rPr>
          <w:sz w:val="24"/>
          <w:szCs w:val="24"/>
          <w:color w:val="auto"/>
        </w:rPr>
      </w:pPr>
    </w:p>
    <w:p>
      <w:pPr>
        <w:jc w:val="center"/>
        <w:ind w:right="-179"/>
        <w:spacing w:after="0" w:line="265" w:lineRule="exact"/>
        <w:rPr>
          <w:sz w:val="20"/>
          <w:szCs w:val="20"/>
          <w:color w:val="auto"/>
        </w:rPr>
      </w:pPr>
      <w:r>
        <w:rPr>
          <w:rFonts w:ascii="Times New Roman" w:cs="Times New Roman" w:eastAsia="Times New Roman" w:hAnsi="Times New Roman"/>
          <w:sz w:val="23"/>
          <w:szCs w:val="23"/>
          <w:color w:val="auto"/>
        </w:rPr>
        <w:t xml:space="preserve">Yes </w:t>
      </w:r>
      <w:r>
        <w:rPr>
          <w:rFonts w:ascii="MS PGothic" w:cs="MS PGothic" w:eastAsia="MS PGothic" w:hAnsi="MS PGothic"/>
          <w:sz w:val="23"/>
          <w:szCs w:val="23"/>
          <w:color w:val="auto"/>
        </w:rPr>
        <w:t>☐</w:t>
      </w:r>
      <w:r>
        <w:rPr>
          <w:rFonts w:ascii="Times New Roman" w:cs="Times New Roman" w:eastAsia="Times New Roman" w:hAnsi="Times New Roman"/>
          <w:sz w:val="23"/>
          <w:szCs w:val="23"/>
          <w:color w:val="auto"/>
        </w:rPr>
        <w:t xml:space="preserve"> No </w:t>
      </w:r>
      <w:r>
        <w:rPr>
          <w:rFonts w:ascii="MS PGothic" w:cs="MS PGothic" w:eastAsia="MS PGothic" w:hAnsi="MS PGothic"/>
          <w:sz w:val="23"/>
          <w:szCs w:val="23"/>
          <w:color w:val="auto"/>
        </w:rPr>
        <w:t>☒</w:t>
      </w:r>
    </w:p>
    <w:p>
      <w:pPr>
        <w:spacing w:after="0" w:line="258" w:lineRule="exact"/>
        <w:rPr>
          <w:sz w:val="24"/>
          <w:szCs w:val="24"/>
          <w:color w:val="auto"/>
        </w:rPr>
      </w:pPr>
    </w:p>
    <w:p>
      <w:pPr>
        <w:ind w:right="180"/>
        <w:spacing w:after="0" w:line="263" w:lineRule="auto"/>
        <w:rPr>
          <w:sz w:val="20"/>
          <w:szCs w:val="20"/>
          <w:color w:val="auto"/>
        </w:rPr>
      </w:pPr>
      <w:r>
        <w:rPr>
          <w:rFonts w:ascii="Times New Roman" w:cs="Times New Roman" w:eastAsia="Times New Roman" w:hAnsi="Times New Roman"/>
          <w:sz w:val="23"/>
          <w:szCs w:val="23"/>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3" w:lineRule="exact"/>
        <w:rPr>
          <w:sz w:val="24"/>
          <w:szCs w:val="24"/>
          <w:color w:val="auto"/>
        </w:rPr>
      </w:pPr>
    </w:p>
    <w:p>
      <w:pPr>
        <w:jc w:val="center"/>
        <w:ind w:right="-179"/>
        <w:spacing w:after="0" w:line="265" w:lineRule="exact"/>
        <w:rPr>
          <w:sz w:val="20"/>
          <w:szCs w:val="20"/>
          <w:color w:val="auto"/>
        </w:rPr>
      </w:pPr>
      <w:r>
        <w:rPr>
          <w:rFonts w:ascii="Times New Roman" w:cs="Times New Roman" w:eastAsia="Times New Roman" w:hAnsi="Times New Roman"/>
          <w:sz w:val="23"/>
          <w:szCs w:val="23"/>
          <w:color w:val="auto"/>
        </w:rPr>
        <w:t xml:space="preserve">Yes </w:t>
      </w:r>
      <w:r>
        <w:rPr>
          <w:rFonts w:ascii="MS PGothic" w:cs="MS PGothic" w:eastAsia="MS PGothic" w:hAnsi="MS PGothic"/>
          <w:sz w:val="23"/>
          <w:szCs w:val="23"/>
          <w:color w:val="auto"/>
        </w:rPr>
        <w:t>☐</w:t>
      </w:r>
      <w:r>
        <w:rPr>
          <w:rFonts w:ascii="Times New Roman" w:cs="Times New Roman" w:eastAsia="Times New Roman" w:hAnsi="Times New Roman"/>
          <w:sz w:val="23"/>
          <w:szCs w:val="23"/>
          <w:color w:val="auto"/>
        </w:rPr>
        <w:t xml:space="preserve"> No </w:t>
      </w:r>
      <w:r>
        <w:rPr>
          <w:rFonts w:ascii="MS PGothic" w:cs="MS PGothic" w:eastAsia="MS PGothic" w:hAnsi="MS PGothic"/>
          <w:sz w:val="23"/>
          <w:szCs w:val="23"/>
          <w:color w:val="auto"/>
        </w:rPr>
        <w:t>☒</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820"/>
          </w:cols>
          <w:pgMar w:left="440" w:top="331" w:right="639" w:bottom="1440" w:gutter="0" w:footer="0" w:header="0"/>
        </w:sectPr>
      </w:pPr>
    </w:p>
    <w:bookmarkStart w:id="1" w:name="page2"/>
    <w:bookmarkEnd w:id="1"/>
    <w:p>
      <w:pPr>
        <w:ind w:left="4984"/>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w:t>
      </w:r>
    </w:p>
    <w:p>
      <w:pPr>
        <w:spacing w:after="0" w:line="222" w:lineRule="exact"/>
        <w:rPr>
          <w:sz w:val="20"/>
          <w:szCs w:val="20"/>
          <w:color w:val="auto"/>
        </w:rPr>
      </w:pPr>
    </w:p>
    <w:p>
      <w:pPr>
        <w:ind w:left="1924"/>
        <w:spacing w:after="0"/>
        <w:rPr>
          <w:sz w:val="20"/>
          <w:szCs w:val="20"/>
          <w:color w:val="auto"/>
        </w:rPr>
      </w:pPr>
      <w:r>
        <w:rPr>
          <w:rFonts w:ascii="Times New Roman" w:cs="Times New Roman" w:eastAsia="Times New Roman" w:hAnsi="Times New Roman"/>
          <w:sz w:val="23"/>
          <w:szCs w:val="23"/>
          <w:b w:val="1"/>
          <w:bCs w:val="1"/>
          <w:color w:val="auto"/>
        </w:rPr>
        <w:t>NOTICE OF ANNUAL GENERAL MEETING OF SHAREHOLDERS</w:t>
      </w:r>
    </w:p>
    <w:p>
      <w:pPr>
        <w:spacing w:after="0" w:line="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3"/>
          <w:szCs w:val="23"/>
          <w:b w:val="1"/>
          <w:bCs w:val="1"/>
          <w:color w:val="auto"/>
        </w:rPr>
        <w:t>TO BE HELD ON FRIDAY, JANUARY 29, 2021</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To the Shareholders:</w:t>
      </w:r>
    </w:p>
    <w:p>
      <w:pPr>
        <w:spacing w:after="0" w:line="222" w:lineRule="exact"/>
        <w:rPr>
          <w:sz w:val="20"/>
          <w:szCs w:val="20"/>
          <w:color w:val="auto"/>
        </w:rPr>
      </w:pPr>
    </w:p>
    <w:p>
      <w:pPr>
        <w:ind w:left="4" w:right="320"/>
        <w:spacing w:after="0" w:line="263" w:lineRule="auto"/>
        <w:rPr>
          <w:sz w:val="20"/>
          <w:szCs w:val="20"/>
          <w:color w:val="auto"/>
        </w:rPr>
      </w:pPr>
      <w:r>
        <w:rPr>
          <w:rFonts w:ascii="Times New Roman" w:cs="Times New Roman" w:eastAsia="Times New Roman" w:hAnsi="Times New Roman"/>
          <w:sz w:val="23"/>
          <w:szCs w:val="23"/>
          <w:color w:val="auto"/>
        </w:rPr>
        <w:t>The annual general meeting of shareholders of Amdocs Limited will be held at 10:00 a.m., local time, on Friday, January 29, 2021, at the Amdocs offices at 185 Hudson Street, floor no. 27, Suite 2700, Jersey City, NJ 07311, for the following purposes:</w:t>
      </w:r>
    </w:p>
    <w:p>
      <w:pPr>
        <w:spacing w:after="0" w:line="157" w:lineRule="exact"/>
        <w:rPr>
          <w:sz w:val="20"/>
          <w:szCs w:val="20"/>
          <w:color w:val="auto"/>
        </w:rPr>
      </w:pPr>
    </w:p>
    <w:p>
      <w:pPr>
        <w:ind w:left="4" w:right="220" w:hanging="4"/>
        <w:spacing w:after="0" w:line="263" w:lineRule="auto"/>
        <w:tabs>
          <w:tab w:leader="none" w:pos="238" w:val="left"/>
        </w:tabs>
        <w:numPr>
          <w:ilvl w:val="0"/>
          <w:numId w:val="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To approve the election of each of the following 10 individuals to serve as directors of Amdocs Limited until the next annual general meeting of shareholders or until his or her earlier resignation or removal or until his or her respective successor is elected and qualified (Proposal I);</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Robert A. Minicucci</w:t>
      </w:r>
    </w:p>
    <w:p>
      <w:pPr>
        <w:spacing w:after="0" w:line="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Adrian Gardner</w:t>
      </w:r>
    </w:p>
    <w:p>
      <w:pPr>
        <w:spacing w:after="0" w:line="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James S. Kahan</w:t>
      </w:r>
    </w:p>
    <w:p>
      <w:pPr>
        <w:spacing w:after="0" w:line="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Rafael de la Vega</w:t>
      </w:r>
    </w:p>
    <w:p>
      <w:pPr>
        <w:spacing w:after="0" w:line="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Giora Yaron</w:t>
      </w:r>
    </w:p>
    <w:p>
      <w:pPr>
        <w:spacing w:after="0" w:line="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Eli Gelman</w:t>
      </w:r>
    </w:p>
    <w:p>
      <w:pPr>
        <w:spacing w:after="0" w:line="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Richard T.C. LeFave</w:t>
      </w:r>
    </w:p>
    <w:p>
      <w:pPr>
        <w:spacing w:after="0" w:line="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John A. MacDonald Shuky Sheffer</w:t>
      </w:r>
    </w:p>
    <w:p>
      <w:pPr>
        <w:spacing w:after="0" w:line="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Yvette Kanouff</w:t>
      </w:r>
    </w:p>
    <w:p>
      <w:pPr>
        <w:spacing w:after="0" w:line="196" w:lineRule="exact"/>
        <w:rPr>
          <w:sz w:val="20"/>
          <w:szCs w:val="20"/>
          <w:color w:val="auto"/>
        </w:rPr>
      </w:pPr>
    </w:p>
    <w:p>
      <w:pPr>
        <w:ind w:left="4" w:right="200" w:hanging="4"/>
        <w:spacing w:after="0" w:line="281" w:lineRule="auto"/>
        <w:tabs>
          <w:tab w:leader="none" w:pos="238" w:val="left"/>
        </w:tabs>
        <w:numPr>
          <w:ilvl w:val="0"/>
          <w:numId w:val="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To approve an increase in the dividend rate under our quarterly cash dividend program from $0.3275 per share to $0.36 per share (Proposal II);</w:t>
      </w:r>
    </w:p>
    <w:p>
      <w:pPr>
        <w:spacing w:after="0" w:line="136" w:lineRule="exact"/>
        <w:rPr>
          <w:rFonts w:ascii="Times New Roman" w:cs="Times New Roman" w:eastAsia="Times New Roman" w:hAnsi="Times New Roman"/>
          <w:sz w:val="23"/>
          <w:szCs w:val="23"/>
          <w:color w:val="auto"/>
        </w:rPr>
      </w:pPr>
    </w:p>
    <w:p>
      <w:pPr>
        <w:ind w:left="244" w:hanging="244"/>
        <w:spacing w:after="0"/>
        <w:tabs>
          <w:tab w:leader="none" w:pos="244" w:val="left"/>
        </w:tabs>
        <w:numPr>
          <w:ilvl w:val="0"/>
          <w:numId w:val="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To approve our Consolidated Financial Statements for the fiscal year ended September 30, 2020 (Proposal III); and</w:t>
      </w:r>
    </w:p>
    <w:p>
      <w:pPr>
        <w:spacing w:after="0" w:line="221" w:lineRule="exact"/>
        <w:rPr>
          <w:rFonts w:ascii="Times New Roman" w:cs="Times New Roman" w:eastAsia="Times New Roman" w:hAnsi="Times New Roman"/>
          <w:sz w:val="23"/>
          <w:szCs w:val="23"/>
          <w:color w:val="auto"/>
        </w:rPr>
      </w:pPr>
    </w:p>
    <w:p>
      <w:pPr>
        <w:ind w:left="4" w:hanging="4"/>
        <w:spacing w:after="0" w:line="257" w:lineRule="auto"/>
        <w:tabs>
          <w:tab w:leader="none" w:pos="238" w:val="left"/>
        </w:tabs>
        <w:numPr>
          <w:ilvl w:val="0"/>
          <w:numId w:val="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To ratify and approve the appointment of Ernst &amp; Young LLP as our independent registered public accounting firm for the fiscal year ending September 30, 2021,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Our shareholders will also act on such other business as may properly come before the annual general meeting.</w:t>
      </w:r>
    </w:p>
    <w:p>
      <w:pPr>
        <w:spacing w:after="0" w:line="222" w:lineRule="exact"/>
        <w:rPr>
          <w:sz w:val="20"/>
          <w:szCs w:val="20"/>
          <w:color w:val="auto"/>
        </w:rPr>
      </w:pPr>
    </w:p>
    <w:p>
      <w:pPr>
        <w:jc w:val="both"/>
        <w:ind w:left="4" w:right="120"/>
        <w:spacing w:after="0" w:line="257" w:lineRule="auto"/>
        <w:rPr>
          <w:sz w:val="20"/>
          <w:szCs w:val="20"/>
          <w:color w:val="auto"/>
        </w:rPr>
      </w:pPr>
      <w:r>
        <w:rPr>
          <w:rFonts w:ascii="Times New Roman" w:cs="Times New Roman" w:eastAsia="Times New Roman" w:hAnsi="Times New Roman"/>
          <w:sz w:val="23"/>
          <w:szCs w:val="23"/>
          <w:color w:val="auto"/>
        </w:rPr>
        <w:t>The Board of Directors has fixed the close of business on December 3, 2020 as the record date for the determination of our shareholders entitled to notice of, and to vote on the matters proposed at, the annual general meeting and any adjournments thereof.</w:t>
      </w:r>
    </w:p>
    <w:p>
      <w:pPr>
        <w:spacing w:after="0" w:line="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23"/>
          <w:szCs w:val="23"/>
          <w:color w:val="auto"/>
        </w:rPr>
        <w:t>By Order of the Board of Directors</w:t>
      </w:r>
    </w:p>
    <w:p>
      <w:pPr>
        <w:spacing w:after="0" w:line="22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23"/>
          <w:szCs w:val="23"/>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23495</wp:posOffset>
            </wp:positionV>
            <wp:extent cx="2511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7064"/>
        <w:spacing w:after="0"/>
        <w:rPr>
          <w:sz w:val="20"/>
          <w:szCs w:val="20"/>
          <w:color w:val="auto"/>
        </w:rPr>
      </w:pPr>
      <w:r>
        <w:rPr>
          <w:rFonts w:ascii="Times New Roman" w:cs="Times New Roman" w:eastAsia="Times New Roman" w:hAnsi="Times New Roman"/>
          <w:sz w:val="23"/>
          <w:szCs w:val="23"/>
          <w:color w:val="auto"/>
        </w:rPr>
        <w:t>Name: Matthew E. Smith</w:t>
      </w:r>
    </w:p>
    <w:p>
      <w:pPr>
        <w:spacing w:after="0" w:line="24" w:lineRule="exact"/>
        <w:rPr>
          <w:sz w:val="20"/>
          <w:szCs w:val="20"/>
          <w:color w:val="auto"/>
        </w:rPr>
      </w:pPr>
    </w:p>
    <w:p>
      <w:pPr>
        <w:ind w:left="7064"/>
        <w:spacing w:after="0"/>
        <w:rPr>
          <w:sz w:val="20"/>
          <w:szCs w:val="20"/>
          <w:color w:val="auto"/>
        </w:rPr>
      </w:pPr>
      <w:r>
        <w:rPr>
          <w:rFonts w:ascii="Times New Roman" w:cs="Times New Roman" w:eastAsia="Times New Roman" w:hAnsi="Times New Roman"/>
          <w:sz w:val="23"/>
          <w:szCs w:val="23"/>
          <w:color w:val="auto"/>
        </w:rPr>
        <w:t>Title: Secretary</w:t>
      </w:r>
    </w:p>
    <w:p>
      <w:pPr>
        <w:sectPr>
          <w:pgSz w:w="11900" w:h="16838" w:orient="portrait"/>
          <w:cols w:equalWidth="0" w:num="1">
            <w:col w:w="11004"/>
          </w:cols>
          <w:pgMar w:left="436" w:top="252"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6998970" cy="1624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1624330"/>
                    </a:xfrm>
                    <a:prstGeom prst="rect">
                      <a:avLst/>
                    </a:prstGeom>
                    <a:noFill/>
                  </pic:spPr>
                </pic:pic>
              </a:graphicData>
            </a:graphic>
          </wp:anchor>
        </w:drawing>
      </w:r>
    </w:p>
    <w:p>
      <w:pPr>
        <w:spacing w:after="0" w:line="80"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23"/>
          <w:szCs w:val="23"/>
          <w:b w:val="1"/>
          <w:bCs w:val="1"/>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200" w:lineRule="exact"/>
        <w:rPr>
          <w:sz w:val="20"/>
          <w:szCs w:val="20"/>
          <w:color w:val="auto"/>
        </w:rPr>
      </w:pPr>
    </w:p>
    <w:p>
      <w:pPr>
        <w:spacing w:after="0" w:line="314" w:lineRule="exact"/>
        <w:rPr>
          <w:sz w:val="20"/>
          <w:szCs w:val="20"/>
          <w:color w:val="auto"/>
        </w:rPr>
      </w:pPr>
    </w:p>
    <w:p>
      <w:pPr>
        <w:ind w:right="140" w:firstLine="657"/>
        <w:spacing w:after="0" w:line="254" w:lineRule="auto"/>
        <w:tabs>
          <w:tab w:leader="none" w:pos="895" w:val="left"/>
        </w:tabs>
        <w:numPr>
          <w:ilvl w:val="0"/>
          <w:numId w:val="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proxy card for the annual general meeting for the fiscal year ended September 30, 2020 is enclosed and our Annual Report on Form 20-F is available on our website at www.amdocs.com/proxy or by request. The proxy card shall be delivered to our Secretary, in care of our principal U.S. subsidiary, Amdocs, Inc., by delivery to our transfer agent, American Stock Transfer &amp; Trust Company, LLC, at 6201 15th Avenue, Brooklyn, New York 11219, as soon as possible.</w:t>
      </w:r>
    </w:p>
    <w:p>
      <w:pPr>
        <w:spacing w:after="0" w:line="166" w:lineRule="exact"/>
        <w:rPr>
          <w:rFonts w:ascii="Times New Roman" w:cs="Times New Roman" w:eastAsia="Times New Roman" w:hAnsi="Times New Roman"/>
          <w:sz w:val="23"/>
          <w:szCs w:val="23"/>
          <w:color w:val="auto"/>
        </w:rPr>
      </w:pPr>
    </w:p>
    <w:p>
      <w:pPr>
        <w:ind w:right="380" w:firstLine="657"/>
        <w:spacing w:after="0" w:line="257" w:lineRule="auto"/>
        <w:tabs>
          <w:tab w:leader="none" w:pos="895" w:val="left"/>
        </w:tabs>
        <w:numPr>
          <w:ilvl w:val="0"/>
          <w:numId w:val="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held by such shareholder.</w:t>
      </w:r>
    </w:p>
    <w:p>
      <w:pPr>
        <w:spacing w:after="0" w:line="163" w:lineRule="exact"/>
        <w:rPr>
          <w:rFonts w:ascii="Times New Roman" w:cs="Times New Roman" w:eastAsia="Times New Roman" w:hAnsi="Times New Roman"/>
          <w:sz w:val="23"/>
          <w:szCs w:val="23"/>
          <w:color w:val="auto"/>
        </w:rPr>
      </w:pPr>
    </w:p>
    <w:p>
      <w:pPr>
        <w:ind w:right="20" w:firstLine="657"/>
        <w:spacing w:after="0" w:line="251" w:lineRule="auto"/>
        <w:tabs>
          <w:tab w:leader="none" w:pos="895" w:val="left"/>
        </w:tabs>
        <w:numPr>
          <w:ilvl w:val="0"/>
          <w:numId w:val="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quorum for the annual general meeting shall be two shareholders or more holding a majority of the ordinary shares outstanding as of the record date. If within 30 minutes from the appointed time for the annual general meeting, a quorum is not present, it shall stand adjourned to any other time and any other place as determined by the Chairman of the annual general meeting. It shall not be necessary to notify any shareholder of any adjournment of less than 20 days, not counting the day when notice is given or deemed to be given and the day of the adjourned meeting, if the time and place of the adjourned meeting are announced at the annual general meeting at which adjournment is taken, unless after the adjournment a new record date is fixed for the adjourned meeting.</w:t>
      </w:r>
    </w:p>
    <w:p>
      <w:pPr>
        <w:spacing w:after="0" w:line="169" w:lineRule="exact"/>
        <w:rPr>
          <w:rFonts w:ascii="Times New Roman" w:cs="Times New Roman" w:eastAsia="Times New Roman" w:hAnsi="Times New Roman"/>
          <w:sz w:val="23"/>
          <w:szCs w:val="23"/>
          <w:color w:val="auto"/>
        </w:rPr>
      </w:pPr>
    </w:p>
    <w:p>
      <w:pPr>
        <w:ind w:left="900" w:hanging="243"/>
        <w:spacing w:after="0"/>
        <w:tabs>
          <w:tab w:leader="none" w:pos="900" w:val="left"/>
        </w:tabs>
        <w:numPr>
          <w:ilvl w:val="0"/>
          <w:numId w:val="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Every shareholder present in person or by proxy shall have one vote for each ordinary share held by him,</w:t>
      </w:r>
    </w:p>
    <w:p>
      <w:pPr>
        <w:spacing w:after="0" w:line="31" w:lineRule="exact"/>
        <w:rPr>
          <w:rFonts w:ascii="Times New Roman" w:cs="Times New Roman" w:eastAsia="Times New Roman" w:hAnsi="Times New Roman"/>
          <w:sz w:val="23"/>
          <w:szCs w:val="23"/>
          <w:color w:val="auto"/>
        </w:rPr>
      </w:pPr>
    </w:p>
    <w:p>
      <w:pPr>
        <w:spacing w:after="0"/>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her or it.</w:t>
      </w:r>
    </w:p>
    <w:p>
      <w:pPr>
        <w:spacing w:after="0" w:line="195" w:lineRule="exact"/>
        <w:rPr>
          <w:rFonts w:ascii="Times New Roman" w:cs="Times New Roman" w:eastAsia="Times New Roman" w:hAnsi="Times New Roman"/>
          <w:sz w:val="23"/>
          <w:szCs w:val="23"/>
          <w:color w:val="auto"/>
        </w:rPr>
      </w:pPr>
    </w:p>
    <w:p>
      <w:pPr>
        <w:ind w:right="240" w:firstLine="657"/>
        <w:spacing w:after="0" w:line="252" w:lineRule="auto"/>
        <w:tabs>
          <w:tab w:leader="none" w:pos="895" w:val="left"/>
        </w:tabs>
        <w:numPr>
          <w:ilvl w:val="0"/>
          <w:numId w:val="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For the health and safety of our shareholders, and in compliance with local and state requirements then in place at the time of the annual meeting due to the COVID-19 pandemic, only one representative may attend the meeting on behalf of any shareholder along with any person providing assistance to that shareholder, such as a caregiver. All persons in attendance must wear face coverings, maintain social distancing and may be subject to heightened health screening procedures. Amdocs will also be required to comply with any restrictions limiting the number of persons who may gather indoors.</w:t>
      </w:r>
    </w:p>
    <w:p>
      <w:pPr>
        <w:sectPr>
          <w:pgSz w:w="11900" w:h="16838" w:orient="portrait"/>
          <w:cols w:equalWidth="0" w:num="1">
            <w:col w:w="11000"/>
          </w:cols>
          <w:pgMar w:left="440" w:top="252" w:right="459" w:bottom="1440" w:gutter="0" w:footer="0" w:header="0"/>
        </w:sectPr>
      </w:pPr>
    </w:p>
    <w:bookmarkStart w:id="3" w:name="page4"/>
    <w:bookmarkEnd w:id="3"/>
    <w:p>
      <w:pPr>
        <w:ind w:left="444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3"/>
          <w:szCs w:val="23"/>
          <w:b w:val="1"/>
          <w:bCs w:val="1"/>
          <w:color w:val="auto"/>
        </w:rPr>
        <w:t>PROXY STATEMENT</w:t>
      </w:r>
    </w:p>
    <w:p>
      <w:pPr>
        <w:spacing w:after="0" w:line="22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3"/>
          <w:szCs w:val="23"/>
          <w:b w:val="1"/>
          <w:bCs w:val="1"/>
          <w:color w:val="auto"/>
        </w:rPr>
        <w:t>ANNUAL GENERAL MEETING OF SHAREHOLDERS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TO BE HELD ON FRIDAY, JANUARY 29, 2021</w:t>
      </w:r>
    </w:p>
    <w:p>
      <w:pPr>
        <w:spacing w:after="0" w:line="192" w:lineRule="exact"/>
        <w:rPr>
          <w:sz w:val="20"/>
          <w:szCs w:val="20"/>
          <w:color w:val="auto"/>
        </w:rPr>
      </w:pPr>
    </w:p>
    <w:p>
      <w:pPr>
        <w:ind w:right="520" w:firstLine="661"/>
        <w:spacing w:after="0" w:line="284" w:lineRule="auto"/>
        <w:rPr>
          <w:sz w:val="20"/>
          <w:szCs w:val="20"/>
          <w:color w:val="auto"/>
        </w:rPr>
      </w:pPr>
      <w:r>
        <w:rPr>
          <w:rFonts w:ascii="Times New Roman" w:cs="Times New Roman" w:eastAsia="Times New Roman" w:hAnsi="Times New Roman"/>
          <w:sz w:val="23"/>
          <w:szCs w:val="23"/>
          <w:i w:val="1"/>
          <w:iCs w:val="1"/>
          <w:color w:val="auto"/>
        </w:rPr>
        <w:t>References in this Proxy Statement to “Amdocs”, “we”, “our” and “us” refer to Amdocs Limited and its consolidated subsidiaries and their respective predecessors.</w:t>
      </w:r>
    </w:p>
    <w:p>
      <w:pPr>
        <w:spacing w:after="0" w:line="134" w:lineRule="exact"/>
        <w:rPr>
          <w:sz w:val="20"/>
          <w:szCs w:val="20"/>
          <w:color w:val="auto"/>
        </w:rPr>
      </w:pPr>
    </w:p>
    <w:p>
      <w:pPr>
        <w:ind w:right="100" w:firstLine="661"/>
        <w:spacing w:after="0" w:line="252" w:lineRule="auto"/>
        <w:rPr>
          <w:sz w:val="20"/>
          <w:szCs w:val="20"/>
          <w:color w:val="auto"/>
        </w:rPr>
      </w:pPr>
      <w:r>
        <w:rPr>
          <w:rFonts w:ascii="Times New Roman" w:cs="Times New Roman" w:eastAsia="Times New Roman" w:hAnsi="Times New Roman"/>
          <w:sz w:val="23"/>
          <w:szCs w:val="23"/>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10:00 a.m., local time, on Friday, January 29, 2021, at the Amdocs offices at 185 Hudson Street, floor no. 27, Suite 2700, Jersey City, NJ 07311, or at any adjournments thereof (the “General Meeting”).</w:t>
      </w:r>
    </w:p>
    <w:p>
      <w:pPr>
        <w:spacing w:after="0" w:line="170" w:lineRule="exact"/>
        <w:rPr>
          <w:sz w:val="20"/>
          <w:szCs w:val="20"/>
          <w:color w:val="auto"/>
        </w:rPr>
      </w:pPr>
    </w:p>
    <w:p>
      <w:pPr>
        <w:ind w:right="160" w:firstLine="661"/>
        <w:spacing w:after="0" w:line="281" w:lineRule="auto"/>
        <w:rPr>
          <w:sz w:val="20"/>
          <w:szCs w:val="20"/>
          <w:color w:val="auto"/>
        </w:rPr>
      </w:pPr>
      <w:r>
        <w:rPr>
          <w:rFonts w:ascii="Times New Roman" w:cs="Times New Roman" w:eastAsia="Times New Roman" w:hAnsi="Times New Roman"/>
          <w:sz w:val="23"/>
          <w:szCs w:val="23"/>
          <w:color w:val="auto"/>
        </w:rPr>
        <w:t>This Proxy Statement and the accompanying proxy are first being mailed or delivered to our shareholders on or about December 23, 2020.</w:t>
      </w:r>
    </w:p>
    <w:p>
      <w:pPr>
        <w:spacing w:after="0" w:line="137" w:lineRule="exact"/>
        <w:rPr>
          <w:sz w:val="20"/>
          <w:szCs w:val="20"/>
          <w:color w:val="auto"/>
        </w:rPr>
      </w:pPr>
    </w:p>
    <w:p>
      <w:pPr>
        <w:ind w:right="300" w:firstLine="661"/>
        <w:spacing w:after="0" w:line="281" w:lineRule="auto"/>
        <w:rPr>
          <w:sz w:val="20"/>
          <w:szCs w:val="20"/>
          <w:color w:val="auto"/>
        </w:rPr>
      </w:pPr>
      <w:r>
        <w:rPr>
          <w:rFonts w:ascii="Times New Roman" w:cs="Times New Roman" w:eastAsia="Times New Roman" w:hAnsi="Times New Roman"/>
          <w:sz w:val="23"/>
          <w:szCs w:val="23"/>
          <w:color w:val="auto"/>
        </w:rPr>
        <w:t>At the General Meeting, the holders of our ordinary shares as of the close of business on December 3, 2020 (the “Record Date”) will be asked to take the following actions:</w:t>
      </w:r>
    </w:p>
    <w:p>
      <w:pPr>
        <w:spacing w:after="0" w:line="137" w:lineRule="exact"/>
        <w:rPr>
          <w:sz w:val="20"/>
          <w:szCs w:val="20"/>
          <w:color w:val="auto"/>
        </w:rPr>
      </w:pPr>
    </w:p>
    <w:p>
      <w:pPr>
        <w:ind w:right="760" w:firstLine="657"/>
        <w:spacing w:after="0" w:line="281" w:lineRule="auto"/>
        <w:tabs>
          <w:tab w:leader="none" w:pos="895" w:val="left"/>
        </w:tabs>
        <w:numPr>
          <w:ilvl w:val="0"/>
          <w:numId w:val="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Elect 10 directors to serve until the next annual general meeting of shareholders or until their earlier resignation or removal or successors are elected and qualified (Proposal I);</w:t>
      </w:r>
    </w:p>
    <w:p>
      <w:pPr>
        <w:spacing w:after="0" w:line="136" w:lineRule="exact"/>
        <w:rPr>
          <w:rFonts w:ascii="Times New Roman" w:cs="Times New Roman" w:eastAsia="Times New Roman" w:hAnsi="Times New Roman"/>
          <w:sz w:val="23"/>
          <w:szCs w:val="23"/>
          <w:color w:val="auto"/>
        </w:rPr>
      </w:pPr>
    </w:p>
    <w:p>
      <w:pPr>
        <w:ind w:firstLine="657"/>
        <w:spacing w:after="0" w:line="281" w:lineRule="auto"/>
        <w:tabs>
          <w:tab w:leader="none" w:pos="895" w:val="left"/>
        </w:tabs>
        <w:numPr>
          <w:ilvl w:val="0"/>
          <w:numId w:val="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Approve an increase in the dividend rate under our quarterly cash dividend program from $0.3275 per share to $0.36 per share (Proposal II);</w:t>
      </w:r>
    </w:p>
    <w:p>
      <w:pPr>
        <w:spacing w:after="0" w:line="136" w:lineRule="exact"/>
        <w:rPr>
          <w:rFonts w:ascii="Times New Roman" w:cs="Times New Roman" w:eastAsia="Times New Roman" w:hAnsi="Times New Roman"/>
          <w:sz w:val="23"/>
          <w:szCs w:val="23"/>
          <w:color w:val="auto"/>
        </w:rPr>
      </w:pPr>
    </w:p>
    <w:p>
      <w:pPr>
        <w:ind w:left="900" w:hanging="243"/>
        <w:spacing w:after="0"/>
        <w:tabs>
          <w:tab w:leader="none" w:pos="900" w:val="left"/>
        </w:tabs>
        <w:numPr>
          <w:ilvl w:val="0"/>
          <w:numId w:val="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Approve our Consolidated Financial Statements for the fiscal year ended September 30, 2020 (Proposal</w:t>
      </w:r>
    </w:p>
    <w:p>
      <w:pPr>
        <w:spacing w:after="0" w:line="31" w:lineRule="exact"/>
        <w:rPr>
          <w:rFonts w:ascii="Times New Roman" w:cs="Times New Roman" w:eastAsia="Times New Roman" w:hAnsi="Times New Roman"/>
          <w:sz w:val="23"/>
          <w:szCs w:val="23"/>
          <w:color w:val="auto"/>
        </w:rPr>
      </w:pPr>
    </w:p>
    <w:p>
      <w:pPr>
        <w:spacing w:after="0"/>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III); and</w:t>
      </w:r>
    </w:p>
    <w:p>
      <w:pPr>
        <w:spacing w:after="0" w:line="195" w:lineRule="exact"/>
        <w:rPr>
          <w:rFonts w:ascii="Times New Roman" w:cs="Times New Roman" w:eastAsia="Times New Roman" w:hAnsi="Times New Roman"/>
          <w:sz w:val="23"/>
          <w:szCs w:val="23"/>
          <w:color w:val="auto"/>
        </w:rPr>
      </w:pPr>
    </w:p>
    <w:p>
      <w:pPr>
        <w:ind w:right="20" w:firstLine="657"/>
        <w:spacing w:after="0" w:line="257" w:lineRule="auto"/>
        <w:tabs>
          <w:tab w:leader="none" w:pos="895" w:val="left"/>
        </w:tabs>
        <w:numPr>
          <w:ilvl w:val="0"/>
          <w:numId w:val="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Ratify and approve the appointment of Ernst &amp; Young LLP as our independent registered public accounting firm for the fiscal year ending September 30, 2021,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163" w:lineRule="exact"/>
        <w:rPr>
          <w:sz w:val="20"/>
          <w:szCs w:val="20"/>
          <w:color w:val="auto"/>
        </w:rPr>
      </w:pPr>
    </w:p>
    <w:p>
      <w:pPr>
        <w:ind w:right="160" w:firstLine="661"/>
        <w:spacing w:after="0" w:line="254" w:lineRule="auto"/>
        <w:rPr>
          <w:sz w:val="20"/>
          <w:szCs w:val="20"/>
          <w:color w:val="auto"/>
        </w:rPr>
      </w:pPr>
      <w:r>
        <w:rPr>
          <w:rFonts w:ascii="Times New Roman" w:cs="Times New Roman" w:eastAsia="Times New Roman" w:hAnsi="Times New Roman"/>
          <w:sz w:val="23"/>
          <w:szCs w:val="23"/>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 holders.</w:t>
      </w:r>
    </w:p>
    <w:p>
      <w:pPr>
        <w:spacing w:after="0" w:line="166" w:lineRule="exact"/>
        <w:rPr>
          <w:sz w:val="20"/>
          <w:szCs w:val="20"/>
          <w:color w:val="auto"/>
        </w:rPr>
      </w:pPr>
    </w:p>
    <w:p>
      <w:pPr>
        <w:ind w:right="60" w:firstLine="661"/>
        <w:spacing w:after="0" w:line="251" w:lineRule="auto"/>
        <w:rPr>
          <w:sz w:val="20"/>
          <w:szCs w:val="20"/>
          <w:color w:val="auto"/>
        </w:rPr>
      </w:pPr>
      <w:r>
        <w:rPr>
          <w:rFonts w:ascii="Times New Roman" w:cs="Times New Roman" w:eastAsia="Times New Roman" w:hAnsi="Times New Roman"/>
          <w:sz w:val="23"/>
          <w:szCs w:val="23"/>
          <w:color w:val="auto"/>
        </w:rPr>
        <w:t>As of the Record Date, Amdocs had outstanding 131,110,182 ordinary shares (net of treasury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170" w:lineRule="exact"/>
        <w:rPr>
          <w:sz w:val="20"/>
          <w:szCs w:val="20"/>
          <w:color w:val="auto"/>
        </w:rPr>
      </w:pPr>
    </w:p>
    <w:p>
      <w:pPr>
        <w:ind w:right="100" w:firstLine="661"/>
        <w:spacing w:after="0" w:line="281" w:lineRule="auto"/>
        <w:rPr>
          <w:sz w:val="20"/>
          <w:szCs w:val="20"/>
          <w:color w:val="auto"/>
        </w:rPr>
      </w:pPr>
      <w:r>
        <w:rPr>
          <w:rFonts w:ascii="Times New Roman" w:cs="Times New Roman" w:eastAsia="Times New Roman" w:hAnsi="Times New Roman"/>
          <w:sz w:val="23"/>
          <w:szCs w:val="23"/>
          <w:color w:val="auto"/>
        </w:rPr>
        <w:t>Approval of Proposals I, II, III and IV requires the affirmative vote of a majority of our ordinary shares voted in person or by proxy at the General Meeting.</w:t>
      </w:r>
    </w:p>
    <w:p>
      <w:pPr>
        <w:spacing w:after="0" w:line="137" w:lineRule="exact"/>
        <w:rPr>
          <w:sz w:val="20"/>
          <w:szCs w:val="20"/>
          <w:color w:val="auto"/>
        </w:rPr>
      </w:pPr>
    </w:p>
    <w:p>
      <w:pPr>
        <w:ind w:firstLine="661"/>
        <w:spacing w:after="0" w:line="254" w:lineRule="auto"/>
        <w:rPr>
          <w:sz w:val="20"/>
          <w:szCs w:val="20"/>
          <w:color w:val="auto"/>
        </w:rPr>
      </w:pPr>
      <w:r>
        <w:rPr>
          <w:rFonts w:ascii="Times New Roman" w:cs="Times New Roman" w:eastAsia="Times New Roman" w:hAnsi="Times New Roman"/>
          <w:sz w:val="23"/>
          <w:szCs w:val="23"/>
          <w:color w:val="auto"/>
        </w:rPr>
        <w:t>The enclosed proxy provides that each shareholder may specify that his, her or its ordinary shares be voted “for,” “against” or “abstain” from voting for each of the director nominees named in Proposal I and with respect to each of Proposals II, III and IV. If proxies in the accompanying form are properly executed and returned, the ordinary shares represented thereby will be voted in the manner specified therein. If not otherwise specified, in the reasonable discretion of the proxy holders, the ordinary shares represented by a proxy will be voted FOR each of the proposals.</w:t>
      </w:r>
    </w:p>
    <w:p>
      <w:pPr>
        <w:sectPr>
          <w:pgSz w:w="11900" w:h="16838" w:orient="portrait"/>
          <w:cols w:equalWidth="0" w:num="1">
            <w:col w:w="11000"/>
          </w:cols>
          <w:pgMar w:left="440" w:top="252" w:right="459" w:bottom="794" w:gutter="0" w:footer="0" w:header="0"/>
        </w:sectPr>
      </w:pPr>
    </w:p>
    <w:bookmarkStart w:id="4" w:name="page5"/>
    <w:bookmarkEnd w:id="4"/>
    <w:p>
      <w:pPr>
        <w:ind w:right="40" w:firstLine="661"/>
        <w:spacing w:after="0" w:line="250" w:lineRule="auto"/>
        <w:rPr>
          <w:sz w:val="20"/>
          <w:szCs w:val="20"/>
          <w:color w:val="auto"/>
        </w:rPr>
      </w:pPr>
      <w:r>
        <w:rPr>
          <w:rFonts w:ascii="Times New Roman" w:cs="Times New Roman" w:eastAsia="Times New Roman" w:hAnsi="Times New Roman"/>
          <w:sz w:val="23"/>
          <w:szCs w:val="2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72" w:lineRule="exact"/>
        <w:rPr>
          <w:sz w:val="20"/>
          <w:szCs w:val="20"/>
          <w:color w:val="auto"/>
        </w:rPr>
      </w:pPr>
    </w:p>
    <w:p>
      <w:pPr>
        <w:ind w:firstLine="661"/>
        <w:spacing w:after="0" w:line="252" w:lineRule="auto"/>
        <w:rPr>
          <w:sz w:val="20"/>
          <w:szCs w:val="20"/>
          <w:color w:val="auto"/>
        </w:rPr>
      </w:pPr>
      <w:r>
        <w:rPr>
          <w:rFonts w:ascii="Times New Roman" w:cs="Times New Roman" w:eastAsia="Times New Roman" w:hAnsi="Times New Roman"/>
          <w:sz w:val="23"/>
          <w:szCs w:val="23"/>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January 29, 2021. We strongly encourage our shareholders to use the enclosed proxy card or to authorize the voting of their shares over the Internet or by telephone as provided in the instructions set forth in the enclosed proxy card.</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rPr>
        <w:t>Any shareholder giving a proxy may revoke it at any time before it is exercised at the General Meeting by:</w:t>
      </w:r>
    </w:p>
    <w:p>
      <w:pPr>
        <w:spacing w:after="0" w:line="73" w:lineRule="exact"/>
        <w:rPr>
          <w:sz w:val="20"/>
          <w:szCs w:val="20"/>
          <w:color w:val="auto"/>
        </w:rPr>
      </w:pPr>
    </w:p>
    <w:p>
      <w:pPr>
        <w:ind w:left="1200" w:right="180" w:hanging="435"/>
        <w:spacing w:after="0" w:line="254" w:lineRule="auto"/>
        <w:tabs>
          <w:tab w:leader="none" w:pos="1200" w:val="left"/>
        </w:tabs>
        <w:numPr>
          <w:ilvl w:val="0"/>
          <w:numId w:val="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17" w:lineRule="exact"/>
        <w:rPr>
          <w:rFonts w:ascii="Times New Roman" w:cs="Times New Roman" w:eastAsia="Times New Roman" w:hAnsi="Times New Roman"/>
          <w:sz w:val="23"/>
          <w:szCs w:val="23"/>
          <w:color w:val="auto"/>
        </w:rPr>
      </w:pPr>
    </w:p>
    <w:p>
      <w:pPr>
        <w:ind w:left="1200" w:right="260" w:hanging="435"/>
        <w:spacing w:after="0" w:line="281" w:lineRule="auto"/>
        <w:tabs>
          <w:tab w:leader="none" w:pos="1200" w:val="left"/>
        </w:tabs>
        <w:numPr>
          <w:ilvl w:val="0"/>
          <w:numId w:val="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Attending the General Meeting and voting in person (although attendance at the General Meeting will not in and of itself constitute revocation of a proxy).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2</w:t>
      </w:r>
    </w:p>
    <w:p>
      <w:pPr>
        <w:sectPr>
          <w:pgSz w:w="11900" w:h="16838" w:orient="portrait"/>
          <w:cols w:equalWidth="0" w:num="1">
            <w:col w:w="11000"/>
          </w:cols>
          <w:pgMar w:left="440" w:top="256" w:right="459" w:bottom="1440" w:gutter="0" w:footer="0" w:header="0"/>
        </w:sectPr>
      </w:pPr>
    </w:p>
    <w:bookmarkStart w:id="5" w:name="page6"/>
    <w:bookmarkEnd w:id="5"/>
    <w:p>
      <w:pPr>
        <w:jc w:val="center"/>
        <w:ind w:left="480" w:right="440"/>
        <w:spacing w:after="0" w:line="284" w:lineRule="auto"/>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IMPORTANT NOTICE REGARDING THE AVAILABILITY OF PROXY MATERIALS FOR THE ANNUAL GENERAL MEETING OF SHAREHOLDERS</w:t>
      </w:r>
    </w:p>
    <w:p>
      <w:pPr>
        <w:spacing w:after="0" w:line="13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3"/>
          <w:szCs w:val="23"/>
          <w:b w:val="1"/>
          <w:bCs w:val="1"/>
          <w:color w:val="auto"/>
        </w:rPr>
        <w:t>TO BE HELD ON JANUARY 29, 2021</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3"/>
          <w:szCs w:val="23"/>
          <w:b w:val="1"/>
          <w:bCs w:val="1"/>
          <w:color w:val="auto"/>
        </w:rPr>
        <w:t>This proxy statement and the 2020 Annual Report to Shareholders are available for viewing, printing and</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 xml:space="preserve">downloading at </w:t>
      </w:r>
      <w:r>
        <w:rPr>
          <w:rFonts w:ascii="Times New Roman" w:cs="Times New Roman" w:eastAsia="Times New Roman" w:hAnsi="Times New Roman"/>
          <w:sz w:val="23"/>
          <w:szCs w:val="23"/>
          <w:b w:val="1"/>
          <w:bCs w:val="1"/>
          <w:u w:val="single" w:color="auto"/>
          <w:color w:val="auto"/>
        </w:rPr>
        <w:t>www.amdocs.com/proxy</w:t>
      </w:r>
      <w:r>
        <w:rPr>
          <w:rFonts w:ascii="Times New Roman" w:cs="Times New Roman" w:eastAsia="Times New Roman" w:hAnsi="Times New Roman"/>
          <w:sz w:val="23"/>
          <w:szCs w:val="23"/>
          <w:b w:val="1"/>
          <w:bCs w:val="1"/>
          <w:color w:val="auto"/>
        </w:rPr>
        <w:t>.</w:t>
      </w:r>
    </w:p>
    <w:p>
      <w:pPr>
        <w:spacing w:after="0" w:line="192" w:lineRule="exact"/>
        <w:rPr>
          <w:sz w:val="20"/>
          <w:szCs w:val="20"/>
          <w:color w:val="auto"/>
        </w:rPr>
      </w:pPr>
    </w:p>
    <w:p>
      <w:pPr>
        <w:jc w:val="center"/>
        <w:ind w:left="480" w:right="140"/>
        <w:spacing w:after="0" w:line="258" w:lineRule="auto"/>
        <w:rPr>
          <w:sz w:val="20"/>
          <w:szCs w:val="20"/>
          <w:color w:val="auto"/>
        </w:rPr>
      </w:pPr>
      <w:r>
        <w:rPr>
          <w:rFonts w:ascii="Times New Roman" w:cs="Times New Roman" w:eastAsia="Times New Roman" w:hAnsi="Times New Roman"/>
          <w:sz w:val="23"/>
          <w:szCs w:val="23"/>
          <w:b w:val="1"/>
          <w:bCs w:val="1"/>
          <w:color w:val="auto"/>
        </w:rPr>
        <w:t>You may also request a copy of the materials relating to our annual general meeting, including this proxy statement and form of proxy for our annual general meeting, and our Annual Report on Form 20-F for the fiscal year ended September 30, 2020 by contacting our investor relations department by telephone at (314) 212-8328 or by e-mail at dox_info@amdocs.com.</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IMPORTANT</w:t>
      </w:r>
    </w:p>
    <w:p>
      <w:pPr>
        <w:spacing w:after="0" w:line="1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3"/>
          <w:szCs w:val="23"/>
          <w:b w:val="1"/>
          <w:bCs w:val="1"/>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color w:val="auto"/>
        </w:rPr>
        <w:t>3</w:t>
      </w:r>
    </w:p>
    <w:p>
      <w:pPr>
        <w:sectPr>
          <w:pgSz w:w="11900" w:h="16838" w:orient="portrait"/>
          <w:cols w:equalWidth="0" w:num="1">
            <w:col w:w="10980"/>
          </w:cols>
          <w:pgMar w:left="440" w:top="252" w:right="4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I</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ELECTION OF DIRECTORS</w:t>
      </w:r>
    </w:p>
    <w:p>
      <w:pPr>
        <w:spacing w:after="0" w:line="226" w:lineRule="exact"/>
        <w:rPr>
          <w:sz w:val="20"/>
          <w:szCs w:val="20"/>
          <w:color w:val="auto"/>
        </w:rPr>
      </w:pPr>
    </w:p>
    <w:p>
      <w:pPr>
        <w:ind w:right="160" w:firstLine="661"/>
        <w:spacing w:after="0" w:line="257" w:lineRule="auto"/>
        <w:rPr>
          <w:sz w:val="20"/>
          <w:szCs w:val="20"/>
          <w:color w:val="auto"/>
        </w:rPr>
      </w:pPr>
      <w:r>
        <w:rPr>
          <w:rFonts w:ascii="Times New Roman" w:cs="Times New Roman" w:eastAsia="Times New Roman" w:hAnsi="Times New Roman"/>
          <w:sz w:val="23"/>
          <w:szCs w:val="23"/>
          <w:color w:val="auto"/>
        </w:rPr>
        <w:t>Ten (10) directors currently serve on our Board of Directors, all of whom were elected at our annual meeting of shareholders on January 31, 2020. All directors hold office until the next annual meeting of our shareholders, which generally is in January or February of each calendar year, or until their respective successors are duly elected and qualified or their positions are earlier vacated by resignation or otherwise.</w:t>
      </w:r>
    </w:p>
    <w:p>
      <w:pPr>
        <w:spacing w:after="0" w:line="163" w:lineRule="exact"/>
        <w:rPr>
          <w:sz w:val="20"/>
          <w:szCs w:val="20"/>
          <w:color w:val="auto"/>
        </w:rPr>
      </w:pPr>
    </w:p>
    <w:p>
      <w:pPr>
        <w:ind w:firstLine="661"/>
        <w:spacing w:after="0" w:line="250" w:lineRule="auto"/>
        <w:rPr>
          <w:sz w:val="20"/>
          <w:szCs w:val="20"/>
          <w:color w:val="auto"/>
        </w:rPr>
      </w:pPr>
      <w:r>
        <w:rPr>
          <w:rFonts w:ascii="Times New Roman" w:cs="Times New Roman" w:eastAsia="Times New Roman" w:hAnsi="Times New Roman"/>
          <w:sz w:val="23"/>
          <w:szCs w:val="23"/>
          <w:color w:val="auto"/>
        </w:rPr>
        <w:t>Due to the global and versatile nature of the Company’s business, the Board of Directors believes it is important to consider diversity of race, ethnicity, gender, age, education, cultural background and professional experiences in evaluating board candidates in order to provide practical insights and diverse perspectives. In addition, the Board of Directors has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reconsidered annually for it to stay in effect.</w:t>
      </w:r>
    </w:p>
    <w:p>
      <w:pPr>
        <w:spacing w:after="0" w:line="200" w:lineRule="exact"/>
        <w:rPr>
          <w:sz w:val="20"/>
          <w:szCs w:val="20"/>
          <w:color w:val="auto"/>
        </w:rPr>
      </w:pPr>
    </w:p>
    <w:p>
      <w:pPr>
        <w:spacing w:after="0" w:line="248" w:lineRule="exact"/>
        <w:rPr>
          <w:sz w:val="20"/>
          <w:szCs w:val="20"/>
          <w:color w:val="auto"/>
        </w:rPr>
      </w:pPr>
    </w:p>
    <w:p>
      <w:pPr>
        <w:ind w:right="60" w:firstLine="661"/>
        <w:spacing w:after="0" w:line="257" w:lineRule="auto"/>
        <w:rPr>
          <w:sz w:val="20"/>
          <w:szCs w:val="20"/>
          <w:color w:val="auto"/>
        </w:rPr>
      </w:pPr>
      <w:r>
        <w:rPr>
          <w:rFonts w:ascii="Times New Roman" w:cs="Times New Roman" w:eastAsia="Times New Roman" w:hAnsi="Times New Roman"/>
          <w:sz w:val="23"/>
          <w:szCs w:val="23"/>
          <w:color w:val="auto"/>
        </w:rPr>
        <w:t>In November 2020, Mr. James Kahan was granted a one-year waiver to continue as director past the age of 73 years until the next annual general meeting in 2022 in light of the circumstances presented to the Board of Directors, including his exceptional industry experience and value to the Board, as well as the current global business and market environment.</w:t>
      </w:r>
    </w:p>
    <w:p>
      <w:pPr>
        <w:spacing w:after="0" w:line="163" w:lineRule="exact"/>
        <w:rPr>
          <w:sz w:val="20"/>
          <w:szCs w:val="20"/>
          <w:color w:val="auto"/>
        </w:rPr>
      </w:pPr>
    </w:p>
    <w:p>
      <w:pPr>
        <w:ind w:firstLine="661"/>
        <w:spacing w:after="0" w:line="254" w:lineRule="auto"/>
        <w:rPr>
          <w:sz w:val="20"/>
          <w:szCs w:val="20"/>
          <w:color w:val="auto"/>
        </w:rPr>
      </w:pPr>
      <w:r>
        <w:rPr>
          <w:rFonts w:ascii="Times New Roman" w:cs="Times New Roman" w:eastAsia="Times New Roman" w:hAnsi="Times New Roman"/>
          <w:sz w:val="23"/>
          <w:szCs w:val="23"/>
          <w:color w:val="auto"/>
        </w:rPr>
        <w:t>Ordinary shares represented by proxies returned duly executed will be voted, unless otherwise specified, in favor of the ten (10)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66" w:lineRule="exact"/>
        <w:rPr>
          <w:sz w:val="20"/>
          <w:szCs w:val="20"/>
          <w:color w:val="auto"/>
        </w:rPr>
      </w:pPr>
    </w:p>
    <w:p>
      <w:pPr>
        <w:jc w:val="both"/>
        <w:ind w:right="820" w:firstLine="661"/>
        <w:spacing w:after="0" w:line="281" w:lineRule="auto"/>
        <w:rPr>
          <w:sz w:val="20"/>
          <w:szCs w:val="20"/>
          <w:color w:val="auto"/>
        </w:rPr>
      </w:pPr>
      <w:r>
        <w:rPr>
          <w:rFonts w:ascii="Times New Roman" w:cs="Times New Roman" w:eastAsia="Times New Roman" w:hAnsi="Times New Roman"/>
          <w:sz w:val="23"/>
          <w:szCs w:val="23"/>
          <w:color w:val="auto"/>
        </w:rPr>
        <w:t>Set forth below are the names and ages of the nominees for director, the principal occupations of each nominee currently and for at least the past five years, and the year in which he became a director of Amdocs.</w:t>
      </w:r>
    </w:p>
    <w:p>
      <w:pPr>
        <w:sectPr>
          <w:pgSz w:w="11900" w:h="16838" w:orient="portrait"/>
          <w:cols w:equalWidth="0" w:num="1">
            <w:col w:w="11000"/>
          </w:cols>
          <w:pgMar w:left="440" w:top="252"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3"/>
        </w:trPr>
        <w:tc>
          <w:tcPr>
            <w:tcW w:w="3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1080" w:type="dxa"/>
            <w:vAlign w:val="bottom"/>
          </w:tcPr>
          <w:p>
            <w:pPr>
              <w:spacing w:after="0"/>
              <w:rPr>
                <w:sz w:val="22"/>
                <w:szCs w:val="22"/>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w w:val="89"/>
              </w:rPr>
              <w:t>Age</w:t>
            </w:r>
          </w:p>
        </w:tc>
        <w:tc>
          <w:tcPr>
            <w:tcW w:w="6580" w:type="dxa"/>
            <w:vAlign w:val="bottom"/>
          </w:tcPr>
          <w:p>
            <w:pPr>
              <w:spacing w:after="0"/>
              <w:rPr>
                <w:sz w:val="22"/>
                <w:szCs w:val="22"/>
                <w:color w:val="auto"/>
              </w:rPr>
            </w:pPr>
          </w:p>
        </w:tc>
      </w:tr>
      <w:tr>
        <w:trPr>
          <w:trHeight w:val="333"/>
        </w:trPr>
        <w:tc>
          <w:tcPr>
            <w:tcW w:w="300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Robert A. Minicucci</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23"/>
                <w:szCs w:val="23"/>
                <w:color w:val="auto"/>
              </w:rPr>
              <w:t>68</w:t>
            </w: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Mr. Minicucci has been Chairman of the Board of Directors of</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Amdocs since 2011 and a director since 1997. Mr. Minicucci</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joined Welsh, Carson, Anderson &amp; Stowe, or WCAS, in 1993.</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Mr. Minicucci has served as a managing member of the general</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partners of certain funds affiliated with WCAS and has focused on</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the information and business services industry. Until 2003,</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investment partnerships affiliated with WCAS had been among</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our largest shareholders. From 1992 to 1993, Mr. Minicucci</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served as Senior Vice President and Chief Financial Officer of</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First Data Corporation, a provider of information processing and</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related services for credit card and other payment transactions.</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From 1991 to 1992, he served as Senior Vice President and</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Treasurer of the American Express Company. He served for 12</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years with Lehman Brothers (and its predecessors) until his</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resignation as a Managing Director in 1991. Mr. Minicucci was a</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director of one other publicly-held company, Alliance Data</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Systems, Inc. until June 2020. He is also a director of several</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private companies. Mr. Minicucci’s career in information</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technology investing, including as a director of more than 20</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different public and private companies, and his experience as chief</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financial officer to a public company and treasurer of another</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public company, have provided him with strong business acumen</w:t>
            </w:r>
          </w:p>
        </w:tc>
      </w:tr>
      <w:tr>
        <w:trPr>
          <w:trHeight w:val="304"/>
        </w:trPr>
        <w:tc>
          <w:tcPr>
            <w:tcW w:w="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and strategic and financial expertise.</w:t>
            </w:r>
          </w:p>
        </w:tc>
      </w:tr>
      <w:tr>
        <w:trPr>
          <w:trHeight w:val="344"/>
        </w:trPr>
        <w:tc>
          <w:tcPr>
            <w:tcW w:w="300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Adrian Gardner</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23"/>
                <w:szCs w:val="23"/>
                <w:color w:val="auto"/>
              </w:rPr>
              <w:t>58</w:t>
            </w: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Mr. Gardner has been a director of Amdocs since 1998 and is</w:t>
            </w:r>
          </w:p>
        </w:tc>
      </w:tr>
      <w:tr>
        <w:trPr>
          <w:trHeight w:val="270"/>
        </w:trPr>
        <w:tc>
          <w:tcPr>
            <w:tcW w:w="5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Chairman of the Audit Committee. Mr. Gardner serves as Chief</w:t>
            </w:r>
          </w:p>
        </w:tc>
      </w:tr>
      <w:tr>
        <w:trPr>
          <w:trHeight w:val="296"/>
        </w:trPr>
        <w:tc>
          <w:tcPr>
            <w:tcW w:w="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Operating Officer of Stonehage Fleming Family &amp; Partners</w:t>
            </w:r>
          </w:p>
        </w:tc>
      </w:tr>
    </w:tbl>
    <w:p>
      <w:pPr>
        <w:ind w:left="4740"/>
        <w:spacing w:after="0" w:line="248" w:lineRule="auto"/>
        <w:rPr>
          <w:sz w:val="20"/>
          <w:szCs w:val="20"/>
          <w:color w:val="auto"/>
        </w:rPr>
      </w:pPr>
      <w:r>
        <w:rPr>
          <w:rFonts w:ascii="Times New Roman" w:cs="Times New Roman" w:eastAsia="Times New Roman" w:hAnsi="Times New Roman"/>
          <w:sz w:val="23"/>
          <w:szCs w:val="23"/>
          <w:color w:val="auto"/>
        </w:rPr>
        <w:t>Limited, an international Multi-Family Office business, since October 2019. Mr. Gardner has served as a member of the Audit &amp; Risk Committee of Worcester College, Oxford University since May 2017. From 2016 to 2019, Mr. Gardner served as Chief Financial Officer of Ipes</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color w:val="auto"/>
        </w:rPr>
        <w:t>4</w:t>
      </w:r>
    </w:p>
    <w:p>
      <w:pPr>
        <w:sectPr>
          <w:pgSz w:w="11900" w:h="16838" w:orient="portrait"/>
          <w:cols w:equalWidth="0" w:num="1">
            <w:col w:w="11020"/>
          </w:cols>
          <w:pgMar w:left="440" w:top="356"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63"/>
        </w:trPr>
        <w:tc>
          <w:tcPr>
            <w:tcW w:w="4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5"/>
              </w:rPr>
              <w:t>Age</w:t>
            </w:r>
          </w:p>
        </w:tc>
        <w:tc>
          <w:tcPr>
            <w:tcW w:w="6560" w:type="dxa"/>
            <w:vAlign w:val="bottom"/>
            <w:vMerge w:val="restart"/>
          </w:tcPr>
          <w:p>
            <w:pPr>
              <w:ind w:left="320"/>
              <w:spacing w:after="0"/>
              <w:rPr>
                <w:sz w:val="20"/>
                <w:szCs w:val="20"/>
                <w:color w:val="auto"/>
              </w:rPr>
            </w:pPr>
            <w:r>
              <w:rPr>
                <w:rFonts w:ascii="Times New Roman" w:cs="Times New Roman" w:eastAsia="Times New Roman" w:hAnsi="Times New Roman"/>
                <w:sz w:val="23"/>
                <w:szCs w:val="23"/>
                <w:color w:val="auto"/>
              </w:rPr>
              <w:t>Holdings Limited, a provider of outsourced services to private</w:t>
            </w:r>
          </w:p>
        </w:tc>
        <w:tc>
          <w:tcPr>
            <w:tcW w:w="0" w:type="dxa"/>
            <w:vAlign w:val="bottom"/>
          </w:tcPr>
          <w:p>
            <w:pPr>
              <w:spacing w:after="0"/>
              <w:rPr>
                <w:sz w:val="1"/>
                <w:szCs w:val="1"/>
                <w:color w:val="auto"/>
              </w:rPr>
            </w:pPr>
          </w:p>
        </w:tc>
      </w:tr>
      <w:tr>
        <w:trPr>
          <w:trHeight w:val="225"/>
        </w:trPr>
        <w:tc>
          <w:tcPr>
            <w:tcW w:w="500" w:type="dxa"/>
            <w:vAlign w:val="bottom"/>
            <w:tcBorders>
              <w:top w:val="single" w:sz="8" w:color="auto"/>
            </w:tcBorders>
          </w:tcPr>
          <w:p>
            <w:pPr>
              <w:spacing w:after="0"/>
              <w:rPr>
                <w:sz w:val="19"/>
                <w:szCs w:val="19"/>
                <w:color w:val="auto"/>
              </w:rPr>
            </w:pPr>
          </w:p>
        </w:tc>
        <w:tc>
          <w:tcPr>
            <w:tcW w:w="35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equity firms. From 2014 to September 2016, Mr. Gardner 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as Chief Financial Officer of International Personal Finance plc,</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an international home credit business. Mr. Gardner was Chief</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Financial Officer and a director of RSM Tenon Group PLC, a</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London-based accounting and advisory firm from 2011 until the</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acquisition in 2013 of its operating subsidiaries by Baker Tilly UK</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Holdings Limited, since renamed RSM UK Limited. Mr. Gardner</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was Chief Financial Officer of PA Consulting Group, a London-</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based business consulting firm from 2007 to 2011. Mr. Gardner</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was Chief Financial Officer and a director of ProStrakan Group</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plc, a pharmaceuticals company based in the United Kingdom and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listed on the London Stock Exchange, from 2002 until 2007. Prior</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to joining ProStrakan, he was a Managing Director of Lazard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LLC, based in London, where he worked with technology and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telecommunications-related companies. Prior to joining Lazard in</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1989, Mr. Gardner qualified as a chartered accountant with Price</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Waterhouse (now PricewaterhouseCoopers). Mr. Gardner’s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extensive experience as an accountant, technology investment</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banker and chief financial officer enables him to make valuable</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contributions to our strategic and financial affairs.</w:t>
            </w:r>
          </w:p>
        </w:tc>
        <w:tc>
          <w:tcPr>
            <w:tcW w:w="0" w:type="dxa"/>
            <w:vAlign w:val="bottom"/>
          </w:tcPr>
          <w:p>
            <w:pPr>
              <w:spacing w:after="0"/>
              <w:rPr>
                <w:sz w:val="1"/>
                <w:szCs w:val="1"/>
                <w:color w:val="auto"/>
              </w:rPr>
            </w:pPr>
          </w:p>
        </w:tc>
      </w:tr>
      <w:tr>
        <w:trPr>
          <w:trHeight w:val="344"/>
        </w:trPr>
        <w:tc>
          <w:tcPr>
            <w:tcW w:w="408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James S. Kahan</w:t>
            </w:r>
          </w:p>
        </w:tc>
        <w:tc>
          <w:tcPr>
            <w:tcW w:w="340" w:type="dxa"/>
            <w:vAlign w:val="bottom"/>
          </w:tcPr>
          <w:p>
            <w:pPr>
              <w:spacing w:after="0"/>
              <w:rPr>
                <w:sz w:val="20"/>
                <w:szCs w:val="20"/>
                <w:color w:val="auto"/>
              </w:rPr>
            </w:pPr>
            <w:r>
              <w:rPr>
                <w:rFonts w:ascii="Times New Roman" w:cs="Times New Roman" w:eastAsia="Times New Roman" w:hAnsi="Times New Roman"/>
                <w:sz w:val="23"/>
                <w:szCs w:val="23"/>
                <w:color w:val="auto"/>
              </w:rPr>
              <w:t>73</w:t>
            </w: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Mr. Kahan has been a director of Amdocs since 1998 and is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Chairman of the Nominating and Corporate Governance</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Committee. From 1983 until his retirement in 2007, he worked at</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SBC Communications Inc., which is now AT&amp;T, and served as a</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Senior Executive Vice President from 1992 until 2007. AT&amp;T is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our most significant customer. Prior to joining AT&amp;T, Mr. Kahan</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held various positions at several telecommunications companies,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including Western Electric, Bell Laboratories, South Central Bell</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and AT&amp;T Corp. Mr. Kahan also serves on the Board of Directors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of Live Nation Entertainment, Inc., a publicly-traded live music</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and ticketing entity, as well as one private company. Mr. Kahan’s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long service at SBC Communications Inc. and AT&amp;T, as well as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his management and financial experience at several public and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private companies, have provided him with extensive knowledge</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of the telecommunications industry, particularly with respect to</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corporate development, mergers and acquisitions and business</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6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integration.</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261" w:right="47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9" w:name="page10"/>
    <w:bookmarkEnd w:id="9"/>
    <w:p>
      <w:pPr>
        <w:spacing w:after="0"/>
        <w:tabs>
          <w:tab w:leader="none" w:pos="4060" w:val="left"/>
          <w:tab w:leader="none" w:pos="4720" w:val="left"/>
        </w:tabs>
        <w:rPr>
          <w:sz w:val="20"/>
          <w:szCs w:val="20"/>
          <w:color w:val="auto"/>
        </w:rPr>
      </w:pPr>
      <w:r>
        <w:rPr>
          <w:rFonts w:ascii="Times New Roman" w:cs="Times New Roman" w:eastAsia="Times New Roman" w:hAnsi="Times New Roman"/>
          <w:sz w:val="23"/>
          <w:szCs w:val="23"/>
          <w:color w:val="auto"/>
        </w:rPr>
        <w:t>Rafael de la Vega</w:t>
      </w:r>
      <w:r>
        <w:rPr>
          <w:sz w:val="20"/>
          <w:szCs w:val="20"/>
          <w:color w:val="auto"/>
        </w:rPr>
        <w:tab/>
      </w:r>
      <w:r>
        <w:rPr>
          <w:rFonts w:ascii="Times New Roman" w:cs="Times New Roman" w:eastAsia="Times New Roman" w:hAnsi="Times New Roman"/>
          <w:sz w:val="23"/>
          <w:szCs w:val="23"/>
          <w:color w:val="auto"/>
        </w:rPr>
        <w:t>69</w:t>
      </w:r>
      <w:r>
        <w:rPr>
          <w:sz w:val="20"/>
          <w:szCs w:val="20"/>
          <w:color w:val="auto"/>
        </w:rPr>
        <w:tab/>
      </w:r>
      <w:r>
        <w:rPr>
          <w:rFonts w:ascii="Times New Roman" w:cs="Times New Roman" w:eastAsia="Times New Roman" w:hAnsi="Times New Roman"/>
          <w:sz w:val="23"/>
          <w:szCs w:val="23"/>
          <w:color w:val="auto"/>
        </w:rPr>
        <w:t>Mr. Rafael de la Vega has been a director of Amdocs since January</w:t>
      </w:r>
    </w:p>
    <w:p>
      <w:pPr>
        <w:spacing w:after="0" w:line="32" w:lineRule="exact"/>
        <w:rPr>
          <w:sz w:val="20"/>
          <w:szCs w:val="20"/>
          <w:color w:val="auto"/>
        </w:rPr>
      </w:pPr>
    </w:p>
    <w:p>
      <w:pPr>
        <w:ind w:left="4740"/>
        <w:spacing w:after="0" w:line="245" w:lineRule="auto"/>
        <w:rPr>
          <w:sz w:val="20"/>
          <w:szCs w:val="20"/>
          <w:color w:val="auto"/>
        </w:rPr>
      </w:pPr>
      <w:r>
        <w:rPr>
          <w:rFonts w:ascii="Times New Roman" w:cs="Times New Roman" w:eastAsia="Times New Roman" w:hAnsi="Times New Roman"/>
          <w:sz w:val="23"/>
          <w:szCs w:val="23"/>
          <w:color w:val="auto"/>
        </w:rPr>
        <w:t>2018 and is Chairman of the Management Resources and Compensation Committee. Since 2017, he has served as the Chairman and Founder of the De La Vega Group, a consultancy and advisory services firm. From February 2016 to December 2016, Mr. de la Vega served as the Vice Chairman of AT&amp;T Inc. and CEO of Business Solutions &amp; International. From 2014 to 2016 Mr. de la Vega served as President and CEO of AT&amp;T Mobile and Business Solutions and from 2007 to 2014 he served as the President and CEO of AT&amp;T Mobility. Mr. de la Vega also held various positions at several telecommunications companies, including Cingular Wireless and Bell South Latin America. During his time at Cingular Wireless, he was responsible for the integration of AT&amp;T Wireless and Cingular Wireless. He also serves on the boards of American Express Company and New York Life Insurance Company. He served on the Executive Committee of the Boy Scouts of America until May 2018 and served as Chairman of the 2017 Boy Scouts Jamboree. He is the former Chairman of Junior Achievement Worldwide and continues to serve on its board of directors. In June of 2018, Mr. de la Vega joined as the Vice Chairman of the Board of Directors of Ubicquia LLC. In September of 2018 he joined the Board of Advisors of RapidSOS. Mr. de la Vega also recently joined Forté Ventures as a Limited Partner. We believe Mr. de la Vega’s qualifications to sit on our Board of Directors includes his extensive experience and leadership in the telecommunications industry.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5</w:t>
      </w:r>
    </w:p>
    <w:p>
      <w:pPr>
        <w:sectPr>
          <w:pgSz w:w="11900" w:h="16838" w:orient="portrait"/>
          <w:cols w:equalWidth="0" w:num="1">
            <w:col w:w="11000"/>
          </w:cols>
          <w:pgMar w:left="440" w:top="108" w:right="459" w:bottom="1440" w:gutter="0" w:footer="0" w:header="0"/>
        </w:sectPr>
      </w:pPr>
    </w:p>
    <w:bookmarkStart w:id="10" w:name="page11"/>
    <w:bookmarkEnd w:id="10"/>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3"/>
        </w:trPr>
        <w:tc>
          <w:tcPr>
            <w:tcW w:w="4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5"/>
              </w:rPr>
              <w:t>Age</w:t>
            </w:r>
          </w:p>
        </w:tc>
        <w:tc>
          <w:tcPr>
            <w:tcW w:w="6580" w:type="dxa"/>
            <w:vAlign w:val="bottom"/>
          </w:tcPr>
          <w:p>
            <w:pPr>
              <w:spacing w:after="0"/>
              <w:rPr>
                <w:sz w:val="22"/>
                <w:szCs w:val="22"/>
                <w:color w:val="auto"/>
              </w:rPr>
            </w:pPr>
          </w:p>
        </w:tc>
      </w:tr>
      <w:tr>
        <w:trPr>
          <w:trHeight w:val="333"/>
        </w:trPr>
        <w:tc>
          <w:tcPr>
            <w:tcW w:w="408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Giora Yaron</w:t>
            </w:r>
          </w:p>
        </w:tc>
        <w:tc>
          <w:tcPr>
            <w:tcW w:w="340" w:type="dxa"/>
            <w:vAlign w:val="bottom"/>
          </w:tcPr>
          <w:p>
            <w:pPr>
              <w:spacing w:after="0"/>
              <w:rPr>
                <w:sz w:val="20"/>
                <w:szCs w:val="20"/>
                <w:color w:val="auto"/>
              </w:rPr>
            </w:pPr>
            <w:r>
              <w:rPr>
                <w:rFonts w:ascii="Times New Roman" w:cs="Times New Roman" w:eastAsia="Times New Roman" w:hAnsi="Times New Roman"/>
                <w:sz w:val="23"/>
                <w:szCs w:val="23"/>
                <w:color w:val="auto"/>
              </w:rPr>
              <w:t>72</w:t>
            </w: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Dr. Yaron has been a director of Amdocs since 2009 and is</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Chairman of the Technology and Innovation Committee. Dr. Yaron</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co-founded Itamar Medical Ltd., a publicly-traded medical</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technology company, and has been its co-chairman since 1997 and</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since 2015, served as its chairman. Dr. Yaron provides consulting</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services to Itamar Medical and to various other technology</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companies. He co-founded P-cube, Pentacom, Qumranet, Exanet</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and Comsys, privately-held companies sold to multinational</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corporations. In 2009, Dr. Yaron also co-founded Qwilt, Inc., a</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privately-held video technology company and serves as one of its</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directors. Dr. Yaron served as a director of Hyperwise Security, a</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company focused on providing a comprehensive APT protection,</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which was sold to Checkpoint in early 2015, served as Chairman</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of the Board at Excelero (ExpressIO) until 2019, a company</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focused on providing ultra-fast block storage solution and</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Equalum focused on streaming in real-time changes from a variety</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of data bases to a unified platform for real-time Big Data</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Analytics. Dr. Yaron is an active investor in various companies</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including, Salto, Afforata, Vulcan Security, Aqua Security,</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CyberPion and ArgonSec. Dr. Yaron has served as the chairman of</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The Executive Council of Tel Aviv University an institution of</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higher education between 2010-2019 and a director of Ramot,</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which is the Tel Aviv University’s technology transfer company</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until 2015. Dr. Yaron has served on the advisory board of Rafael</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Advanced Defense Systems, Ltd., a developer of high-tech</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defense systems, since 2008, and on the advisory board of the</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Israeli Ministry of Defense since 2011. Dr. Yaron served from</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1996 to 2006 as a member of the Board of Directors of Mercury</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Interactive, a publicly-traded IT optimization software company</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acquired by Hewlett-Packard, including as chairman from 2004 to</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2006. We believe that Dr. Yaron’s qualifications to sit on our</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Board of Directors include his experience as an entrepreneur and</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the various leadership positions he has held on the boards of</w:t>
            </w:r>
          </w:p>
        </w:tc>
      </w:tr>
      <w:tr>
        <w:trPr>
          <w:trHeight w:val="304"/>
        </w:trPr>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directors of software and technology companies.</w:t>
            </w:r>
          </w:p>
        </w:tc>
      </w:tr>
      <w:tr>
        <w:trPr>
          <w:trHeight w:val="344"/>
        </w:trPr>
        <w:tc>
          <w:tcPr>
            <w:tcW w:w="408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Eli Gelman</w:t>
            </w:r>
          </w:p>
        </w:tc>
        <w:tc>
          <w:tcPr>
            <w:tcW w:w="340" w:type="dxa"/>
            <w:vAlign w:val="bottom"/>
          </w:tcPr>
          <w:p>
            <w:pPr>
              <w:spacing w:after="0"/>
              <w:rPr>
                <w:sz w:val="20"/>
                <w:szCs w:val="20"/>
                <w:color w:val="auto"/>
              </w:rPr>
            </w:pPr>
            <w:r>
              <w:rPr>
                <w:rFonts w:ascii="Times New Roman" w:cs="Times New Roman" w:eastAsia="Times New Roman" w:hAnsi="Times New Roman"/>
                <w:sz w:val="23"/>
                <w:szCs w:val="23"/>
                <w:color w:val="auto"/>
              </w:rPr>
              <w:t>62</w:t>
            </w: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Mr. Gelman has been a director of Amdocs since 2002. Since</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January 2019, Mr. Gelman has served as the chairman of the</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Executive Council of Tel Aviv University. Mr. Gelman served as</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our President and Chief Executive Officer from 2010 to</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September 30, 2018. From 2010 until 2013, Mr. Gelman served as</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 director of Retalix, a global software company, and during 2010,</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he also served as its Chairman. From 2008 to 2010, Mr. Gelman</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devoted his time to charitable matters focused on youth education.</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He served as Executive Vice President of Amdocs Management</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Limited from 2002 until 2008 and as our Chief Operating Officer</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from 2006 until 2008. Prior to 2002, he was a Senior Vice</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President, where he headed our U.S. sales and marketing</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operations and helped spearhead our entry into the customer care</w:t>
            </w:r>
          </w:p>
        </w:tc>
      </w:tr>
      <w:tr>
        <w:trPr>
          <w:trHeight w:val="270"/>
        </w:trPr>
        <w:tc>
          <w:tcPr>
            <w:tcW w:w="5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and billing systems market. Before that, Mr. Gelman was an</w:t>
            </w:r>
          </w:p>
        </w:tc>
      </w:tr>
      <w:tr>
        <w:trPr>
          <w:trHeight w:val="296"/>
        </w:trPr>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account manager for our major European and North American</w:t>
            </w:r>
          </w:p>
        </w:tc>
      </w:tr>
    </w:tbl>
    <w:p>
      <w:pPr>
        <w:ind w:left="4740" w:right="80"/>
        <w:spacing w:after="0" w:line="246" w:lineRule="auto"/>
        <w:rPr>
          <w:sz w:val="20"/>
          <w:szCs w:val="20"/>
          <w:color w:val="auto"/>
        </w:rPr>
      </w:pPr>
      <w:r>
        <w:rPr>
          <w:rFonts w:ascii="Times New Roman" w:cs="Times New Roman" w:eastAsia="Times New Roman" w:hAnsi="Times New Roman"/>
          <w:sz w:val="23"/>
          <w:szCs w:val="23"/>
          <w:color w:val="auto"/>
        </w:rPr>
        <w:t>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 Operating Officer and President and Chief Executive Officer. With more than 30 years of experience in the software industry, he possesses a vast institutional knowledge and strategic understanding of our organization and industry.</w:t>
      </w:r>
    </w:p>
    <w:p>
      <w:pPr>
        <w:sectPr>
          <w:pgSz w:w="11900" w:h="16882" w:orient="portrait"/>
          <w:cols w:equalWidth="0" w:num="1">
            <w:col w:w="11000"/>
          </w:cols>
          <w:pgMar w:left="440" w:top="261" w:right="45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23"/>
                <w:szCs w:val="23"/>
                <w:color w:val="auto"/>
              </w:rPr>
              <w:t>Richard T.C. LeFave</w:t>
            </w:r>
          </w:p>
        </w:tc>
        <w:tc>
          <w:tcPr>
            <w:tcW w:w="1500" w:type="dxa"/>
            <w:vAlign w:val="bottom"/>
          </w:tcPr>
          <w:p>
            <w:pPr>
              <w:jc w:val="right"/>
              <w:ind w:right="103"/>
              <w:spacing w:after="0"/>
              <w:rPr>
                <w:sz w:val="20"/>
                <w:szCs w:val="20"/>
                <w:color w:val="auto"/>
              </w:rPr>
            </w:pPr>
            <w:r>
              <w:rPr>
                <w:rFonts w:ascii="Times New Roman" w:cs="Times New Roman" w:eastAsia="Times New Roman" w:hAnsi="Times New Roman"/>
                <w:sz w:val="23"/>
                <w:szCs w:val="23"/>
                <w:color w:val="auto"/>
              </w:rPr>
              <w:t>69</w:t>
            </w:r>
          </w:p>
        </w:tc>
        <w:tc>
          <w:tcPr>
            <w:tcW w:w="6320" w:type="dxa"/>
            <w:vAlign w:val="bottom"/>
          </w:tcPr>
          <w:p>
            <w:pPr>
              <w:ind w:left="220"/>
              <w:spacing w:after="0"/>
              <w:rPr>
                <w:sz w:val="20"/>
                <w:szCs w:val="20"/>
                <w:color w:val="auto"/>
              </w:rPr>
            </w:pPr>
            <w:r>
              <w:rPr>
                <w:rFonts w:ascii="Times New Roman" w:cs="Times New Roman" w:eastAsia="Times New Roman" w:hAnsi="Times New Roman"/>
                <w:sz w:val="23"/>
                <w:szCs w:val="23"/>
                <w:color w:val="auto"/>
              </w:rPr>
              <w:t>Mr. LeFave has been a director of Amdocs since 2011. Since</w:t>
            </w:r>
          </w:p>
        </w:tc>
      </w:tr>
      <w:tr>
        <w:trPr>
          <w:trHeight w:val="270"/>
        </w:trPr>
        <w:tc>
          <w:tcPr>
            <w:tcW w:w="30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320" w:type="dxa"/>
            <w:vAlign w:val="bottom"/>
          </w:tcPr>
          <w:p>
            <w:pPr>
              <w:ind w:left="220"/>
              <w:spacing w:after="0"/>
              <w:rPr>
                <w:sz w:val="20"/>
                <w:szCs w:val="20"/>
                <w:color w:val="auto"/>
              </w:rPr>
            </w:pPr>
            <w:r>
              <w:rPr>
                <w:rFonts w:ascii="Times New Roman" w:cs="Times New Roman" w:eastAsia="Times New Roman" w:hAnsi="Times New Roman"/>
                <w:sz w:val="23"/>
                <w:szCs w:val="23"/>
                <w:color w:val="auto"/>
              </w:rPr>
              <w:t>2008, Mr. LeFave has been a Principal at D&amp;L Partners, LLC, an</w:t>
            </w:r>
          </w:p>
        </w:tc>
      </w:tr>
      <w:tr>
        <w:trPr>
          <w:trHeight w:val="270"/>
        </w:trPr>
        <w:tc>
          <w:tcPr>
            <w:tcW w:w="30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320" w:type="dxa"/>
            <w:vAlign w:val="bottom"/>
          </w:tcPr>
          <w:p>
            <w:pPr>
              <w:ind w:left="220"/>
              <w:spacing w:after="0"/>
              <w:rPr>
                <w:sz w:val="20"/>
                <w:szCs w:val="20"/>
                <w:color w:val="auto"/>
              </w:rPr>
            </w:pPr>
            <w:r>
              <w:rPr>
                <w:rFonts w:ascii="Times New Roman" w:cs="Times New Roman" w:eastAsia="Times New Roman" w:hAnsi="Times New Roman"/>
                <w:sz w:val="23"/>
                <w:szCs w:val="23"/>
                <w:color w:val="auto"/>
              </w:rPr>
              <w:t>information technology consulting firm. Mr. LeFave served as</w:t>
            </w:r>
          </w:p>
        </w:tc>
      </w:tr>
      <w:tr>
        <w:trPr>
          <w:trHeight w:val="270"/>
        </w:trPr>
        <w:tc>
          <w:tcPr>
            <w:tcW w:w="30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320" w:type="dxa"/>
            <w:vAlign w:val="bottom"/>
          </w:tcPr>
          <w:p>
            <w:pPr>
              <w:ind w:left="220"/>
              <w:spacing w:after="0"/>
              <w:rPr>
                <w:sz w:val="20"/>
                <w:szCs w:val="20"/>
                <w:color w:val="auto"/>
              </w:rPr>
            </w:pPr>
            <w:r>
              <w:rPr>
                <w:rFonts w:ascii="Times New Roman" w:cs="Times New Roman" w:eastAsia="Times New Roman" w:hAnsi="Times New Roman"/>
                <w:sz w:val="23"/>
                <w:szCs w:val="23"/>
                <w:color w:val="auto"/>
              </w:rPr>
              <w:t>Chief Information Officer for Nextel Communications, a</w:t>
            </w:r>
          </w:p>
        </w:tc>
      </w:tr>
      <w:tr>
        <w:trPr>
          <w:trHeight w:val="270"/>
        </w:trPr>
        <w:tc>
          <w:tcPr>
            <w:tcW w:w="30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320" w:type="dxa"/>
            <w:vAlign w:val="bottom"/>
          </w:tcPr>
          <w:p>
            <w:pPr>
              <w:ind w:left="220"/>
              <w:spacing w:after="0"/>
              <w:rPr>
                <w:sz w:val="20"/>
                <w:szCs w:val="20"/>
                <w:color w:val="auto"/>
              </w:rPr>
            </w:pPr>
            <w:r>
              <w:rPr>
                <w:rFonts w:ascii="Times New Roman" w:cs="Times New Roman" w:eastAsia="Times New Roman" w:hAnsi="Times New Roman"/>
                <w:sz w:val="23"/>
                <w:szCs w:val="23"/>
                <w:color w:val="auto"/>
              </w:rPr>
              <w:t>telecommunications company, from 1999 until its merger with</w:t>
            </w:r>
          </w:p>
        </w:tc>
      </w:tr>
      <w:tr>
        <w:trPr>
          <w:trHeight w:val="270"/>
        </w:trPr>
        <w:tc>
          <w:tcPr>
            <w:tcW w:w="30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320" w:type="dxa"/>
            <w:vAlign w:val="bottom"/>
          </w:tcPr>
          <w:p>
            <w:pPr>
              <w:ind w:left="220"/>
              <w:spacing w:after="0"/>
              <w:rPr>
                <w:sz w:val="20"/>
                <w:szCs w:val="20"/>
                <w:color w:val="auto"/>
              </w:rPr>
            </w:pPr>
            <w:r>
              <w:rPr>
                <w:rFonts w:ascii="Times New Roman" w:cs="Times New Roman" w:eastAsia="Times New Roman" w:hAnsi="Times New Roman"/>
                <w:sz w:val="23"/>
                <w:szCs w:val="23"/>
                <w:color w:val="auto"/>
              </w:rPr>
              <w:t>Sprint Corporation in 2005, after which he served as Chief</w:t>
            </w:r>
          </w:p>
        </w:tc>
      </w:tr>
      <w:tr>
        <w:trPr>
          <w:trHeight w:val="304"/>
        </w:trPr>
        <w:tc>
          <w:tcPr>
            <w:tcW w:w="3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320" w:type="dxa"/>
            <w:vAlign w:val="bottom"/>
          </w:tcPr>
          <w:p>
            <w:pPr>
              <w:ind w:left="220"/>
              <w:spacing w:after="0"/>
              <w:rPr>
                <w:sz w:val="20"/>
                <w:szCs w:val="20"/>
                <w:color w:val="auto"/>
              </w:rPr>
            </w:pPr>
            <w:r>
              <w:rPr>
                <w:rFonts w:ascii="Times New Roman" w:cs="Times New Roman" w:eastAsia="Times New Roman" w:hAnsi="Times New Roman"/>
                <w:sz w:val="23"/>
                <w:szCs w:val="23"/>
                <w:color w:val="auto"/>
              </w:rPr>
              <w:t>Information</w:t>
            </w:r>
          </w:p>
        </w:tc>
      </w:tr>
      <w:tr>
        <w:trPr>
          <w:trHeight w:val="418"/>
        </w:trPr>
        <w:tc>
          <w:tcPr>
            <w:tcW w:w="3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320" w:type="dxa"/>
            <w:vAlign w:val="bottom"/>
          </w:tcPr>
          <w:p>
            <w:pPr>
              <w:ind w:left="920"/>
              <w:spacing w:after="0"/>
              <w:rPr>
                <w:sz w:val="20"/>
                <w:szCs w:val="20"/>
                <w:color w:val="auto"/>
              </w:rPr>
            </w:pPr>
            <w:r>
              <w:rPr>
                <w:rFonts w:ascii="Times New Roman" w:cs="Times New Roman" w:eastAsia="Times New Roman" w:hAnsi="Times New Roman"/>
                <w:sz w:val="23"/>
                <w:szCs w:val="23"/>
                <w:color w:val="auto"/>
              </w:rPr>
              <w:t>6</w:t>
            </w:r>
          </w:p>
        </w:tc>
      </w:tr>
    </w:tbl>
    <w:p>
      <w:pPr>
        <w:sectPr>
          <w:pgSz w:w="11900" w:h="16838" w:orient="portrait"/>
          <w:cols w:equalWidth="0" w:num="1">
            <w:col w:w="10840"/>
          </w:cols>
          <w:pgMar w:left="440" w:top="175" w:right="61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3"/>
        </w:trPr>
        <w:tc>
          <w:tcPr>
            <w:tcW w:w="2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110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w w:val="89"/>
              </w:rPr>
              <w:t>Age</w:t>
            </w:r>
          </w:p>
        </w:tc>
        <w:tc>
          <w:tcPr>
            <w:tcW w:w="6540" w:type="dxa"/>
            <w:vAlign w:val="bottom"/>
            <w:vMerge w:val="restart"/>
          </w:tcPr>
          <w:p>
            <w:pPr>
              <w:ind w:left="320"/>
              <w:spacing w:after="0"/>
              <w:rPr>
                <w:sz w:val="20"/>
                <w:szCs w:val="20"/>
                <w:color w:val="auto"/>
              </w:rPr>
            </w:pPr>
            <w:r>
              <w:rPr>
                <w:rFonts w:ascii="Times New Roman" w:cs="Times New Roman" w:eastAsia="Times New Roman" w:hAnsi="Times New Roman"/>
                <w:sz w:val="23"/>
                <w:szCs w:val="23"/>
                <w:color w:val="auto"/>
              </w:rPr>
              <w:t>Officer for Sprint Nextel Corporation until 2008. From 1995 to</w:t>
            </w:r>
          </w:p>
        </w:tc>
        <w:tc>
          <w:tcPr>
            <w:tcW w:w="0" w:type="dxa"/>
            <w:vAlign w:val="bottom"/>
          </w:tcPr>
          <w:p>
            <w:pPr>
              <w:spacing w:after="0"/>
              <w:rPr>
                <w:sz w:val="1"/>
                <w:szCs w:val="1"/>
                <w:color w:val="auto"/>
              </w:rPr>
            </w:pPr>
          </w:p>
        </w:tc>
      </w:tr>
      <w:tr>
        <w:trPr>
          <w:trHeight w:val="225"/>
        </w:trPr>
        <w:tc>
          <w:tcPr>
            <w:tcW w:w="500" w:type="dxa"/>
            <w:vAlign w:val="bottom"/>
            <w:tcBorders>
              <w:top w:val="single" w:sz="8" w:color="auto"/>
            </w:tcBorders>
          </w:tcPr>
          <w:p>
            <w:pPr>
              <w:spacing w:after="0"/>
              <w:rPr>
                <w:sz w:val="19"/>
                <w:szCs w:val="19"/>
                <w:color w:val="auto"/>
              </w:rPr>
            </w:pPr>
          </w:p>
        </w:tc>
        <w:tc>
          <w:tcPr>
            <w:tcW w:w="2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1999, Mr. LeFave served as Chief Information Officer for</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Southern New England Telephone Company, a provider of</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communications products and services. Mr. LeFave has held the</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CISO position and duties for a U.S.-based manufacturing firm and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attended Harvard Business School (“HBS”) courses in Board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Compensation and Audit Committee strategies and recently</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completed his HBS Corporate Director Certificate. We believe</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Mr. LeFave’s qualifications to sit on our board include his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extensive experience and leadership in the information technology</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and telecommunications industry.</w:t>
            </w:r>
          </w:p>
        </w:tc>
        <w:tc>
          <w:tcPr>
            <w:tcW w:w="0" w:type="dxa"/>
            <w:vAlign w:val="bottom"/>
          </w:tcPr>
          <w:p>
            <w:pPr>
              <w:spacing w:after="0"/>
              <w:rPr>
                <w:sz w:val="1"/>
                <w:szCs w:val="1"/>
                <w:color w:val="auto"/>
              </w:rPr>
            </w:pPr>
          </w:p>
        </w:tc>
      </w:tr>
      <w:tr>
        <w:trPr>
          <w:trHeight w:val="344"/>
        </w:trPr>
        <w:tc>
          <w:tcPr>
            <w:tcW w:w="298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John A. MacDonald</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23"/>
                <w:szCs w:val="23"/>
                <w:color w:val="auto"/>
              </w:rPr>
              <w:t>67</w:t>
            </w: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Mr. MacDonald has been a director of Amdocs since 2019.</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Mr. MacDonald is an experienced senior executive who has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worked at some of Canada’s largest technology organizations and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serves as a board member of Rogers Communications Inc. and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BookJane Inc. From 2003 to 2008, Mr. MacDonald served as the</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President, Enterprise Division of MTS Allstream. Before that,</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between 2002 to 2003, Mr. MacDonald was a President and Chief</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Operating Officer AT&amp;T Canada. AT&amp;T Canada was re-branded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Allstream in 2003 and was subsequently acquired by MTS the</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following year. In 1994 Mr. MacDonald joined Bell Canada as its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Chief Technology Officer and retired from Bell Canada in 1999 as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its President and Chief Operating Officer. From 1977 to 1994</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Mr. MacDonald worked at NBTel, where he became Chief</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Executive Officer in 1994. We believe Mr. MacDonald’s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qualifications to sit on our Board of Directors includes his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extensive experience and leadership in the telecommunications</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industry.</w:t>
            </w:r>
          </w:p>
        </w:tc>
        <w:tc>
          <w:tcPr>
            <w:tcW w:w="0" w:type="dxa"/>
            <w:vAlign w:val="bottom"/>
          </w:tcPr>
          <w:p>
            <w:pPr>
              <w:spacing w:after="0"/>
              <w:rPr>
                <w:sz w:val="1"/>
                <w:szCs w:val="1"/>
                <w:color w:val="auto"/>
              </w:rPr>
            </w:pPr>
          </w:p>
        </w:tc>
      </w:tr>
      <w:tr>
        <w:trPr>
          <w:trHeight w:val="344"/>
        </w:trPr>
        <w:tc>
          <w:tcPr>
            <w:tcW w:w="298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Shuky Sheffer</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23"/>
                <w:szCs w:val="23"/>
                <w:color w:val="auto"/>
              </w:rPr>
              <w:t>60</w:t>
            </w: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Mr. Sheffer is a director and has been our President and Chief</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Executive Officer since October 1, 2018. Mr. Sheffer previously</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served as Senior Vice President and President of the Global</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Business Group from October 2013 to September 30, 2018.</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Mr. Sheffer served as Chief Executive Officer of Retalix Ltd., a</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global software company, from 2009 until its acquisition by NCR</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Corporation in 2013. Following the acquisition, he served as a</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General Manager of Retalix through September 2013. From 1986</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to 2009, Mr. Sheffer served at various managerial positions at</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Amdocs, most recently as President of the Emerging Markets</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Divisions.</w:t>
            </w:r>
          </w:p>
        </w:tc>
        <w:tc>
          <w:tcPr>
            <w:tcW w:w="0" w:type="dxa"/>
            <w:vAlign w:val="bottom"/>
          </w:tcPr>
          <w:p>
            <w:pPr>
              <w:spacing w:after="0"/>
              <w:rPr>
                <w:sz w:val="1"/>
                <w:szCs w:val="1"/>
                <w:color w:val="auto"/>
              </w:rPr>
            </w:pPr>
          </w:p>
        </w:tc>
      </w:tr>
      <w:tr>
        <w:trPr>
          <w:trHeight w:val="344"/>
        </w:trPr>
        <w:tc>
          <w:tcPr>
            <w:tcW w:w="298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Yvette Kanouff</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23"/>
                <w:szCs w:val="23"/>
                <w:color w:val="auto"/>
              </w:rPr>
              <w:t>55</w:t>
            </w: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Ms. Kanouff has been a director of Amdocs since 2020. Since</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August 2019, Ms. Kanouff has served as a director of Science</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Applications International Corporation (SAIC). She is currently a</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partner and chief technology officer at Silicon Valley-based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venture capital and private equity firm JC2 Ventures where</w:t>
            </w:r>
          </w:p>
        </w:tc>
        <w:tc>
          <w:tcPr>
            <w:tcW w:w="0" w:type="dxa"/>
            <w:vAlign w:val="bottom"/>
          </w:tcPr>
          <w:p>
            <w:pPr>
              <w:spacing w:after="0"/>
              <w:rPr>
                <w:sz w:val="1"/>
                <w:szCs w:val="1"/>
                <w:color w:val="auto"/>
              </w:rPr>
            </w:pPr>
          </w:p>
        </w:tc>
      </w:tr>
      <w:tr>
        <w:trPr>
          <w:trHeight w:val="296"/>
        </w:trPr>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40" w:type="dxa"/>
            <w:vAlign w:val="bottom"/>
          </w:tcPr>
          <w:p>
            <w:pPr>
              <w:ind w:left="320"/>
              <w:spacing w:after="0"/>
              <w:rPr>
                <w:sz w:val="20"/>
                <w:szCs w:val="20"/>
                <w:color w:val="auto"/>
              </w:rPr>
            </w:pPr>
            <w:r>
              <w:rPr>
                <w:rFonts w:ascii="Times New Roman" w:cs="Times New Roman" w:eastAsia="Times New Roman" w:hAnsi="Times New Roman"/>
                <w:sz w:val="23"/>
                <w:szCs w:val="23"/>
                <w:color w:val="auto"/>
              </w:rPr>
              <w:t>Ms. Kanouff is responsible for technology strategy and</w:t>
            </w:r>
          </w:p>
        </w:tc>
        <w:tc>
          <w:tcPr>
            <w:tcW w:w="0" w:type="dxa"/>
            <w:vAlign w:val="bottom"/>
          </w:tcPr>
          <w:p>
            <w:pPr>
              <w:spacing w:after="0"/>
              <w:rPr>
                <w:sz w:val="1"/>
                <w:szCs w:val="1"/>
                <w:color w:val="auto"/>
              </w:rPr>
            </w:pPr>
          </w:p>
        </w:tc>
      </w:tr>
    </w:tbl>
    <w:p>
      <w:pPr>
        <w:ind w:left="4740" w:right="100"/>
        <w:spacing w:after="0" w:line="246" w:lineRule="auto"/>
        <w:rPr>
          <w:sz w:val="20"/>
          <w:szCs w:val="20"/>
          <w:color w:val="auto"/>
        </w:rPr>
      </w:pPr>
      <w:r>
        <w:rPr>
          <w:rFonts w:ascii="Times New Roman" w:cs="Times New Roman" w:eastAsia="Times New Roman" w:hAnsi="Times New Roman"/>
          <w:sz w:val="23"/>
          <w:szCs w:val="23"/>
          <w:color w:val="auto"/>
        </w:rPr>
        <w:t>engineering relationships within JC2 Ventures investment companies, partners, and customers. Prior to that, Ms. Kanouff served as a senior vice president and general manager for Cisco’s Service Provider Business where she was responsible for more than $7 billion in direct revenue and more than 6,000 employees globally. Previously, Ms. Kanouff held leadership positions for numerous companies, including Cablevision, SeaChange International, and Time Warner. Ms. Kanouff holds a bachelor’s degree and a master’s degree in mathematics from the University of Central Florida. Ms. Kanouff is also a director and executive advisor of several private technology companies.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Board Committees</w:t>
      </w:r>
    </w:p>
    <w:p>
      <w:pPr>
        <w:sectPr>
          <w:pgSz w:w="11900" w:h="16838" w:orient="portrait"/>
          <w:cols w:equalWidth="0" w:num="1">
            <w:col w:w="10960"/>
          </w:cols>
          <w:pgMar w:left="440" w:top="261" w:right="499" w:bottom="0" w:gutter="0" w:footer="0" w:header="0"/>
        </w:sectPr>
      </w:pPr>
    </w:p>
    <w:bookmarkStart w:id="13" w:name="page14"/>
    <w:bookmarkEnd w:id="13"/>
    <w:p>
      <w:pPr>
        <w:ind w:firstLine="661"/>
        <w:spacing w:after="0" w:line="281" w:lineRule="auto"/>
        <w:rPr>
          <w:sz w:val="20"/>
          <w:szCs w:val="20"/>
          <w:color w:val="auto"/>
        </w:rPr>
      </w:pPr>
      <w:r>
        <w:rPr>
          <w:rFonts w:ascii="Times New Roman" w:cs="Times New Roman" w:eastAsia="Times New Roman" w:hAnsi="Times New Roman"/>
          <w:sz w:val="23"/>
          <w:szCs w:val="23"/>
          <w:color w:val="auto"/>
        </w:rPr>
        <w:t>Our Board of Directors maintains four committees as set forth below. Members of each committee are appointed by the Board of Directors.</w:t>
      </w:r>
    </w:p>
    <w:p>
      <w:pPr>
        <w:spacing w:after="0" w:line="6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3"/>
          <w:szCs w:val="23"/>
          <w:color w:val="auto"/>
        </w:rPr>
        <w:t>7</w:t>
      </w:r>
    </w:p>
    <w:p>
      <w:pPr>
        <w:sectPr>
          <w:pgSz w:w="11900" w:h="16838" w:orient="portrait"/>
          <w:cols w:equalWidth="0" w:num="1">
            <w:col w:w="10220"/>
          </w:cols>
          <w:pgMar w:left="440" w:top="108" w:right="1239" w:bottom="1440" w:gutter="0" w:footer="0" w:header="0"/>
        </w:sectPr>
      </w:pPr>
    </w:p>
    <w:bookmarkStart w:id="14" w:name="page15"/>
    <w:bookmarkEnd w:id="14"/>
    <w:p>
      <w:pPr>
        <w:ind w:right="80" w:firstLine="661"/>
        <w:spacing w:after="0" w:line="246" w:lineRule="auto"/>
        <w:rPr>
          <w:sz w:val="20"/>
          <w:szCs w:val="20"/>
          <w:color w:val="auto"/>
        </w:rPr>
      </w:pPr>
      <w:r>
        <w:rPr>
          <w:rFonts w:ascii="Times New Roman" w:cs="Times New Roman" w:eastAsia="Times New Roman" w:hAnsi="Times New Roman"/>
          <w:sz w:val="23"/>
          <w:szCs w:val="23"/>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Audit Committee</w:t>
      </w:r>
      <w:r>
        <w:rPr>
          <w:rFonts w:ascii="Times New Roman" w:cs="Times New Roman" w:eastAsia="Times New Roman" w:hAnsi="Times New Roman"/>
          <w:sz w:val="23"/>
          <w:szCs w:val="23"/>
          <w:color w:val="auto"/>
        </w:rPr>
        <w:t>. The Audit Committee reviews, acts on and reports to the Board of Directors with respect to</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Subject to their election, the Board of Directors has appointed Messrs. Gardner (Chair), LeFave and Minicucci, all of whom are independent directors (including under the heightened independence requirements for members of the Audit Committee), as defined by the rules of Nasdaq, and pursuant to the categorical director independence standards adopted by our Board of Directors to serve as members of the Audit Committee. The Board of Directors has determined that Mr. Gardner is an “audit committee financial expert” as defined by rules promulgated by the SEC, and that each member of the Audit Committee is financially literate as required by the rules of Nasdaq. In particular, we believe that the professional experiences of Messrs. Gardner, LeFave and Minicucci provide important insights into their work on the Audit Committee. For example, we believe Mr. Gardner’s extensive experience as an accountant, technology investment banker and chief financial officer enables him to make valuable contributions to the Committee. In addition, we believe that</w:t>
      </w:r>
    </w:p>
    <w:p>
      <w:pPr>
        <w:spacing w:after="0" w:line="14"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3"/>
          <w:szCs w:val="23"/>
          <w:color w:val="auto"/>
        </w:rPr>
        <w:t xml:space="preserve">Mr. LeFave’s experience as a seasoned Fortune 500 CIO and CISO for over 5 years provides a foundation of cyber awareness to the Audit Committee and also believe that Mr. LeFave’s post-graduate training at HBS in Audit Committee and Board compensation best practices and recently completed HBS Corporate Director Certificate provide valuable contributions to the Committee. Similarly, we believe that Mr. Minucucci’s experience as chief financial officer to a public company and treasurer of another public company have provided him with strong business acumen and strategic and financial expertise that benefits the Committee. The Audit Committee written charter is available on our website at </w:t>
      </w:r>
      <w:r>
        <w:rPr>
          <w:rFonts w:ascii="Times New Roman" w:cs="Times New Roman" w:eastAsia="Times New Roman" w:hAnsi="Times New Roman"/>
          <w:sz w:val="23"/>
          <w:szCs w:val="23"/>
          <w:i w:val="1"/>
          <w:iCs w:val="1"/>
          <w:color w:val="auto"/>
        </w:rPr>
        <w:t>www.amdocs.com.</w:t>
      </w:r>
    </w:p>
    <w:p>
      <w:pPr>
        <w:spacing w:after="0" w:line="171" w:lineRule="exact"/>
        <w:rPr>
          <w:sz w:val="20"/>
          <w:szCs w:val="20"/>
          <w:color w:val="auto"/>
        </w:rPr>
      </w:pPr>
    </w:p>
    <w:p>
      <w:pPr>
        <w:ind w:firstLine="661"/>
        <w:spacing w:after="0" w:line="248" w:lineRule="auto"/>
        <w:rPr>
          <w:sz w:val="20"/>
          <w:szCs w:val="20"/>
          <w:color w:val="auto"/>
        </w:rPr>
      </w:pPr>
      <w:r>
        <w:rPr>
          <w:rFonts w:ascii="Times New Roman" w:cs="Times New Roman" w:eastAsia="Times New Roman" w:hAnsi="Times New Roman"/>
          <w:sz w:val="23"/>
          <w:szCs w:val="23"/>
          <w:i w:val="1"/>
          <w:iCs w:val="1"/>
          <w:color w:val="auto"/>
        </w:rPr>
        <w:t>Nominating and Corporate Governance Committee</w:t>
      </w:r>
      <w:r>
        <w:rPr>
          <w:rFonts w:ascii="Times New Roman" w:cs="Times New Roman" w:eastAsia="Times New Roman" w:hAnsi="Times New Roman"/>
          <w:sz w:val="23"/>
          <w:szCs w:val="23"/>
          <w:color w:val="auto"/>
        </w:rPr>
        <w:t>. The Nominating and Corporate Governance Committee</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 xml:space="preserve">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Subject to their election, the Board of Directors has appointed Messrs. Kahan (Chair), Minicucci and LeFave, all of whom are independent directors, in accordance with Nasdaq standards, and pursuant to the categorical director independence standards adopted by our Board of Directors to serve as members of the Nominating and Corporate Governance Committee. The Nominating and Corporate Governance Committee written charter is available on our website at www.amdocs.com. The Nominating and Corporate Governance Committee has approved corporate governance guidelines that are also available on our website at </w:t>
      </w:r>
      <w:r>
        <w:rPr>
          <w:rFonts w:ascii="Times New Roman" w:cs="Times New Roman" w:eastAsia="Times New Roman" w:hAnsi="Times New Roman"/>
          <w:sz w:val="23"/>
          <w:szCs w:val="23"/>
          <w:i w:val="1"/>
          <w:iCs w:val="1"/>
          <w:color w:val="auto"/>
        </w:rPr>
        <w:t>www.amdocs.com</w:t>
      </w:r>
      <w:r>
        <w:rPr>
          <w:rFonts w:ascii="Times New Roman" w:cs="Times New Roman" w:eastAsia="Times New Roman" w:hAnsi="Times New Roman"/>
          <w:sz w:val="23"/>
          <w:szCs w:val="23"/>
          <w:color w:val="auto"/>
        </w:rPr>
        <w:t>. You may request a copy of the corporate governance guidelines, at no cost, by writing to us at the address listed below under the heading “Annual Report on Form 20-F.”</w:t>
      </w:r>
    </w:p>
    <w:p>
      <w:pPr>
        <w:spacing w:after="0" w:line="176" w:lineRule="exact"/>
        <w:rPr>
          <w:sz w:val="20"/>
          <w:szCs w:val="20"/>
          <w:color w:val="auto"/>
        </w:rPr>
      </w:pPr>
    </w:p>
    <w:p>
      <w:pPr>
        <w:ind w:right="100" w:firstLine="661"/>
        <w:spacing w:after="0" w:line="249" w:lineRule="auto"/>
        <w:rPr>
          <w:sz w:val="20"/>
          <w:szCs w:val="20"/>
          <w:color w:val="auto"/>
        </w:rPr>
      </w:pPr>
      <w:r>
        <w:rPr>
          <w:rFonts w:ascii="Times New Roman" w:cs="Times New Roman" w:eastAsia="Times New Roman" w:hAnsi="Times New Roman"/>
          <w:sz w:val="23"/>
          <w:szCs w:val="23"/>
          <w:i w:val="1"/>
          <w:iCs w:val="1"/>
          <w:color w:val="auto"/>
        </w:rPr>
        <w:t>Management Resources and Compensation Committee</w:t>
      </w:r>
      <w:r>
        <w:rPr>
          <w:rFonts w:ascii="Times New Roman" w:cs="Times New Roman" w:eastAsia="Times New Roman" w:hAnsi="Times New Roman"/>
          <w:sz w:val="23"/>
          <w:szCs w:val="23"/>
          <w:color w:val="auto"/>
        </w:rPr>
        <w:t>. The Management Resources and Compensation</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 xml:space="preserve">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Subject to their election, the Board of Directors has appointed Messrs. De la Vega (Chair), LeFave, Minicucci and MacDonald, all of whom are independent directors, as defined by the rules of Nasdaq, and pursuant to the categorical director independence standards adopted by our Board of Directors to serve as members of the Management Resources and Compensation Committee. The Management Resources and Compensation Committee written charter is available on our website at </w:t>
      </w:r>
      <w:r>
        <w:rPr>
          <w:rFonts w:ascii="Times New Roman" w:cs="Times New Roman" w:eastAsia="Times New Roman" w:hAnsi="Times New Roman"/>
          <w:sz w:val="23"/>
          <w:szCs w:val="23"/>
          <w:i w:val="1"/>
          <w:iCs w:val="1"/>
          <w:color w:val="auto"/>
        </w:rPr>
        <w:t>www.amdocs.com.</w:t>
      </w:r>
    </w:p>
    <w:p>
      <w:pPr>
        <w:spacing w:after="0" w:line="176" w:lineRule="exact"/>
        <w:rPr>
          <w:sz w:val="20"/>
          <w:szCs w:val="20"/>
          <w:color w:val="auto"/>
        </w:rPr>
      </w:pPr>
    </w:p>
    <w:p>
      <w:pPr>
        <w:ind w:right="40" w:firstLine="661"/>
        <w:spacing w:after="0" w:line="258" w:lineRule="auto"/>
        <w:rPr>
          <w:sz w:val="20"/>
          <w:szCs w:val="20"/>
          <w:color w:val="auto"/>
        </w:rPr>
      </w:pPr>
      <w:r>
        <w:rPr>
          <w:rFonts w:ascii="Times New Roman" w:cs="Times New Roman" w:eastAsia="Times New Roman" w:hAnsi="Times New Roman"/>
          <w:sz w:val="23"/>
          <w:szCs w:val="23"/>
          <w:i w:val="1"/>
          <w:iCs w:val="1"/>
          <w:color w:val="auto"/>
        </w:rPr>
        <w:t>Technology and Innovation Committee</w:t>
      </w:r>
      <w:r>
        <w:rPr>
          <w:rFonts w:ascii="Times New Roman" w:cs="Times New Roman" w:eastAsia="Times New Roman" w:hAnsi="Times New Roman"/>
          <w:sz w:val="23"/>
          <w:szCs w:val="23"/>
          <w:color w:val="auto"/>
        </w:rPr>
        <w:t>. The Technology and Innovation Committee was established to assist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the Board of Directors in reviewing our technological development, opportunities and innovation, in connection with the current and future business and markets. Subject to their election, the Board of Directors has appointed Dr. Yaron (Chair), Gelman, Kanouff and MacDonald to serve as members of the Technology and Innovation Committee.</w:t>
      </w:r>
    </w:p>
    <w:p>
      <w:pPr>
        <w:spacing w:after="0" w:line="163" w:lineRule="exact"/>
        <w:rPr>
          <w:sz w:val="20"/>
          <w:szCs w:val="20"/>
          <w:color w:val="auto"/>
        </w:rPr>
      </w:pPr>
    </w:p>
    <w:p>
      <w:pPr>
        <w:ind w:right="480" w:firstLine="661"/>
        <w:spacing w:after="0" w:line="263" w:lineRule="auto"/>
        <w:rPr>
          <w:sz w:val="20"/>
          <w:szCs w:val="20"/>
          <w:color w:val="auto"/>
        </w:rPr>
      </w:pPr>
      <w:r>
        <w:rPr>
          <w:rFonts w:ascii="Times New Roman" w:cs="Times New Roman" w:eastAsia="Times New Roman" w:hAnsi="Times New Roman"/>
          <w:sz w:val="23"/>
          <w:szCs w:val="23"/>
          <w:color w:val="auto"/>
        </w:rPr>
        <w:t>Our directors who are not our employees, or Non-Employee Directors, receive no compensation from us, except in connection with their membership on the Board of Directors and its committees as described below regarding Non-Employee Directors under the heading “Compensation of Directors.”</w:t>
      </w:r>
    </w:p>
    <w:p>
      <w:pPr>
        <w:sectPr>
          <w:pgSz w:w="11900" w:h="16838" w:orient="portrait"/>
          <w:cols w:equalWidth="0" w:num="1">
            <w:col w:w="10980"/>
          </w:cols>
          <w:pgMar w:left="440" w:top="252" w:right="479" w:bottom="1440" w:gutter="0" w:footer="0" w:header="0"/>
        </w:sectPr>
      </w:pP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color w:val="auto"/>
        </w:rPr>
        <w:t>8</w:t>
      </w:r>
    </w:p>
    <w:p>
      <w:pPr>
        <w:sectPr>
          <w:pgSz w:w="11900" w:h="16838" w:orient="portrait"/>
          <w:cols w:equalWidth="0" w:num="1">
            <w:col w:w="10980"/>
          </w:cols>
          <w:pgMar w:left="440" w:top="252" w:right="4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Board and Committee Meetings</w:t>
      </w:r>
    </w:p>
    <w:p>
      <w:pPr>
        <w:spacing w:after="0" w:line="118" w:lineRule="exact"/>
        <w:rPr>
          <w:sz w:val="20"/>
          <w:szCs w:val="20"/>
          <w:color w:val="auto"/>
        </w:rPr>
      </w:pPr>
    </w:p>
    <w:p>
      <w:pPr>
        <w:ind w:right="20" w:firstLine="661"/>
        <w:spacing w:after="0" w:line="248" w:lineRule="auto"/>
        <w:rPr>
          <w:sz w:val="20"/>
          <w:szCs w:val="20"/>
          <w:color w:val="auto"/>
        </w:rPr>
      </w:pPr>
      <w:r>
        <w:rPr>
          <w:rFonts w:ascii="Times New Roman" w:cs="Times New Roman" w:eastAsia="Times New Roman" w:hAnsi="Times New Roman"/>
          <w:sz w:val="23"/>
          <w:szCs w:val="23"/>
          <w:color w:val="auto"/>
        </w:rPr>
        <w:t>During the past fiscal year 2020, the Board of Directors held eight meetings. In addition, the Audit Committee held eight meetings, the Management Resources and Compensation Committee held four meetings, the Nominating and Corporate Governance Committee held four meetings and the Technology and Innovation Committee held four meetings in the 2020 fiscal year. During fiscal 2020, all of the directors that are nominees for re-election to the Board of Directors attended at least 75% of the aggregate of the number of Board of Directors meetings held during the time he or she was serving as a director and meetings held by all committees on which he or she then served. During fiscal 2020, our Non-Employee Directors held four meetings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Communicating with the Independent Directors</w:t>
      </w:r>
    </w:p>
    <w:p>
      <w:pPr>
        <w:spacing w:after="0" w:line="118" w:lineRule="exact"/>
        <w:rPr>
          <w:sz w:val="20"/>
          <w:szCs w:val="20"/>
          <w:color w:val="auto"/>
        </w:rPr>
      </w:pPr>
    </w:p>
    <w:p>
      <w:pPr>
        <w:ind w:right="20" w:firstLine="661"/>
        <w:spacing w:after="0" w:line="257" w:lineRule="auto"/>
        <w:rPr>
          <w:sz w:val="20"/>
          <w:szCs w:val="20"/>
          <w:color w:val="auto"/>
        </w:rPr>
      </w:pPr>
      <w:r>
        <w:rPr>
          <w:rFonts w:ascii="Times New Roman" w:cs="Times New Roman" w:eastAsia="Times New Roman" w:hAnsi="Times New Roman"/>
          <w:sz w:val="23"/>
          <w:szCs w:val="23"/>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63" w:lineRule="exact"/>
        <w:rPr>
          <w:sz w:val="20"/>
          <w:szCs w:val="20"/>
          <w:color w:val="auto"/>
        </w:rPr>
      </w:pPr>
    </w:p>
    <w:p>
      <w:pPr>
        <w:ind w:right="100" w:firstLine="661"/>
        <w:spacing w:after="0" w:line="254" w:lineRule="auto"/>
        <w:rPr>
          <w:sz w:val="20"/>
          <w:szCs w:val="20"/>
          <w:color w:val="auto"/>
        </w:rPr>
      </w:pPr>
      <w:r>
        <w:rPr>
          <w:rFonts w:ascii="Times New Roman" w:cs="Times New Roman" w:eastAsia="Times New Roman" w:hAnsi="Times New Roman"/>
          <w:sz w:val="23"/>
          <w:szCs w:val="23"/>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66" w:lineRule="exact"/>
        <w:rPr>
          <w:sz w:val="20"/>
          <w:szCs w:val="20"/>
          <w:color w:val="auto"/>
        </w:rPr>
      </w:pPr>
    </w:p>
    <w:p>
      <w:pPr>
        <w:jc w:val="both"/>
        <w:ind w:right="140" w:firstLine="661"/>
        <w:spacing w:after="0" w:line="263" w:lineRule="auto"/>
        <w:rPr>
          <w:sz w:val="20"/>
          <w:szCs w:val="20"/>
          <w:color w:val="auto"/>
        </w:rPr>
      </w:pPr>
      <w:r>
        <w:rPr>
          <w:rFonts w:ascii="Times New Roman" w:cs="Times New Roman" w:eastAsia="Times New Roman" w:hAnsi="Times New Roman"/>
          <w:sz w:val="23"/>
          <w:szCs w:val="23"/>
          <w:color w:val="auto"/>
        </w:rPr>
        <w:t>Shareholders who wish to send communications on any topic to the Board of Directors or to our independent or presiding directors should address such communications c/o Corporate Secretary, Amdocs Inc., 1390 Timberlake Manor Parkway, Chesterfield, Missouri 63017.</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Significant Corporate Governance Differences</w:t>
      </w:r>
    </w:p>
    <w:p>
      <w:pPr>
        <w:spacing w:after="0" w:line="118" w:lineRule="exact"/>
        <w:rPr>
          <w:sz w:val="20"/>
          <w:szCs w:val="20"/>
          <w:color w:val="auto"/>
        </w:rPr>
      </w:pPr>
    </w:p>
    <w:p>
      <w:pPr>
        <w:ind w:right="280" w:firstLine="661"/>
        <w:spacing w:after="0" w:line="281" w:lineRule="auto"/>
        <w:rPr>
          <w:sz w:val="20"/>
          <w:szCs w:val="20"/>
          <w:color w:val="auto"/>
        </w:rPr>
      </w:pPr>
      <w:r>
        <w:rPr>
          <w:rFonts w:ascii="Times New Roman" w:cs="Times New Roman" w:eastAsia="Times New Roman" w:hAnsi="Times New Roman"/>
          <w:sz w:val="23"/>
          <w:szCs w:val="23"/>
          <w:color w:val="auto"/>
        </w:rPr>
        <w:t>We believe there are no significant ways that our corporate governance practices differ from those followed by U.S. domestic issuers under the Nasdaq listing standards.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Director Qualification Standards</w:t>
      </w:r>
    </w:p>
    <w:p>
      <w:pPr>
        <w:spacing w:after="0" w:line="118" w:lineRule="exact"/>
        <w:rPr>
          <w:sz w:val="20"/>
          <w:szCs w:val="20"/>
          <w:color w:val="auto"/>
        </w:rPr>
      </w:pPr>
    </w:p>
    <w:p>
      <w:pPr>
        <w:ind w:firstLine="661"/>
        <w:spacing w:after="0" w:line="251" w:lineRule="auto"/>
        <w:rPr>
          <w:sz w:val="20"/>
          <w:szCs w:val="20"/>
          <w:color w:val="auto"/>
        </w:rPr>
      </w:pPr>
      <w:r>
        <w:rPr>
          <w:rFonts w:ascii="Times New Roman" w:cs="Times New Roman" w:eastAsia="Times New Roman" w:hAnsi="Times New Roman"/>
          <w:sz w:val="23"/>
          <w:szCs w:val="23"/>
          <w:color w:val="auto"/>
        </w:rPr>
        <w:t>Our Board of Directors has adopted a formal set of categorical independence standards with respect to the determination of director independence. In accordance with these standards and Nasdaq rules, a director currently employed by us, or employed by us within the last three years, cannot be deemed to be an independent director and, consequently, Mr. Gelman and Mr. Sheffer are not independent directors. Our Board of Directors has determined that each of the following nominees for director has no material relationship with us that would interfere with the exercise of independent judgment in carrying out the responsibilities of a director and is independent under such standards and rules: Messrs. Minicucci, Gardner, Kahan, de la Vega, LeFave and MacDonald and Dr. Yaron and Ms. Kanouff.</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rPr>
        <w:t>The full text of our categorical standards is attached to this Proxy Statement as Appendix A.</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Code of Ethics and Business Conduct</w:t>
      </w:r>
    </w:p>
    <w:p>
      <w:pPr>
        <w:spacing w:after="0" w:line="118" w:lineRule="exact"/>
        <w:rPr>
          <w:sz w:val="20"/>
          <w:szCs w:val="20"/>
          <w:color w:val="auto"/>
        </w:rPr>
      </w:pPr>
    </w:p>
    <w:p>
      <w:pPr>
        <w:ind w:right="40" w:firstLine="661"/>
        <w:spacing w:after="0" w:line="252" w:lineRule="auto"/>
        <w:rPr>
          <w:sz w:val="20"/>
          <w:szCs w:val="20"/>
          <w:color w:val="auto"/>
        </w:rPr>
      </w:pPr>
      <w:r>
        <w:rPr>
          <w:rFonts w:ascii="Times New Roman" w:cs="Times New Roman" w:eastAsia="Times New Roman" w:hAnsi="Times New Roman"/>
          <w:sz w:val="23"/>
          <w:szCs w:val="23"/>
          <w:color w:val="auto"/>
        </w:rPr>
        <w:t>Our Board of Directors has adopted a Code of Ethics and Business Conduct that sets forth legal and ethical standards of conduct for our directors and employees, including executive officers, our subsidiaries and other business entities controlled by us worldwide. The code is available on our website at www.amdocs.com and you may request a copy, at no cost, by writing to us at the address listed below under the heading “Annual Report on Form 20-F.” We intend to post on our website all disclosures that are required by law or Nasdaq rules concerning any amendments to, or waivers from, any provision of the code.</w:t>
      </w:r>
    </w:p>
    <w:p>
      <w:pPr>
        <w:sectPr>
          <w:pgSz w:w="11900" w:h="16838" w:orient="portrait"/>
          <w:cols w:equalWidth="0" w:num="1">
            <w:col w:w="11000"/>
          </w:cols>
          <w:pgMar w:left="440" w:top="252" w:right="459" w:bottom="700" w:gutter="0" w:footer="0" w:header="0"/>
        </w:sectPr>
      </w:pP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9</w:t>
      </w:r>
    </w:p>
    <w:p>
      <w:pPr>
        <w:sectPr>
          <w:pgSz w:w="11900" w:h="16838" w:orient="portrait"/>
          <w:cols w:equalWidth="0" w:num="1">
            <w:col w:w="11000"/>
          </w:cols>
          <w:pgMar w:left="440" w:top="252" w:right="459" w:bottom="70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Risk Management Oversight</w:t>
      </w:r>
    </w:p>
    <w:p>
      <w:pPr>
        <w:spacing w:after="0" w:line="118" w:lineRule="exact"/>
        <w:rPr>
          <w:sz w:val="20"/>
          <w:szCs w:val="20"/>
          <w:color w:val="auto"/>
        </w:rPr>
      </w:pPr>
    </w:p>
    <w:p>
      <w:pPr>
        <w:ind w:right="80" w:firstLine="661"/>
        <w:spacing w:after="0" w:line="252" w:lineRule="auto"/>
        <w:rPr>
          <w:sz w:val="20"/>
          <w:szCs w:val="20"/>
          <w:color w:val="auto"/>
        </w:rPr>
      </w:pPr>
      <w:r>
        <w:rPr>
          <w:rFonts w:ascii="Times New Roman" w:cs="Times New Roman" w:eastAsia="Times New Roman" w:hAnsi="Times New Roman"/>
          <w:sz w:val="23"/>
          <w:szCs w:val="23"/>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 Company’s policies and processes with respect to enterprise risk management, discusses these efforts as they relate to operational and financial risks, and periodically reports and makes recommendations to our Board of Directors regarding these matters.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Compensation Policies and Practices</w:t>
      </w:r>
    </w:p>
    <w:p>
      <w:pPr>
        <w:spacing w:after="0" w:line="118" w:lineRule="exact"/>
        <w:rPr>
          <w:sz w:val="20"/>
          <w:szCs w:val="20"/>
          <w:color w:val="auto"/>
        </w:rPr>
      </w:pPr>
    </w:p>
    <w:p>
      <w:pPr>
        <w:ind w:right="260" w:firstLine="661"/>
        <w:spacing w:after="0" w:line="281" w:lineRule="auto"/>
        <w:rPr>
          <w:sz w:val="20"/>
          <w:szCs w:val="20"/>
          <w:color w:val="auto"/>
        </w:rPr>
      </w:pPr>
      <w:r>
        <w:rPr>
          <w:rFonts w:ascii="Times New Roman" w:cs="Times New Roman" w:eastAsia="Times New Roman" w:hAnsi="Times New Roman"/>
          <w:sz w:val="23"/>
          <w:szCs w:val="23"/>
          <w:color w:val="auto"/>
        </w:rPr>
        <w:t>We structure our compensation to consist of both fixed and variable elements, including salary, equity, cash bonuses and insurance benefits.</w:t>
      </w:r>
    </w:p>
    <w:p>
      <w:pPr>
        <w:spacing w:after="0" w:line="137" w:lineRule="exact"/>
        <w:rPr>
          <w:sz w:val="20"/>
          <w:szCs w:val="20"/>
          <w:color w:val="auto"/>
        </w:rPr>
      </w:pPr>
    </w:p>
    <w:p>
      <w:pPr>
        <w:ind w:right="100" w:firstLine="661"/>
        <w:spacing w:after="0" w:line="248" w:lineRule="auto"/>
        <w:rPr>
          <w:sz w:val="20"/>
          <w:szCs w:val="20"/>
          <w:color w:val="auto"/>
        </w:rPr>
      </w:pPr>
      <w:r>
        <w:rPr>
          <w:rFonts w:ascii="Times New Roman" w:cs="Times New Roman" w:eastAsia="Times New Roman" w:hAnsi="Times New Roman"/>
          <w:sz w:val="23"/>
          <w:szCs w:val="23"/>
          <w:color w:val="auto"/>
        </w:rPr>
        <w:t>The fixed portions of compensation, such as salary, are designed to be market based and provide steady income regardless of our stock price performance. The variable portions of compensation, such as equity incentives and performance bonuses, are designed to reward the accomplishment of both short- and long-term corporate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 and rank, our compensation philosophy is applicable to all employees, including our executives. We believe this 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Compensation of Directors</w:t>
      </w:r>
    </w:p>
    <w:p>
      <w:pPr>
        <w:spacing w:after="0" w:line="118" w:lineRule="exact"/>
        <w:rPr>
          <w:sz w:val="20"/>
          <w:szCs w:val="20"/>
          <w:color w:val="auto"/>
        </w:rPr>
      </w:pPr>
    </w:p>
    <w:p>
      <w:pPr>
        <w:ind w:firstLine="661"/>
        <w:spacing w:after="0" w:line="247" w:lineRule="auto"/>
        <w:rPr>
          <w:sz w:val="20"/>
          <w:szCs w:val="20"/>
          <w:color w:val="auto"/>
        </w:rPr>
      </w:pPr>
      <w:r>
        <w:rPr>
          <w:rFonts w:ascii="Times New Roman" w:cs="Times New Roman" w:eastAsia="Times New Roman" w:hAnsi="Times New Roman"/>
          <w:sz w:val="23"/>
          <w:szCs w:val="23"/>
          <w:color w:val="auto"/>
        </w:rPr>
        <w:t>Commencing in fiscal 2021, each of our Non-Employee Directors receives an annual cash payment of $80,000. Each member of our Audit Committee who is a Non-Employee Director and who is not the chairman of such committee receives an annual cash payment of $30,000. Each member of our Management Resources and Compensation Committee who is a Non-Employee Director and who is not a committee chairman receives an annual cash payment of $20,000. Each member of our Nominating and Corporate Governance and Technology and Innovation Committees who is a Non-Employee Director and who is not a committee chairman receives an annual cash payment of $15,000. The Chairman of our Audit Committee receives an annual cash payment of $42,500 and the Chairman of our Management Resources and Compensation Committee receives an annual cash payment of $32,500. The Chairmen of our Nominating and Corporate Governance and Technology and Innovation Committees each receive an annual cash payment of $27,500. Each Non-Employee Director receives an annual grant of ordinary shares at a total value of $255,000. The Chairman of the Board of Directors receives an additional annual amount equal to $200,000 awarded in the form of ordinary shares. All ordinary share awards to our Non-Employee Directors vest in four equal installments of 25% each on the first day of the month following the end of each fiscal quarter, if and only if the Non-Employee Director is still serving as a non-employee director on such day. The price per share for the purpose of determining the value of the grants to our Non-Employee Directors is the Nasdaq closing price of our shares on the last trading day preceding the grant date. We reimburse all of our Non-Employee Directors for their reasonable travel expenses incurred in connection with attending Board or committee meetings and for other reasonable expenses incurred while executing their responsibilities as directors. Cash and equity compensation paid to our Non-Employee Directors may be prorated for partial year service.</w:t>
      </w:r>
    </w:p>
    <w:p>
      <w:pPr>
        <w:spacing w:after="0" w:line="174" w:lineRule="exact"/>
        <w:rPr>
          <w:sz w:val="20"/>
          <w:szCs w:val="20"/>
          <w:color w:val="auto"/>
        </w:rPr>
      </w:pPr>
    </w:p>
    <w:p>
      <w:pPr>
        <w:ind w:right="260" w:firstLine="661"/>
        <w:spacing w:after="0" w:line="263" w:lineRule="auto"/>
        <w:rPr>
          <w:sz w:val="20"/>
          <w:szCs w:val="20"/>
          <w:color w:val="auto"/>
        </w:rPr>
      </w:pPr>
      <w:r>
        <w:rPr>
          <w:rFonts w:ascii="Times New Roman" w:cs="Times New Roman" w:eastAsia="Times New Roman" w:hAnsi="Times New Roman"/>
          <w:sz w:val="23"/>
          <w:szCs w:val="23"/>
          <w:color w:val="auto"/>
        </w:rPr>
        <w:t>During the 2020 fiscal year, we granted to the 12 Non-Employee Directors that served in at least part of the 2020 fiscal year an aggregate of 42,342 shares at a weighted average price of $68.96 per share, which vested quarterly.</w:t>
      </w:r>
    </w:p>
    <w:p>
      <w:pPr>
        <w:sectPr>
          <w:pgSz w:w="11900" w:h="16838" w:orient="portrait"/>
          <w:cols w:equalWidth="0" w:num="1">
            <w:col w:w="10960"/>
          </w:cols>
          <w:pgMar w:left="440" w:top="252" w:right="499" w:bottom="1440" w:gutter="0" w:footer="0" w:header="0"/>
        </w:sectPr>
      </w:pP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color w:val="auto"/>
        </w:rPr>
        <w:t>10</w:t>
      </w:r>
    </w:p>
    <w:p>
      <w:pPr>
        <w:sectPr>
          <w:pgSz w:w="11900" w:h="16838" w:orient="portrait"/>
          <w:cols w:equalWidth="0" w:num="1">
            <w:col w:w="10960"/>
          </w:cols>
          <w:pgMar w:left="440" w:top="252" w:right="4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Resolution</w:t>
      </w:r>
    </w:p>
    <w:p>
      <w:pPr>
        <w:spacing w:after="0" w:line="118" w:lineRule="exact"/>
        <w:rPr>
          <w:sz w:val="20"/>
          <w:szCs w:val="20"/>
          <w:color w:val="auto"/>
        </w:rPr>
      </w:pPr>
    </w:p>
    <w:p>
      <w:pPr>
        <w:ind w:right="100" w:firstLine="661"/>
        <w:spacing w:after="0" w:line="263" w:lineRule="auto"/>
        <w:rPr>
          <w:sz w:val="20"/>
          <w:szCs w:val="20"/>
          <w:color w:val="auto"/>
        </w:rPr>
      </w:pPr>
      <w:r>
        <w:rPr>
          <w:rFonts w:ascii="Times New Roman" w:cs="Times New Roman" w:eastAsia="Times New Roman" w:hAnsi="Times New Roman"/>
          <w:sz w:val="23"/>
          <w:szCs w:val="23"/>
          <w:color w:val="auto"/>
        </w:rPr>
        <w:t>It is proposed that each of the following 10 individuals be elected to serve as a director of Amdocs Limited until the next annual general meeting of shareholders or until his or her earlier resignation or removal or until his or her respective successor is elected and qualified: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Robert A. Minicucci</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Adrian Gardner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James S. Kahan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Rafael de la Vega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Giora Yaron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Eli Gelman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Richard T.C. LeFave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John A. MacDonald Shuky Sheffer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Yvette Kanouff</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Required Affirmative Vote</w:t>
      </w:r>
    </w:p>
    <w:p>
      <w:pPr>
        <w:spacing w:after="0" w:line="118" w:lineRule="exact"/>
        <w:rPr>
          <w:sz w:val="20"/>
          <w:szCs w:val="20"/>
          <w:color w:val="auto"/>
        </w:rPr>
      </w:pPr>
    </w:p>
    <w:p>
      <w:pPr>
        <w:ind w:right="160" w:firstLine="661"/>
        <w:spacing w:after="0" w:line="281" w:lineRule="auto"/>
        <w:rPr>
          <w:sz w:val="20"/>
          <w:szCs w:val="20"/>
          <w:color w:val="auto"/>
        </w:rPr>
      </w:pPr>
      <w:r>
        <w:rPr>
          <w:rFonts w:ascii="Times New Roman" w:cs="Times New Roman" w:eastAsia="Times New Roman" w:hAnsi="Times New Roman"/>
          <w:sz w:val="23"/>
          <w:szCs w:val="23"/>
          <w:color w:val="auto"/>
        </w:rPr>
        <w:t>The affirmative vote of holders of a majority of our ordinary shares represented in person or by proxy at the General Meeting is necessary for the election of each director nominee named above.</w:t>
      </w:r>
    </w:p>
    <w:p>
      <w:pPr>
        <w:spacing w:after="0" w:line="13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3"/>
          <w:szCs w:val="23"/>
          <w:b w:val="1"/>
          <w:bCs w:val="1"/>
          <w:color w:val="auto"/>
        </w:rPr>
        <w:t>THE BOARD OF DIRECTORS RECOMMENDS THAT THE SHAREHOLDERS VOTE “FOR” EACH OF THE DIRECTOR NOMINEES NAMED ABOVE.</w:t>
      </w:r>
    </w:p>
    <w:p>
      <w:pPr>
        <w:spacing w:after="0" w:line="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3"/>
          <w:szCs w:val="23"/>
          <w:color w:val="auto"/>
        </w:rPr>
        <w:t>11</w:t>
      </w:r>
    </w:p>
    <w:p>
      <w:pPr>
        <w:sectPr>
          <w:pgSz w:w="11900" w:h="16838" w:orient="portrait"/>
          <w:cols w:equalWidth="0" w:num="1">
            <w:col w:w="10900"/>
          </w:cols>
          <w:pgMar w:left="440" w:top="252" w:right="559" w:bottom="1440" w:gutter="0" w:footer="0" w:header="0"/>
        </w:sectPr>
      </w:pPr>
    </w:p>
    <w:bookmarkStart w:id="18" w:name="page19"/>
    <w:bookmarkEnd w:id="18"/>
    <w:p>
      <w:pPr>
        <w:jc w:val="center"/>
        <w:ind w:right="-3"/>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SECURITY OWNERSHIP OF CERTAIN</w:t>
      </w:r>
    </w:p>
    <w:p>
      <w:pPr>
        <w:spacing w:after="0" w:line="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3"/>
          <w:szCs w:val="23"/>
          <w:b w:val="1"/>
          <w:bCs w:val="1"/>
          <w:color w:val="auto"/>
        </w:rPr>
        <w:t>BENEFICIAL OWNERS AND MANAGEMENT</w:t>
      </w:r>
    </w:p>
    <w:p>
      <w:pPr>
        <w:spacing w:after="0" w:line="196" w:lineRule="exact"/>
        <w:rPr>
          <w:sz w:val="20"/>
          <w:szCs w:val="20"/>
          <w:color w:val="auto"/>
        </w:rPr>
      </w:pPr>
    </w:p>
    <w:p>
      <w:pPr>
        <w:ind w:left="4" w:firstLine="661"/>
        <w:spacing w:after="0" w:line="249" w:lineRule="auto"/>
        <w:rPr>
          <w:sz w:val="20"/>
          <w:szCs w:val="20"/>
          <w:color w:val="auto"/>
        </w:rPr>
      </w:pPr>
      <w:r>
        <w:rPr>
          <w:rFonts w:ascii="Times New Roman" w:cs="Times New Roman" w:eastAsia="Times New Roman" w:hAnsi="Times New Roman"/>
          <w:sz w:val="23"/>
          <w:szCs w:val="23"/>
          <w:color w:val="auto"/>
        </w:rPr>
        <w:t>The following table sets forth specified information with respect to the beneficial ownership of the ordinary shares as of December 3, 2020 of (i) any person known by us to be the beneficial owner of more than 5% of our ordinary shares, and (ii) all of our directors and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131,110,182 ordinary shares outstanding as of December 3, 2020, net of shares held in treasury. Information concerning shareholders other than our directors and officers is based on periodic public filings made by such shareholders and may not necessarily be accurate as of December 3, 2020. None of our major shareholders have voting rights that are different from those of any other shareholder.</w:t>
      </w:r>
    </w:p>
    <w:p>
      <w:pPr>
        <w:spacing w:after="0" w:line="208" w:lineRule="exact"/>
        <w:rPr>
          <w:sz w:val="20"/>
          <w:szCs w:val="20"/>
          <w:color w:val="auto"/>
        </w:rPr>
      </w:pPr>
    </w:p>
    <w:tbl>
      <w:tblPr>
        <w:tblLayout w:type="fixed"/>
        <w:tblInd w:w="1324"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color w:val="auto"/>
                <w:w w:val="97"/>
              </w:rPr>
              <w:t>Shares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6"/>
              </w:rPr>
              <w:t>Name</w:t>
            </w:r>
          </w:p>
        </w:tc>
        <w:tc>
          <w:tcPr>
            <w:tcW w:w="5120" w:type="dxa"/>
            <w:vAlign w:val="bottom"/>
            <w:vMerge w:val="restart"/>
          </w:tcPr>
          <w:p>
            <w:pPr>
              <w:spacing w:after="0"/>
              <w:rPr>
                <w:sz w:val="19"/>
                <w:szCs w:val="19"/>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color w:val="auto"/>
                <w:w w:val="98"/>
              </w:rPr>
              <w:t>Beneficially</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5"/>
              </w:rPr>
              <w:t>Percentage</w:t>
            </w:r>
          </w:p>
        </w:tc>
        <w:tc>
          <w:tcPr>
            <w:tcW w:w="0" w:type="dxa"/>
            <w:vAlign w:val="bottom"/>
          </w:tcPr>
          <w:p>
            <w:pPr>
              <w:spacing w:after="0"/>
              <w:rPr>
                <w:sz w:val="1"/>
                <w:szCs w:val="1"/>
                <w:color w:val="auto"/>
              </w:rPr>
            </w:pPr>
          </w:p>
        </w:tc>
      </w:tr>
      <w:tr>
        <w:trPr>
          <w:trHeight w:val="244"/>
        </w:trPr>
        <w:tc>
          <w:tcPr>
            <w:tcW w:w="480" w:type="dxa"/>
            <w:vAlign w:val="bottom"/>
            <w:tcBorders>
              <w:bottom w:val="single" w:sz="8" w:color="auto"/>
            </w:tcBorders>
            <w:vMerge w:val="continue"/>
          </w:tcPr>
          <w:p>
            <w:pPr>
              <w:spacing w:after="0"/>
              <w:rPr>
                <w:sz w:val="20"/>
                <w:szCs w:val="20"/>
                <w:color w:val="auto"/>
              </w:rPr>
            </w:pPr>
          </w:p>
        </w:tc>
        <w:tc>
          <w:tcPr>
            <w:tcW w:w="5120" w:type="dxa"/>
            <w:vAlign w:val="bottom"/>
            <w:vMerge w:val="continue"/>
          </w:tcPr>
          <w:p>
            <w:pPr>
              <w:spacing w:after="0"/>
              <w:rPr>
                <w:sz w:val="20"/>
                <w:szCs w:val="20"/>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color w:val="auto"/>
                <w:w w:val="96"/>
              </w:rPr>
              <w:t>Owned</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5"/>
              </w:rPr>
              <w:t>Ownership</w:t>
            </w:r>
          </w:p>
        </w:tc>
        <w:tc>
          <w:tcPr>
            <w:tcW w:w="0" w:type="dxa"/>
            <w:vAlign w:val="bottom"/>
          </w:tcPr>
          <w:p>
            <w:pPr>
              <w:spacing w:after="0"/>
              <w:rPr>
                <w:sz w:val="1"/>
                <w:szCs w:val="1"/>
                <w:color w:val="auto"/>
              </w:rPr>
            </w:pPr>
          </w:p>
        </w:tc>
      </w:tr>
      <w:tr>
        <w:trPr>
          <w:trHeight w:val="20"/>
        </w:trPr>
        <w:tc>
          <w:tcPr>
            <w:tcW w:w="5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23"/>
                <w:szCs w:val="23"/>
                <w:color w:val="auto"/>
              </w:rPr>
              <w:t>FMR LLC(1)</w:t>
            </w:r>
          </w:p>
        </w:tc>
        <w:tc>
          <w:tcPr>
            <w:tcW w:w="11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00" w:type="dxa"/>
            <w:vAlign w:val="bottom"/>
            <w:gridSpan w:val="2"/>
            <w:vMerge w:val="continue"/>
            <w:shd w:val="clear" w:color="auto" w:fill="CCEEFF"/>
          </w:tcPr>
          <w:p>
            <w:pPr>
              <w:spacing w:after="0"/>
              <w:rPr>
                <w:sz w:val="22"/>
                <w:szCs w:val="22"/>
                <w:color w:val="auto"/>
              </w:rPr>
            </w:pPr>
          </w:p>
        </w:tc>
        <w:tc>
          <w:tcPr>
            <w:tcW w:w="1120" w:type="dxa"/>
            <w:vAlign w:val="bottom"/>
            <w:shd w:val="clear" w:color="auto" w:fill="CCEEFF"/>
          </w:tcPr>
          <w:p>
            <w:pPr>
              <w:jc w:val="right"/>
              <w:spacing w:after="0" w:line="257" w:lineRule="exact"/>
              <w:rPr>
                <w:sz w:val="20"/>
                <w:szCs w:val="20"/>
                <w:color w:val="auto"/>
              </w:rPr>
            </w:pPr>
            <w:r>
              <w:rPr>
                <w:rFonts w:ascii="Times New Roman" w:cs="Times New Roman" w:eastAsia="Times New Roman" w:hAnsi="Times New Roman"/>
                <w:sz w:val="23"/>
                <w:szCs w:val="23"/>
                <w:color w:val="auto"/>
              </w:rPr>
              <w:t>15,971,485</w:t>
            </w:r>
          </w:p>
        </w:tc>
        <w:tc>
          <w:tcPr>
            <w:tcW w:w="520" w:type="dxa"/>
            <w:vAlign w:val="bottom"/>
            <w:vMerge w:val="continue"/>
            <w:shd w:val="clear" w:color="auto" w:fill="CCEEFF"/>
          </w:tcPr>
          <w:p>
            <w:pPr>
              <w:spacing w:after="0"/>
              <w:rPr>
                <w:sz w:val="22"/>
                <w:szCs w:val="22"/>
                <w:color w:val="auto"/>
              </w:rPr>
            </w:pPr>
          </w:p>
        </w:tc>
        <w:tc>
          <w:tcPr>
            <w:tcW w:w="1120" w:type="dxa"/>
            <w:vAlign w:val="bottom"/>
            <w:gridSpan w:val="2"/>
            <w:shd w:val="clear" w:color="auto" w:fill="CCEEFF"/>
          </w:tcPr>
          <w:p>
            <w:pPr>
              <w:jc w:val="right"/>
              <w:ind w:right="60"/>
              <w:spacing w:after="0" w:line="257" w:lineRule="exact"/>
              <w:rPr>
                <w:sz w:val="20"/>
                <w:szCs w:val="20"/>
                <w:color w:val="auto"/>
              </w:rPr>
            </w:pPr>
            <w:r>
              <w:rPr>
                <w:rFonts w:ascii="Times New Roman" w:cs="Times New Roman" w:eastAsia="Times New Roman" w:hAnsi="Times New Roman"/>
                <w:sz w:val="23"/>
                <w:szCs w:val="23"/>
                <w:color w:val="auto"/>
              </w:rPr>
              <w:t>12.2%</w:t>
            </w:r>
          </w:p>
        </w:tc>
        <w:tc>
          <w:tcPr>
            <w:tcW w:w="0" w:type="dxa"/>
            <w:vAlign w:val="bottom"/>
          </w:tcPr>
          <w:p>
            <w:pPr>
              <w:spacing w:after="0"/>
              <w:rPr>
                <w:sz w:val="1"/>
                <w:szCs w:val="1"/>
                <w:color w:val="auto"/>
              </w:rPr>
            </w:pP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Janus Henderson Group plc(2)</w:t>
            </w: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23"/>
                <w:szCs w:val="23"/>
                <w:color w:val="auto"/>
              </w:rPr>
              <w:t>7,541,445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3"/>
                <w:szCs w:val="23"/>
                <w:color w:val="auto"/>
              </w:rPr>
              <w:t>5.8%</w:t>
            </w:r>
          </w:p>
        </w:tc>
        <w:tc>
          <w:tcPr>
            <w:tcW w:w="0" w:type="dxa"/>
            <w:vAlign w:val="bottom"/>
          </w:tcPr>
          <w:p>
            <w:pPr>
              <w:spacing w:after="0"/>
              <w:rPr>
                <w:sz w:val="1"/>
                <w:szCs w:val="1"/>
                <w:color w:val="auto"/>
              </w:rPr>
            </w:pPr>
          </w:p>
        </w:tc>
      </w:tr>
      <w:tr>
        <w:trPr>
          <w:trHeight w:val="270"/>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3"/>
                <w:szCs w:val="23"/>
                <w:color w:val="auto"/>
              </w:rPr>
              <w:t>All directors and officers as a group (13 persons)(3)</w:t>
            </w:r>
          </w:p>
        </w:tc>
        <w:tc>
          <w:tcPr>
            <w:tcW w:w="16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23"/>
                <w:szCs w:val="23"/>
                <w:color w:val="auto"/>
              </w:rPr>
              <w:t>2,074,527</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3"/>
                <w:szCs w:val="23"/>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644" w:right="120" w:hanging="644"/>
        <w:spacing w:after="0" w:line="252" w:lineRule="auto"/>
        <w:tabs>
          <w:tab w:leader="none" w:pos="644" w:val="left"/>
        </w:tabs>
        <w:numPr>
          <w:ilvl w:val="0"/>
          <w:numId w:val="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Based on a Schedule 13G/A filed by FMR LLC, or FMR, with the SEC on February 7, 2020, as of December 31, 2019, FMR had sole power to vote or direct the vote over 1,565,866 shares and sole power to dispose or direct the disposition of 15,971,485 shares. Abigail P. Johnson is a Director, the Chairman of FMR and the Chief Executive Officer of FMR. Members of the Johnson family, including Abigail P. Johnson, directly or through trusts, own approximately 49% of the voting power of FMR. The address of FMR is 245 Summer Street, Boston, Massachusetts 02210.</w:t>
      </w:r>
    </w:p>
    <w:p>
      <w:pPr>
        <w:spacing w:after="0" w:line="21" w:lineRule="exact"/>
        <w:rPr>
          <w:rFonts w:ascii="Times New Roman" w:cs="Times New Roman" w:eastAsia="Times New Roman" w:hAnsi="Times New Roman"/>
          <w:sz w:val="23"/>
          <w:szCs w:val="23"/>
          <w:color w:val="auto"/>
        </w:rPr>
      </w:pPr>
    </w:p>
    <w:p>
      <w:pPr>
        <w:ind w:left="644" w:hanging="644"/>
        <w:spacing w:after="0" w:line="246" w:lineRule="auto"/>
        <w:tabs>
          <w:tab w:leader="none" w:pos="644" w:val="left"/>
        </w:tabs>
        <w:numPr>
          <w:ilvl w:val="0"/>
          <w:numId w:val="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Based on a Schedule 13G/A filed by Janus Henderson Group plc, or Janus Henderson, with the SEC on February 13, 2020, as of December 31, 2019, Janus had an indirect 97% ownership stake in Intech Investment Management LLC (“Intech”) and a 100% ownership stake in Janus Capital Management LLC (“Janus Capital”), Perkins Investment Management LLC (“Perkins”), Geneva Capital Management LLC (“Geneva”), Henderson Global Investors Limited (“HGIL”) and Janus Henderson Investors Australia Institutional Funds Management Limited (“HGIAIFML”)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Janus Capital may be deemed to be the beneficial owner of 7,482,025 shares or 5.6%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 As a result of its role as investment adviser or sub-adviser to the Managed Portfolios, Intech may be deemed to be the beneficial owner of 41,574 shares or 0.0%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 As a result of its role as investment adviser or sub-adviser to the Managed Portfolios, HGIL may be deemed to be the beneficial owner of 17,846 shares or 0.0% of the shares outstanding of Amdocs Common Stock held by such Managed Portfolios. However, JCIL does not have the right to receive any dividends from, or the proceeds from the sale of, the securities held in the Managed Portfolios and disclaims any ownership associated with such rights. The address of Janus Henderson is 201 Bishopsgate EC2M 3AE, United Kingdom.</w:t>
      </w:r>
    </w:p>
    <w:p>
      <w:pPr>
        <w:spacing w:after="0" w:line="312" w:lineRule="exact"/>
        <w:rPr>
          <w:rFonts w:ascii="Times New Roman" w:cs="Times New Roman" w:eastAsia="Times New Roman" w:hAnsi="Times New Roman"/>
          <w:sz w:val="23"/>
          <w:szCs w:val="23"/>
          <w:color w:val="auto"/>
        </w:rPr>
      </w:pPr>
    </w:p>
    <w:p>
      <w:pPr>
        <w:ind w:left="644" w:right="20" w:hanging="644"/>
        <w:spacing w:after="0" w:line="263" w:lineRule="auto"/>
        <w:tabs>
          <w:tab w:leader="none" w:pos="644" w:val="left"/>
        </w:tabs>
        <w:numPr>
          <w:ilvl w:val="0"/>
          <w:numId w:val="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Includes options held by such directors and executive officers that are exercisable within 60 days after December 3, 2020. As of such date, none of our directors or executive officers beneficially owned 1% or more of our outstanding ordinary shares.</w:t>
      </w:r>
    </w:p>
    <w:p>
      <w:pPr>
        <w:sectPr>
          <w:pgSz w:w="11900" w:h="16838" w:orient="portrait"/>
          <w:cols w:equalWidth="0" w:num="1">
            <w:col w:w="11004"/>
          </w:cols>
          <w:pgMar w:left="436" w:top="252" w:right="459" w:bottom="1159" w:gutter="0" w:footer="0" w:header="0"/>
        </w:sectPr>
      </w:pPr>
    </w:p>
    <w:p>
      <w:pPr>
        <w:spacing w:after="0" w:line="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3"/>
          <w:szCs w:val="23"/>
          <w:color w:val="auto"/>
        </w:rPr>
        <w:t>12</w:t>
      </w:r>
    </w:p>
    <w:p>
      <w:pPr>
        <w:sectPr>
          <w:pgSz w:w="11900" w:h="16838" w:orient="portrait"/>
          <w:cols w:equalWidth="0" w:num="1">
            <w:col w:w="11004"/>
          </w:cols>
          <w:pgMar w:left="436" w:top="252" w:right="459" w:bottom="1159"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AUDIT COMMITTEE MATTERS</w:t>
      </w:r>
    </w:p>
    <w:p>
      <w:pPr>
        <w:spacing w:after="0" w:line="118" w:lineRule="exact"/>
        <w:rPr>
          <w:sz w:val="20"/>
          <w:szCs w:val="20"/>
          <w:color w:val="auto"/>
        </w:rPr>
      </w:pPr>
    </w:p>
    <w:p>
      <w:pPr>
        <w:ind w:right="160" w:firstLine="661"/>
        <w:spacing w:after="0" w:line="252" w:lineRule="auto"/>
        <w:rPr>
          <w:sz w:val="20"/>
          <w:szCs w:val="20"/>
          <w:color w:val="auto"/>
        </w:rPr>
      </w:pPr>
      <w:r>
        <w:rPr>
          <w:rFonts w:ascii="Times New Roman" w:cs="Times New Roman" w:eastAsia="Times New Roman" w:hAnsi="Times New Roman"/>
          <w:sz w:val="23"/>
          <w:szCs w:val="23"/>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70" w:lineRule="exact"/>
        <w:rPr>
          <w:sz w:val="20"/>
          <w:szCs w:val="20"/>
          <w:color w:val="auto"/>
        </w:rPr>
      </w:pPr>
    </w:p>
    <w:p>
      <w:pPr>
        <w:ind w:right="240" w:firstLine="661"/>
        <w:spacing w:after="0" w:line="263" w:lineRule="auto"/>
        <w:rPr>
          <w:sz w:val="20"/>
          <w:szCs w:val="20"/>
          <w:color w:val="auto"/>
        </w:rPr>
      </w:pPr>
      <w:r>
        <w:rPr>
          <w:rFonts w:ascii="Times New Roman" w:cs="Times New Roman" w:eastAsia="Times New Roman" w:hAnsi="Times New Roman"/>
          <w:sz w:val="23"/>
          <w:szCs w:val="23"/>
          <w:color w:val="auto"/>
        </w:rPr>
        <w:t>The Audit Committee has reviewed our audited financial statements for the fiscal year ended September 30, 2020 and has discussed these financial statements with our management and independent registered public accounting firm.</w:t>
      </w:r>
    </w:p>
    <w:p>
      <w:pPr>
        <w:spacing w:after="0" w:line="157" w:lineRule="exact"/>
        <w:rPr>
          <w:sz w:val="20"/>
          <w:szCs w:val="20"/>
          <w:color w:val="auto"/>
        </w:rPr>
      </w:pPr>
    </w:p>
    <w:p>
      <w:pPr>
        <w:ind w:right="220" w:firstLine="661"/>
        <w:spacing w:after="0" w:line="257" w:lineRule="auto"/>
        <w:rPr>
          <w:sz w:val="20"/>
          <w:szCs w:val="20"/>
          <w:color w:val="auto"/>
        </w:rPr>
      </w:pPr>
      <w:r>
        <w:rPr>
          <w:rFonts w:ascii="Times New Roman" w:cs="Times New Roman" w:eastAsia="Times New Roman" w:hAnsi="Times New Roman"/>
          <w:sz w:val="23"/>
          <w:szCs w:val="23"/>
          <w:color w:val="auto"/>
        </w:rPr>
        <w:t>The Audit Committee has also discussed with our independent registered public accounting firm the matters required to be discussed by the Public Company Accounting Oversight Board (PCAOB) Auditing Standard No. 16 (Communications with Audit Committees) (AS 16), which requires our independent registered public accounting firm to discuss with our Audit Committee, among other things, the following:</w:t>
      </w:r>
    </w:p>
    <w:p>
      <w:pPr>
        <w:spacing w:after="0" w:line="15" w:lineRule="exact"/>
        <w:rPr>
          <w:sz w:val="20"/>
          <w:szCs w:val="20"/>
          <w:color w:val="auto"/>
        </w:rPr>
      </w:pPr>
    </w:p>
    <w:p>
      <w:pPr>
        <w:ind w:left="1200" w:hanging="435"/>
        <w:spacing w:after="0"/>
        <w:tabs>
          <w:tab w:leader="none" w:pos="1200" w:val="left"/>
        </w:tabs>
        <w:numPr>
          <w:ilvl w:val="0"/>
          <w:numId w:val="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methods to account for significant unusual transactions;</w:t>
      </w:r>
    </w:p>
    <w:p>
      <w:pPr>
        <w:spacing w:after="0" w:line="73" w:lineRule="exact"/>
        <w:rPr>
          <w:rFonts w:ascii="Times New Roman" w:cs="Times New Roman" w:eastAsia="Times New Roman" w:hAnsi="Times New Roman"/>
          <w:sz w:val="23"/>
          <w:szCs w:val="23"/>
          <w:color w:val="auto"/>
        </w:rPr>
      </w:pPr>
    </w:p>
    <w:p>
      <w:pPr>
        <w:ind w:left="1200" w:right="200" w:hanging="435"/>
        <w:spacing w:after="0" w:line="275" w:lineRule="auto"/>
        <w:tabs>
          <w:tab w:leader="none" w:pos="1200" w:val="left"/>
        </w:tabs>
        <w:numPr>
          <w:ilvl w:val="0"/>
          <w:numId w:val="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effect of significant accounting policies in controversial or emerging areas for which there is a lack of authoritative guidance or consensus;</w:t>
      </w:r>
    </w:p>
    <w:p>
      <w:pPr>
        <w:spacing w:after="0" w:line="1" w:lineRule="exact"/>
        <w:rPr>
          <w:rFonts w:ascii="Times New Roman" w:cs="Times New Roman" w:eastAsia="Times New Roman" w:hAnsi="Times New Roman"/>
          <w:sz w:val="23"/>
          <w:szCs w:val="23"/>
          <w:color w:val="auto"/>
        </w:rPr>
      </w:pPr>
    </w:p>
    <w:p>
      <w:pPr>
        <w:ind w:left="1200" w:right="20" w:hanging="435"/>
        <w:spacing w:after="0" w:line="275" w:lineRule="auto"/>
        <w:tabs>
          <w:tab w:leader="none" w:pos="1200" w:val="left"/>
        </w:tabs>
        <w:numPr>
          <w:ilvl w:val="0"/>
          <w:numId w:val="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process used by management in formulating particularly sensitive accounting estimates and the basis for the auditors’ conclusions regarding the reasonableness of those estimates; and</w:t>
      </w:r>
    </w:p>
    <w:p>
      <w:pPr>
        <w:spacing w:after="0" w:line="1" w:lineRule="exact"/>
        <w:rPr>
          <w:rFonts w:ascii="Times New Roman" w:cs="Times New Roman" w:eastAsia="Times New Roman" w:hAnsi="Times New Roman"/>
          <w:sz w:val="23"/>
          <w:szCs w:val="23"/>
          <w:color w:val="auto"/>
        </w:rPr>
      </w:pPr>
    </w:p>
    <w:p>
      <w:pPr>
        <w:ind w:left="1200" w:right="60" w:hanging="435"/>
        <w:spacing w:after="0" w:line="281" w:lineRule="auto"/>
        <w:tabs>
          <w:tab w:leader="none" w:pos="1200" w:val="left"/>
        </w:tabs>
        <w:numPr>
          <w:ilvl w:val="0"/>
          <w:numId w:val="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disagreements with management over matters that could be (individually or in the aggregate) significant to the Company’s financial statements or the auditor’s report.</w:t>
      </w:r>
    </w:p>
    <w:p>
      <w:pPr>
        <w:spacing w:after="0" w:line="137" w:lineRule="exact"/>
        <w:rPr>
          <w:sz w:val="20"/>
          <w:szCs w:val="20"/>
          <w:color w:val="auto"/>
        </w:rPr>
      </w:pPr>
    </w:p>
    <w:p>
      <w:pPr>
        <w:ind w:right="60" w:firstLine="661"/>
        <w:spacing w:after="0" w:line="252" w:lineRule="auto"/>
        <w:rPr>
          <w:sz w:val="20"/>
          <w:szCs w:val="20"/>
          <w:color w:val="auto"/>
        </w:rPr>
      </w:pPr>
      <w:r>
        <w:rPr>
          <w:rFonts w:ascii="Times New Roman" w:cs="Times New Roman" w:eastAsia="Times New Roman" w:hAnsi="Times New Roman"/>
          <w:sz w:val="23"/>
          <w:szCs w:val="23"/>
          <w:color w:val="auto"/>
        </w:rPr>
        <w:t>Our independent registered public accounting firm also provided the Audit Committee with the written disclosures and the letter required by PCAOB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70" w:lineRule="exact"/>
        <w:rPr>
          <w:sz w:val="20"/>
          <w:szCs w:val="20"/>
          <w:color w:val="auto"/>
        </w:rPr>
      </w:pPr>
    </w:p>
    <w:p>
      <w:pPr>
        <w:ind w:right="200" w:firstLine="661"/>
        <w:spacing w:after="0" w:line="257" w:lineRule="auto"/>
        <w:rPr>
          <w:sz w:val="20"/>
          <w:szCs w:val="20"/>
          <w:color w:val="auto"/>
        </w:rPr>
      </w:pPr>
      <w:r>
        <w:rPr>
          <w:rFonts w:ascii="Times New Roman" w:cs="Times New Roman" w:eastAsia="Times New Roman" w:hAnsi="Times New Roman"/>
          <w:sz w:val="23"/>
          <w:szCs w:val="23"/>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2020.</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Pre-Approval Policies and Procedures</w:t>
      </w:r>
    </w:p>
    <w:p>
      <w:pPr>
        <w:spacing w:after="0" w:line="118" w:lineRule="exact"/>
        <w:rPr>
          <w:sz w:val="20"/>
          <w:szCs w:val="20"/>
          <w:color w:val="auto"/>
        </w:rPr>
      </w:pPr>
    </w:p>
    <w:p>
      <w:pPr>
        <w:ind w:right="120" w:firstLine="661"/>
        <w:spacing w:after="0" w:line="254" w:lineRule="auto"/>
        <w:rPr>
          <w:sz w:val="20"/>
          <w:szCs w:val="20"/>
          <w:color w:val="auto"/>
        </w:rPr>
      </w:pPr>
      <w:r>
        <w:rPr>
          <w:rFonts w:ascii="Times New Roman" w:cs="Times New Roman" w:eastAsia="Times New Roman" w:hAnsi="Times New Roman"/>
          <w:sz w:val="23"/>
          <w:szCs w:val="23"/>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66" w:lineRule="exact"/>
        <w:rPr>
          <w:sz w:val="20"/>
          <w:szCs w:val="20"/>
          <w:color w:val="auto"/>
        </w:rPr>
      </w:pPr>
    </w:p>
    <w:p>
      <w:pPr>
        <w:ind w:firstLine="661"/>
        <w:spacing w:after="0" w:line="255" w:lineRule="auto"/>
        <w:rPr>
          <w:sz w:val="20"/>
          <w:szCs w:val="20"/>
          <w:color w:val="auto"/>
        </w:rPr>
      </w:pPr>
      <w:r>
        <w:rPr>
          <w:rFonts w:ascii="Times New Roman" w:cs="Times New Roman" w:eastAsia="Times New Roman" w:hAnsi="Times New Roman"/>
          <w:sz w:val="23"/>
          <w:szCs w:val="23"/>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2020, our Audit Committee approved all of the services provided by Ernst &amp; Young.</w:t>
      </w:r>
    </w:p>
    <w:p>
      <w:pPr>
        <w:sectPr>
          <w:pgSz w:w="11900" w:h="16838" w:orient="portrait"/>
          <w:cols w:equalWidth="0" w:num="1">
            <w:col w:w="11000"/>
          </w:cols>
          <w:pgMar w:left="440" w:top="252" w:right="45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13</w:t>
      </w:r>
    </w:p>
    <w:p>
      <w:pPr>
        <w:sectPr>
          <w:pgSz w:w="11900" w:h="16838" w:orient="portrait"/>
          <w:cols w:equalWidth="0" w:num="1">
            <w:col w:w="11000"/>
          </w:cols>
          <w:pgMar w:left="440" w:top="252" w:right="45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II</w:t>
      </w:r>
    </w:p>
    <w:p>
      <w:pPr>
        <w:spacing w:after="0" w:line="222" w:lineRule="exact"/>
        <w:rPr>
          <w:sz w:val="20"/>
          <w:szCs w:val="20"/>
          <w:color w:val="auto"/>
        </w:rPr>
      </w:pPr>
    </w:p>
    <w:p>
      <w:pPr>
        <w:ind w:right="900" w:firstLine="913"/>
        <w:spacing w:after="0" w:line="344" w:lineRule="auto"/>
        <w:rPr>
          <w:sz w:val="20"/>
          <w:szCs w:val="20"/>
          <w:color w:val="auto"/>
        </w:rPr>
      </w:pPr>
      <w:r>
        <w:rPr>
          <w:rFonts w:ascii="Times New Roman" w:cs="Times New Roman" w:eastAsia="Times New Roman" w:hAnsi="Times New Roman"/>
          <w:sz w:val="23"/>
          <w:szCs w:val="23"/>
          <w:b w:val="1"/>
          <w:bCs w:val="1"/>
          <w:color w:val="auto"/>
        </w:rPr>
        <w:t>SHAREHOLDER APPROVAL OF INCREASE OF THE QUARTERLY DIVIDEND RATE Background</w:t>
      </w:r>
    </w:p>
    <w:p>
      <w:pPr>
        <w:spacing w:after="0" w:line="2" w:lineRule="exact"/>
        <w:rPr>
          <w:sz w:val="20"/>
          <w:szCs w:val="20"/>
          <w:color w:val="auto"/>
        </w:rPr>
      </w:pPr>
    </w:p>
    <w:p>
      <w:pPr>
        <w:ind w:right="960" w:firstLine="661"/>
        <w:spacing w:after="0" w:line="281" w:lineRule="auto"/>
        <w:rPr>
          <w:sz w:val="20"/>
          <w:szCs w:val="20"/>
          <w:color w:val="auto"/>
        </w:rPr>
      </w:pPr>
      <w:r>
        <w:rPr>
          <w:rFonts w:ascii="Times New Roman" w:cs="Times New Roman" w:eastAsia="Times New Roman" w:hAnsi="Times New Roman"/>
          <w:sz w:val="23"/>
          <w:szCs w:val="23"/>
          <w:color w:val="auto"/>
        </w:rPr>
        <w:t>Article 92 of our Articles of Incorporation provides that our Board of Directors may declare and pay dividends on our ordinary shares, subject to compliance with applicable law.</w:t>
      </w:r>
    </w:p>
    <w:p>
      <w:pPr>
        <w:spacing w:after="0" w:line="137" w:lineRule="exact"/>
        <w:rPr>
          <w:sz w:val="20"/>
          <w:szCs w:val="20"/>
          <w:color w:val="auto"/>
        </w:rPr>
      </w:pPr>
    </w:p>
    <w:p>
      <w:pPr>
        <w:ind w:right="20" w:firstLine="661"/>
        <w:spacing w:after="0" w:line="281" w:lineRule="auto"/>
        <w:rPr>
          <w:sz w:val="20"/>
          <w:szCs w:val="20"/>
          <w:color w:val="auto"/>
        </w:rPr>
      </w:pPr>
      <w:r>
        <w:rPr>
          <w:rFonts w:ascii="Times New Roman" w:cs="Times New Roman" w:eastAsia="Times New Roman" w:hAnsi="Times New Roman"/>
          <w:sz w:val="23"/>
          <w:szCs w:val="23"/>
          <w:color w:val="auto"/>
        </w:rPr>
        <w:t>In 2012, our shareholders approved the institution of a quarterly cash dividend program at the quarterly rate of $0.13 per ordinary share.</w:t>
      </w:r>
    </w:p>
    <w:p>
      <w:pPr>
        <w:spacing w:after="0" w:line="137" w:lineRule="exact"/>
        <w:rPr>
          <w:sz w:val="20"/>
          <w:szCs w:val="20"/>
          <w:color w:val="auto"/>
        </w:rPr>
      </w:pPr>
    </w:p>
    <w:p>
      <w:pPr>
        <w:ind w:firstLine="661"/>
        <w:spacing w:after="0" w:line="251" w:lineRule="auto"/>
        <w:rPr>
          <w:sz w:val="20"/>
          <w:szCs w:val="20"/>
          <w:color w:val="auto"/>
        </w:rPr>
      </w:pPr>
      <w:r>
        <w:rPr>
          <w:rFonts w:ascii="Times New Roman" w:cs="Times New Roman" w:eastAsia="Times New Roman" w:hAnsi="Times New Roman"/>
          <w:sz w:val="23"/>
          <w:szCs w:val="23"/>
          <w:color w:val="auto"/>
        </w:rPr>
        <w:t>Under this authorization, our Board of Directors has the authority to reduce the quarterly dividend or discontinue the dividend program should it determine that doing so is in the best interests of our shareholders or is necessary pursuant to Guernsey law, but our Board of Directors does not have authority to increase the per share amount or frequency of the dividend without shareholder approval. In 2016, our shareholders approved an increase to $0.195 per share; in 2017, our shareholders approved an increase to $0.22 per share; in 2018, our shareholders approved an increase to $0.25 per share; in 2019, our shareholders approved an increase to $0.285 per share; and in 2020, our shareholders approved an increase to $0.3275 per share.</w:t>
      </w:r>
    </w:p>
    <w:p>
      <w:pPr>
        <w:spacing w:after="0" w:line="170" w:lineRule="exact"/>
        <w:rPr>
          <w:sz w:val="20"/>
          <w:szCs w:val="20"/>
          <w:color w:val="auto"/>
        </w:rPr>
      </w:pPr>
    </w:p>
    <w:p>
      <w:pPr>
        <w:jc w:val="both"/>
        <w:ind w:right="220" w:firstLine="661"/>
        <w:spacing w:after="0" w:line="263" w:lineRule="auto"/>
        <w:rPr>
          <w:sz w:val="20"/>
          <w:szCs w:val="20"/>
          <w:color w:val="auto"/>
        </w:rPr>
      </w:pPr>
      <w:r>
        <w:rPr>
          <w:rFonts w:ascii="Times New Roman" w:cs="Times New Roman" w:eastAsia="Times New Roman" w:hAnsi="Times New Roman"/>
          <w:sz w:val="23"/>
          <w:szCs w:val="23"/>
          <w:color w:val="auto"/>
        </w:rPr>
        <w:t>In November 2020, our Board of Directors approved an increase in the quarterly cash dividend rate to $0.36 per ordinary share. In order to permit us to implement this dividend rate increase, our Board of Directors proposes that our shareholders approve the ordinary resolution set forth below.</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Reasons for the Proposed Increase in Quarterly Dividend Rate</w:t>
      </w:r>
    </w:p>
    <w:p>
      <w:pPr>
        <w:spacing w:after="0" w:line="118" w:lineRule="exact"/>
        <w:rPr>
          <w:sz w:val="20"/>
          <w:szCs w:val="20"/>
          <w:color w:val="auto"/>
        </w:rPr>
      </w:pPr>
    </w:p>
    <w:p>
      <w:pPr>
        <w:ind w:firstLine="661"/>
        <w:spacing w:after="0" w:line="247" w:lineRule="auto"/>
        <w:rPr>
          <w:sz w:val="20"/>
          <w:szCs w:val="20"/>
          <w:color w:val="auto"/>
        </w:rPr>
      </w:pPr>
      <w:r>
        <w:rPr>
          <w:rFonts w:ascii="Times New Roman" w:cs="Times New Roman" w:eastAsia="Times New Roman" w:hAnsi="Times New Roman"/>
          <w:sz w:val="23"/>
          <w:szCs w:val="23"/>
          <w:color w:val="auto"/>
        </w:rPr>
        <w:t>Our Board of Directors believes that it is in the best interest of our shareholders to increase the quarterly dividend rate in light of our financial and business performance and outlook. For example, since we implemented our dividend program in 2012, we have generated increases in annual revenue, net income and free cash flow. At the same time, we have continued to repurchase our ordinary shares, through a subsidiary, and repurchased approximately $419.2 million, $398.1 million and $360.9 million (excluding broker and transaction fees) of our ordinary shares during the fiscal years ended September 30, 2018, 2019 and 2020, respectively. As a general long-term guideline, we expect to retain a portion of our free cash flow (calculated as cash flow from operations less net capital expenditures and other) to support the growth of our business, including possible mergers and acquisitions. The increase in the quarterly dividend rate coincides with our fiscal year 2020 guideline to return to shareholders a majority of our normalized free cash flow (i.e., before capital expenditures associated with the multiyear development of our new campus in Israel and other items) subject to financial performance, outlook and liquidity, the size of possible mergers and acquisitions activity, financial market conditions and prevailing industry condition, through our ongoing share repurchase and dividend program. This is not a complete presentation of our financial position, results of operations and cash flows in conformity with U.S. generally accepted accounting principles, so we encourage you to review our consolidated financial statements for the fiscal year ended September 30, 2020 set forth in our Annual Report on Form 20-F filed on December 14, 2020 with the U.S. Securities and Exchange Commission, or the SEC.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Timing of the Dividend Program</w:t>
      </w:r>
    </w:p>
    <w:p>
      <w:pPr>
        <w:spacing w:after="0" w:line="118" w:lineRule="exact"/>
        <w:rPr>
          <w:sz w:val="20"/>
          <w:szCs w:val="20"/>
          <w:color w:val="auto"/>
        </w:rPr>
      </w:pPr>
    </w:p>
    <w:p>
      <w:pPr>
        <w:ind w:right="60" w:firstLine="661"/>
        <w:spacing w:after="0" w:line="251" w:lineRule="auto"/>
        <w:rPr>
          <w:sz w:val="20"/>
          <w:szCs w:val="20"/>
          <w:color w:val="auto"/>
        </w:rPr>
      </w:pPr>
      <w:r>
        <w:rPr>
          <w:rFonts w:ascii="Times New Roman" w:cs="Times New Roman" w:eastAsia="Times New Roman" w:hAnsi="Times New Roman"/>
          <w:sz w:val="23"/>
          <w:szCs w:val="23"/>
          <w:color w:val="auto"/>
        </w:rPr>
        <w:t>If our shareholders approve the proposal, our Board of Directors will continue to consider on a quarterly basis whether to declare and pay a dividend in accordance with the terms of the dividend program and in accordance with applicable Guernsey law. Guernsey law requires that our Board of Directors consider a dividend’s effects on our solvency before it may be declared or paid. Provided that the per share amount and the frequency of the dividend do not increase, then no further shareholder approval will be required for dividends payable pursuant to our quarterly cash dividend program. However, any increase to the per share amount or frequency of the dividend would require further shareholder approval.</w:t>
      </w:r>
    </w:p>
    <w:p>
      <w:pPr>
        <w:spacing w:after="0" w:line="170" w:lineRule="exact"/>
        <w:rPr>
          <w:sz w:val="20"/>
          <w:szCs w:val="20"/>
          <w:color w:val="auto"/>
        </w:rPr>
      </w:pPr>
    </w:p>
    <w:p>
      <w:pPr>
        <w:ind w:right="160" w:firstLine="661"/>
        <w:spacing w:after="0" w:line="281" w:lineRule="auto"/>
        <w:rPr>
          <w:sz w:val="20"/>
          <w:szCs w:val="20"/>
          <w:color w:val="auto"/>
        </w:rPr>
      </w:pPr>
      <w:r>
        <w:rPr>
          <w:rFonts w:ascii="Times New Roman" w:cs="Times New Roman" w:eastAsia="Times New Roman" w:hAnsi="Times New Roman"/>
          <w:sz w:val="23"/>
          <w:szCs w:val="23"/>
          <w:color w:val="auto"/>
        </w:rPr>
        <w:t>Subject to shareholder approval, we expect to begin paying the dividend at the increased rate commencing in April 2021.</w:t>
      </w:r>
    </w:p>
    <w:p>
      <w:pPr>
        <w:sectPr>
          <w:pgSz w:w="11900" w:h="16838" w:orient="portrait"/>
          <w:cols w:equalWidth="0" w:num="1">
            <w:col w:w="11000"/>
          </w:cols>
          <w:pgMar w:left="440" w:top="252" w:right="459" w:bottom="754" w:gutter="0" w:footer="0" w:header="0"/>
        </w:sectPr>
      </w:pP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14</w:t>
      </w:r>
    </w:p>
    <w:p>
      <w:pPr>
        <w:sectPr>
          <w:pgSz w:w="11900" w:h="16838" w:orient="portrait"/>
          <w:cols w:equalWidth="0" w:num="1">
            <w:col w:w="11000"/>
          </w:cols>
          <w:pgMar w:left="440" w:top="252" w:right="459" w:bottom="754" w:gutter="0" w:footer="0" w:header="0"/>
          <w:type w:val="continuous"/>
        </w:sectPr>
      </w:pPr>
    </w:p>
    <w:bookmarkStart w:id="21" w:name="page22"/>
    <w:bookmarkEnd w:id="21"/>
    <w:p>
      <w:pPr>
        <w:ind w:left="660"/>
        <w:spacing w:after="0"/>
        <w:rPr>
          <w:sz w:val="20"/>
          <w:szCs w:val="20"/>
          <w:color w:val="auto"/>
        </w:rPr>
      </w:pPr>
      <w:r>
        <w:rPr>
          <w:rFonts w:ascii="Times New Roman" w:cs="Times New Roman" w:eastAsia="Times New Roman" w:hAnsi="Times New Roman"/>
          <w:sz w:val="23"/>
          <w:szCs w:val="2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shareholder approval is not obtained, the quarterly dividend rate will remain at $0.3275 per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share.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Certain United States Federal Income Tax Considerations Related to Distributions</w:t>
      </w:r>
    </w:p>
    <w:p>
      <w:pPr>
        <w:spacing w:after="0" w:line="118" w:lineRule="exact"/>
        <w:rPr>
          <w:sz w:val="20"/>
          <w:szCs w:val="20"/>
          <w:color w:val="auto"/>
        </w:rPr>
      </w:pPr>
    </w:p>
    <w:p>
      <w:pPr>
        <w:ind w:firstLine="661"/>
        <w:spacing w:after="0" w:line="249" w:lineRule="auto"/>
        <w:rPr>
          <w:sz w:val="20"/>
          <w:szCs w:val="20"/>
          <w:color w:val="auto"/>
        </w:rPr>
      </w:pPr>
      <w:r>
        <w:rPr>
          <w:rFonts w:ascii="Times New Roman" w:cs="Times New Roman" w:eastAsia="Times New Roman" w:hAnsi="Times New Roman"/>
          <w:sz w:val="23"/>
          <w:szCs w:val="23"/>
          <w:color w:val="auto"/>
        </w:rPr>
        <w:t>In general, a U.S. holder receiving a distribution with respect to the ordinary shares will be required to include such distribution (including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76" w:lineRule="exact"/>
        <w:rPr>
          <w:sz w:val="20"/>
          <w:szCs w:val="20"/>
          <w:color w:val="auto"/>
        </w:rPr>
      </w:pPr>
    </w:p>
    <w:p>
      <w:pPr>
        <w:ind w:right="60" w:firstLine="661"/>
        <w:spacing w:after="0" w:line="247" w:lineRule="auto"/>
        <w:rPr>
          <w:sz w:val="20"/>
          <w:szCs w:val="20"/>
          <w:color w:val="auto"/>
        </w:rPr>
      </w:pPr>
      <w:r>
        <w:rPr>
          <w:rFonts w:ascii="Times New Roman" w:cs="Times New Roman" w:eastAsia="Times New Roman" w:hAnsi="Times New Roman"/>
          <w:sz w:val="23"/>
          <w:szCs w:val="23"/>
          <w:color w:val="auto"/>
        </w:rPr>
        <w:t>Dividends are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“qualified foreign corporations,” including shares of a foreign corporation that are readily tradable on an established securities market in the United States. Since our ordinary shares are listed on Nasdaq, we believe that dividends paid by us with respect to our ordinary shares should constitute “qualified dividend income” for U.S. federal income tax purposes, provided that the applicable holding period and other requirements are satisfied by the relevant shareholder. The preferential rate will not apply to dividends received to the extent that the U.S. holder elects to treat dividends as “investment income.” In addition, dividends paid by us will not qualify for the preferential U.S. federal income tax rate if we are, for the tax year in which the dividends are paid, or were, for the preceding tax year, a “passive foreign investment company” (“PFIC”) for U.S. federal income tax purposes, which we would be if (i) at least 75% of our gross income is “passive income” (e.g., dividends, interest and certain royalties, rents and gains from commodities and securities transactions), or (ii) 50% or more of the average value of all our assets including goodwill (generally determined on a quarterly basis) is attributable to assets that produce “passive income” or are held for the production of “passive income.” We believe that we were not a PFIC for the prior taxable year and do not expect to be a PFIC for the current taxable year.</w:t>
      </w:r>
    </w:p>
    <w:p>
      <w:pPr>
        <w:spacing w:after="0" w:line="181" w:lineRule="exact"/>
        <w:rPr>
          <w:sz w:val="20"/>
          <w:szCs w:val="20"/>
          <w:color w:val="auto"/>
        </w:rPr>
      </w:pPr>
    </w:p>
    <w:p>
      <w:pPr>
        <w:ind w:right="100" w:firstLine="661"/>
        <w:spacing w:after="0" w:line="281" w:lineRule="auto"/>
        <w:rPr>
          <w:sz w:val="20"/>
          <w:szCs w:val="20"/>
          <w:color w:val="auto"/>
        </w:rPr>
      </w:pPr>
      <w:r>
        <w:rPr>
          <w:rFonts w:ascii="Times New Roman" w:cs="Times New Roman" w:eastAsia="Times New Roman" w:hAnsi="Times New Roman"/>
          <w:sz w:val="23"/>
          <w:szCs w:val="23"/>
          <w:color w:val="auto"/>
        </w:rPr>
        <w:t>An additional 3.8% tax is imposed on the net investment income (which includes taxable dividends) received by U.S. holders that are individuals, trusts or estates earning income above certain thresholds.</w:t>
      </w:r>
    </w:p>
    <w:p>
      <w:pPr>
        <w:spacing w:after="0" w:line="137" w:lineRule="exact"/>
        <w:rPr>
          <w:sz w:val="20"/>
          <w:szCs w:val="20"/>
          <w:color w:val="auto"/>
        </w:rPr>
      </w:pPr>
    </w:p>
    <w:p>
      <w:pPr>
        <w:ind w:right="300" w:firstLine="661"/>
        <w:spacing w:after="0" w:line="281" w:lineRule="auto"/>
        <w:rPr>
          <w:sz w:val="20"/>
          <w:szCs w:val="20"/>
          <w:color w:val="auto"/>
        </w:rPr>
      </w:pPr>
      <w:r>
        <w:rPr>
          <w:rFonts w:ascii="Times New Roman" w:cs="Times New Roman" w:eastAsia="Times New Roman" w:hAnsi="Times New Roman"/>
          <w:sz w:val="23"/>
          <w:szCs w:val="23"/>
          <w:color w:val="auto"/>
        </w:rPr>
        <w:t>Dividends paid by us generally will be classified as foreign source “passive category income” or, in certain cases, “general category income” for U.S. foreign tax credit purposes.</w:t>
      </w:r>
    </w:p>
    <w:p>
      <w:pPr>
        <w:spacing w:after="0" w:line="137" w:lineRule="exact"/>
        <w:rPr>
          <w:sz w:val="20"/>
          <w:szCs w:val="20"/>
          <w:color w:val="auto"/>
        </w:rPr>
      </w:pPr>
    </w:p>
    <w:p>
      <w:pPr>
        <w:ind w:right="40" w:firstLine="661"/>
        <w:spacing w:after="0" w:line="250" w:lineRule="auto"/>
        <w:rPr>
          <w:sz w:val="20"/>
          <w:szCs w:val="20"/>
          <w:color w:val="auto"/>
        </w:rPr>
      </w:pPr>
      <w:r>
        <w:rPr>
          <w:rFonts w:ascii="Times New Roman" w:cs="Times New Roman" w:eastAsia="Times New Roman" w:hAnsi="Times New Roman"/>
          <w:sz w:val="23"/>
          <w:szCs w:val="23"/>
          <w:color w:val="auto"/>
        </w:rPr>
        <w:t>Payments to U.S. holders generally will be subject to information reporting requirements with respect to dividends that are paid within the United States or through U.S.-related financial intermediaries, unless the U.S. holder is an “exempt recipient.” Such payments may also be subject to backup withholding (currently at a rate of 24%) unless the U.S. holder provides a taxpayer identification number and a duly executed Internal Revenue Service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Internal Revenue Service.</w:t>
      </w:r>
    </w:p>
    <w:p>
      <w:pPr>
        <w:spacing w:after="0" w:line="200" w:lineRule="exact"/>
        <w:rPr>
          <w:sz w:val="20"/>
          <w:szCs w:val="20"/>
          <w:color w:val="auto"/>
        </w:rPr>
      </w:pPr>
    </w:p>
    <w:p>
      <w:pPr>
        <w:spacing w:after="0" w:line="248" w:lineRule="exact"/>
        <w:rPr>
          <w:sz w:val="20"/>
          <w:szCs w:val="20"/>
          <w:color w:val="auto"/>
        </w:rPr>
      </w:pPr>
    </w:p>
    <w:p>
      <w:pPr>
        <w:ind w:right="240" w:firstLine="661"/>
        <w:spacing w:after="0" w:line="281" w:lineRule="auto"/>
        <w:rPr>
          <w:sz w:val="20"/>
          <w:szCs w:val="20"/>
          <w:color w:val="auto"/>
        </w:rPr>
      </w:pPr>
      <w:r>
        <w:rPr>
          <w:rFonts w:ascii="Times New Roman" w:cs="Times New Roman" w:eastAsia="Times New Roman" w:hAnsi="Times New Roman"/>
          <w:sz w:val="23"/>
          <w:szCs w:val="23"/>
          <w:color w:val="auto"/>
        </w:rPr>
        <w:t>U.S. holders are urged to consult their tax advisors regarding the tax treatment of any dividends received by such holder in respect of ordinary shares.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Resolution</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rPr>
        <w:t>It is proposed that the following ordinary resolution be adopted at the General Meeting:</w:t>
      </w:r>
    </w:p>
    <w:p>
      <w:pPr>
        <w:spacing w:after="0" w:line="218" w:lineRule="exact"/>
        <w:rPr>
          <w:sz w:val="20"/>
          <w:szCs w:val="20"/>
          <w:color w:val="auto"/>
        </w:rPr>
      </w:pPr>
    </w:p>
    <w:p>
      <w:pPr>
        <w:ind w:right="140" w:firstLine="661"/>
        <w:spacing w:after="0" w:line="284" w:lineRule="auto"/>
        <w:rPr>
          <w:sz w:val="20"/>
          <w:szCs w:val="20"/>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RESOLVED</w:t>
      </w:r>
      <w:r>
        <w:rPr>
          <w:rFonts w:ascii="Times New Roman" w:cs="Times New Roman" w:eastAsia="Times New Roman" w:hAnsi="Times New Roman"/>
          <w:sz w:val="23"/>
          <w:szCs w:val="23"/>
          <w:color w:val="auto"/>
        </w:rPr>
        <w:t>, that an increase in the dividend rate under Amdocs Limited’s quarterly cash dividend program from $0.3275 per share to $0.36 per share be, and hereby is, approved.”</w:t>
      </w:r>
    </w:p>
    <w:p>
      <w:pPr>
        <w:sectPr>
          <w:pgSz w:w="11900" w:h="16838" w:orient="portrait"/>
          <w:cols w:equalWidth="0" w:num="1">
            <w:col w:w="10980"/>
          </w:cols>
          <w:pgMar w:left="440" w:top="256" w:right="479" w:bottom="1024" w:gutter="0" w:footer="0" w:header="0"/>
        </w:sectPr>
      </w:pP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color w:val="auto"/>
        </w:rPr>
        <w:t>15</w:t>
      </w:r>
    </w:p>
    <w:p>
      <w:pPr>
        <w:sectPr>
          <w:pgSz w:w="11900" w:h="16838" w:orient="portrait"/>
          <w:cols w:equalWidth="0" w:num="1">
            <w:col w:w="10980"/>
          </w:cols>
          <w:pgMar w:left="440" w:top="256" w:right="479" w:bottom="1024"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Required Affirmative Vote</w:t>
      </w:r>
    </w:p>
    <w:p>
      <w:pPr>
        <w:spacing w:after="0" w:line="118" w:lineRule="exact"/>
        <w:rPr>
          <w:sz w:val="20"/>
          <w:szCs w:val="20"/>
          <w:color w:val="auto"/>
        </w:rPr>
      </w:pPr>
    </w:p>
    <w:p>
      <w:pPr>
        <w:ind w:firstLine="661"/>
        <w:spacing w:after="0" w:line="263" w:lineRule="auto"/>
        <w:rPr>
          <w:sz w:val="20"/>
          <w:szCs w:val="20"/>
          <w:color w:val="auto"/>
        </w:rPr>
      </w:pPr>
      <w:r>
        <w:rPr>
          <w:rFonts w:ascii="Times New Roman" w:cs="Times New Roman" w:eastAsia="Times New Roman" w:hAnsi="Times New Roman"/>
          <w:sz w:val="23"/>
          <w:szCs w:val="23"/>
          <w:color w:val="auto"/>
        </w:rPr>
        <w:t>The affirmative vote of holders of a majority of our ordinary shares represented in person or by proxy at the General Meeting is necessary for approval of the increase in the dividend rate under our quarterly cash dividend program.</w:t>
      </w:r>
    </w:p>
    <w:p>
      <w:pPr>
        <w:spacing w:after="0" w:line="261" w:lineRule="exact"/>
        <w:rPr>
          <w:sz w:val="20"/>
          <w:szCs w:val="20"/>
          <w:color w:val="auto"/>
        </w:rPr>
      </w:pPr>
    </w:p>
    <w:p>
      <w:pPr>
        <w:jc w:val="both"/>
        <w:ind w:right="400"/>
        <w:spacing w:after="0" w:line="284" w:lineRule="auto"/>
        <w:rPr>
          <w:sz w:val="20"/>
          <w:szCs w:val="20"/>
          <w:color w:val="auto"/>
        </w:rPr>
      </w:pPr>
      <w:r>
        <w:rPr>
          <w:rFonts w:ascii="Times New Roman" w:cs="Times New Roman" w:eastAsia="Times New Roman" w:hAnsi="Times New Roman"/>
          <w:sz w:val="23"/>
          <w:szCs w:val="23"/>
          <w:b w:val="1"/>
          <w:bCs w:val="1"/>
          <w:color w:val="auto"/>
        </w:rPr>
        <w:t>THE BOARD OF DIRECTORS RECOMMENDS THAT THE SHAREHOLDERS VOTE “FOR” THE INCREASE IN THE QUARTERLY DIVIDEND RATE UNDER THE CASH DIVIDEND PROGRAM.</w:t>
      </w:r>
    </w:p>
    <w:p>
      <w:pPr>
        <w:spacing w:after="0" w:line="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3"/>
          <w:szCs w:val="23"/>
          <w:color w:val="auto"/>
        </w:rPr>
        <w:t>16</w:t>
      </w:r>
    </w:p>
    <w:p>
      <w:pPr>
        <w:sectPr>
          <w:pgSz w:w="11900" w:h="16838" w:orient="portrait"/>
          <w:cols w:equalWidth="0" w:num="1">
            <w:col w:w="10740"/>
          </w:cols>
          <w:pgMar w:left="440" w:top="252" w:right="719" w:bottom="1440" w:gutter="0" w:footer="0" w:header="0"/>
        </w:sectPr>
      </w:pPr>
    </w:p>
    <w:bookmarkStart w:id="23" w:name="page24"/>
    <w:bookmarkEnd w:id="23"/>
    <w:p>
      <w:pPr>
        <w:ind w:left="470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III</w:t>
      </w:r>
    </w:p>
    <w:p>
      <w:pPr>
        <w:spacing w:after="0" w:line="22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3"/>
          <w:szCs w:val="23"/>
          <w:b w:val="1"/>
          <w:bCs w:val="1"/>
          <w:color w:val="auto"/>
        </w:rPr>
        <w:t>APPROVAL OF OUR CONSOLIDATED FINANCIAL STATEMENTS</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FOR THE FISCAL YEAR ENDED SEPTEMBER 30, 2020</w:t>
      </w:r>
    </w:p>
    <w:p>
      <w:pPr>
        <w:spacing w:after="0" w:line="88" w:lineRule="exact"/>
        <w:rPr>
          <w:sz w:val="20"/>
          <w:szCs w:val="20"/>
          <w:color w:val="auto"/>
        </w:rPr>
      </w:pPr>
    </w:p>
    <w:p>
      <w:pPr>
        <w:ind w:firstLine="661"/>
        <w:spacing w:after="0" w:line="254" w:lineRule="auto"/>
        <w:rPr>
          <w:sz w:val="20"/>
          <w:szCs w:val="20"/>
          <w:color w:val="auto"/>
        </w:rPr>
      </w:pPr>
      <w:r>
        <w:rPr>
          <w:rFonts w:ascii="Times New Roman" w:cs="Times New Roman" w:eastAsia="Times New Roman" w:hAnsi="Times New Roman"/>
          <w:sz w:val="23"/>
          <w:szCs w:val="23"/>
          <w:color w:val="auto"/>
        </w:rPr>
        <w:t>Our Annual Report for the fiscal year ended September 30, 2020 is available on our website at https://www.amdocs.com/media-room/annual-report-2020. Our Consolidated Financial Statements for the fiscal year ended September 30, 2020 are included in our Annual Report. At the General Meeting, we will review the Operating and Financial Review and Prospects section of our Annual Report and will answer appropriate questions related thereto.</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Resolution</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rPr>
        <w:t>It is proposed that the following ordinary resolution be adopted at the General Meeting:</w:t>
      </w:r>
    </w:p>
    <w:p>
      <w:pPr>
        <w:spacing w:after="0" w:line="218" w:lineRule="exact"/>
        <w:rPr>
          <w:sz w:val="20"/>
          <w:szCs w:val="20"/>
          <w:color w:val="auto"/>
        </w:rPr>
      </w:pPr>
    </w:p>
    <w:p>
      <w:pPr>
        <w:ind w:right="700" w:firstLine="661"/>
        <w:spacing w:after="0" w:line="284" w:lineRule="auto"/>
        <w:rPr>
          <w:sz w:val="20"/>
          <w:szCs w:val="20"/>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RESOLVED</w:t>
      </w:r>
      <w:r>
        <w:rPr>
          <w:rFonts w:ascii="Times New Roman" w:cs="Times New Roman" w:eastAsia="Times New Roman" w:hAnsi="Times New Roman"/>
          <w:sz w:val="23"/>
          <w:szCs w:val="23"/>
          <w:color w:val="auto"/>
        </w:rPr>
        <w:t>, that the Consolidated Financial Statements of Amdocs Limited for the fiscal year ended September 30, 2020 be, and the same hereby are, approved.”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Required Affirmative Vote</w:t>
      </w:r>
    </w:p>
    <w:p>
      <w:pPr>
        <w:spacing w:after="0" w:line="118" w:lineRule="exact"/>
        <w:rPr>
          <w:sz w:val="20"/>
          <w:szCs w:val="20"/>
          <w:color w:val="auto"/>
        </w:rPr>
      </w:pPr>
    </w:p>
    <w:p>
      <w:pPr>
        <w:ind w:right="220" w:firstLine="661"/>
        <w:spacing w:after="0" w:line="263" w:lineRule="auto"/>
        <w:rPr>
          <w:sz w:val="20"/>
          <w:szCs w:val="20"/>
          <w:color w:val="auto"/>
        </w:rPr>
      </w:pPr>
      <w:r>
        <w:rPr>
          <w:rFonts w:ascii="Times New Roman" w:cs="Times New Roman" w:eastAsia="Times New Roman" w:hAnsi="Times New Roman"/>
          <w:sz w:val="23"/>
          <w:szCs w:val="23"/>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53"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23"/>
          <w:szCs w:val="23"/>
          <w:b w:val="1"/>
          <w:bCs w:val="1"/>
          <w:color w:val="auto"/>
        </w:rPr>
        <w:t>THE BOARD OF DIRECTORS RECOMMENDS THAT THE SHAREHOLDERS VOTE “FOR” THE APPROVAL OF OUR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3"/>
          <w:szCs w:val="23"/>
          <w:color w:val="auto"/>
        </w:rPr>
        <w:t>17</w:t>
      </w:r>
    </w:p>
    <w:p>
      <w:pPr>
        <w:sectPr>
          <w:pgSz w:w="11900" w:h="16838" w:orient="portrait"/>
          <w:cols w:equalWidth="0" w:num="1">
            <w:col w:w="10940"/>
          </w:cols>
          <w:pgMar w:left="440" w:top="252" w:right="519" w:bottom="1440" w:gutter="0" w:footer="0" w:header="0"/>
        </w:sectPr>
      </w:pPr>
    </w:p>
    <w:bookmarkStart w:id="24" w:name="page25"/>
    <w:bookmarkEnd w:id="24"/>
    <w:p>
      <w:pPr>
        <w:ind w:left="4704"/>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IV</w:t>
      </w:r>
    </w:p>
    <w:p>
      <w:pPr>
        <w:spacing w:after="0" w:line="222" w:lineRule="exact"/>
        <w:rPr>
          <w:sz w:val="20"/>
          <w:szCs w:val="20"/>
          <w:color w:val="auto"/>
        </w:rPr>
      </w:pPr>
    </w:p>
    <w:p>
      <w:pPr>
        <w:ind w:left="3504"/>
        <w:spacing w:after="0"/>
        <w:rPr>
          <w:sz w:val="20"/>
          <w:szCs w:val="20"/>
          <w:color w:val="auto"/>
        </w:rPr>
      </w:pPr>
      <w:r>
        <w:rPr>
          <w:rFonts w:ascii="Times New Roman" w:cs="Times New Roman" w:eastAsia="Times New Roman" w:hAnsi="Times New Roman"/>
          <w:sz w:val="23"/>
          <w:szCs w:val="23"/>
          <w:b w:val="1"/>
          <w:bCs w:val="1"/>
          <w:color w:val="auto"/>
        </w:rPr>
        <w:t>RATIFICATION AND APPROVAL OF</w:t>
      </w:r>
    </w:p>
    <w:p>
      <w:pPr>
        <w:spacing w:after="0" w:line="3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23"/>
          <w:szCs w:val="23"/>
          <w:b w:val="1"/>
          <w:bCs w:val="1"/>
          <w:color w:val="auto"/>
        </w:rPr>
        <w:t>INDEPENDENT REGISTERED PUBLIC ACCOUNTING FIRM</w:t>
      </w:r>
    </w:p>
    <w:p>
      <w:pPr>
        <w:spacing w:after="0" w:line="196" w:lineRule="exact"/>
        <w:rPr>
          <w:sz w:val="20"/>
          <w:szCs w:val="20"/>
          <w:color w:val="auto"/>
        </w:rPr>
      </w:pPr>
    </w:p>
    <w:p>
      <w:pPr>
        <w:ind w:left="4" w:right="40" w:firstLine="661"/>
        <w:spacing w:after="0" w:line="250" w:lineRule="auto"/>
        <w:rPr>
          <w:sz w:val="20"/>
          <w:szCs w:val="20"/>
          <w:color w:val="auto"/>
        </w:rPr>
      </w:pPr>
      <w:r>
        <w:rPr>
          <w:rFonts w:ascii="Times New Roman" w:cs="Times New Roman" w:eastAsia="Times New Roman" w:hAnsi="Times New Roman"/>
          <w:sz w:val="23"/>
          <w:szCs w:val="23"/>
          <w:color w:val="auto"/>
        </w:rPr>
        <w:t>The Audit Committee of the Board of Directors has selected the firm of Ernst &amp; Young LLP to continue to serve as our independent registered public accounting firm for the fiscal year ending September 30, 2021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2020 and has served as our independent public accounting firm since 1988. One or more representatives of Ernst &amp; Young LLP are expected to be present at the General Meeting, will have an opportunity to make a statement if he or she so desires and will be available to respond to appropriate questions.</w:t>
      </w:r>
    </w:p>
    <w:p>
      <w:pPr>
        <w:spacing w:after="0" w:line="2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b w:val="1"/>
          <w:bCs w:val="1"/>
          <w:color w:val="auto"/>
        </w:rPr>
        <w:t>Independent Accountant Fees and Other Matters</w:t>
      </w:r>
    </w:p>
    <w:p>
      <w:pPr>
        <w:spacing w:after="0" w:line="158" w:lineRule="exact"/>
        <w:rPr>
          <w:sz w:val="20"/>
          <w:szCs w:val="20"/>
          <w:color w:val="auto"/>
        </w:rPr>
      </w:pPr>
    </w:p>
    <w:p>
      <w:pPr>
        <w:ind w:left="4" w:right="20" w:firstLine="661"/>
        <w:spacing w:after="0" w:line="263" w:lineRule="auto"/>
        <w:rPr>
          <w:sz w:val="20"/>
          <w:szCs w:val="20"/>
          <w:color w:val="auto"/>
        </w:rPr>
      </w:pPr>
      <w:r>
        <w:rPr>
          <w:rFonts w:ascii="Times New Roman" w:cs="Times New Roman" w:eastAsia="Times New Roman" w:hAnsi="Times New Roman"/>
          <w:sz w:val="23"/>
          <w:szCs w:val="23"/>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3" w:lineRule="exact"/>
        <w:rPr>
          <w:sz w:val="20"/>
          <w:szCs w:val="20"/>
          <w:color w:val="auto"/>
        </w:rPr>
      </w:pPr>
    </w:p>
    <w:tbl>
      <w:tblPr>
        <w:tblLayout w:type="fixed"/>
        <w:tblInd w:w="1324" w:type="dxa"/>
        <w:tblCellMar>
          <w:top w:w="0" w:type="dxa"/>
          <w:left w:w="0" w:type="dxa"/>
          <w:bottom w:w="0" w:type="dxa"/>
          <w:right w:w="0" w:type="dxa"/>
        </w:tblCellMar>
      </w:tblPr>
      <w:tr>
        <w:trPr>
          <w:trHeight w:val="276"/>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Fee Category</w:t>
            </w:r>
          </w:p>
        </w:tc>
        <w:tc>
          <w:tcPr>
            <w:tcW w:w="4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348"/>
              <w:spacing w:after="0"/>
              <w:rPr>
                <w:sz w:val="20"/>
                <w:szCs w:val="20"/>
                <w:color w:val="auto"/>
              </w:rPr>
            </w:pPr>
            <w:r>
              <w:rPr>
                <w:rFonts w:ascii="Times New Roman" w:cs="Times New Roman" w:eastAsia="Times New Roman" w:hAnsi="Times New Roman"/>
                <w:sz w:val="20"/>
                <w:szCs w:val="20"/>
                <w:b w:val="1"/>
                <w:bCs w:val="1"/>
                <w:color w:val="auto"/>
              </w:rPr>
              <w:t>2020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328"/>
              <w:spacing w:after="0"/>
              <w:rPr>
                <w:sz w:val="20"/>
                <w:szCs w:val="20"/>
                <w:color w:val="auto"/>
              </w:rPr>
            </w:pPr>
            <w:r>
              <w:rPr>
                <w:rFonts w:ascii="Times New Roman" w:cs="Times New Roman" w:eastAsia="Times New Roman" w:hAnsi="Times New Roman"/>
                <w:sz w:val="20"/>
                <w:szCs w:val="20"/>
                <w:b w:val="1"/>
                <w:bCs w:val="1"/>
                <w:color w:val="auto"/>
              </w:rPr>
              <w:t>2019</w:t>
            </w:r>
          </w:p>
        </w:tc>
        <w:tc>
          <w:tcPr>
            <w:tcW w:w="60" w:type="dxa"/>
            <w:vAlign w:val="bottom"/>
          </w:tcPr>
          <w:p>
            <w:pPr>
              <w:spacing w:after="0"/>
              <w:rPr>
                <w:sz w:val="24"/>
                <w:szCs w:val="24"/>
                <w:color w:val="auto"/>
              </w:rPr>
            </w:pPr>
          </w:p>
        </w:tc>
      </w:tr>
      <w:tr>
        <w:trPr>
          <w:trHeight w:val="257"/>
        </w:trPr>
        <w:tc>
          <w:tcPr>
            <w:tcW w:w="5320" w:type="dxa"/>
            <w:vAlign w:val="bottom"/>
            <w:tcBorders>
              <w:top w:val="single" w:sz="8" w:color="CCEEFF"/>
            </w:tcBorders>
            <w:gridSpan w:val="2"/>
            <w:shd w:val="clear" w:color="auto" w:fill="CCEEFF"/>
          </w:tcPr>
          <w:p>
            <w:pPr>
              <w:spacing w:after="0" w:line="257" w:lineRule="exact"/>
              <w:rPr>
                <w:sz w:val="20"/>
                <w:szCs w:val="20"/>
                <w:color w:val="auto"/>
              </w:rPr>
            </w:pPr>
            <w:r>
              <w:rPr>
                <w:rFonts w:ascii="Times New Roman" w:cs="Times New Roman" w:eastAsia="Times New Roman" w:hAnsi="Times New Roman"/>
                <w:sz w:val="23"/>
                <w:szCs w:val="23"/>
                <w:color w:val="auto"/>
              </w:rPr>
              <w:t>Audit Fees(1)</w:t>
            </w:r>
          </w:p>
        </w:tc>
        <w:tc>
          <w:tcPr>
            <w:tcW w:w="240" w:type="dxa"/>
            <w:vAlign w:val="bottom"/>
            <w:tcBorders>
              <w:top w:val="single" w:sz="8" w:color="auto"/>
            </w:tcBorders>
            <w:shd w:val="clear" w:color="auto" w:fill="CCEEFF"/>
          </w:tcPr>
          <w:p>
            <w:pPr>
              <w:jc w:val="right"/>
              <w:ind w:right="3"/>
              <w:spacing w:after="0" w:line="257" w:lineRule="exact"/>
              <w:rPr>
                <w:sz w:val="20"/>
                <w:szCs w:val="20"/>
                <w:color w:val="auto"/>
              </w:rPr>
            </w:pPr>
            <w:r>
              <w:rPr>
                <w:rFonts w:ascii="Times New Roman" w:cs="Times New Roman" w:eastAsia="Times New Roman" w:hAnsi="Times New Roman"/>
                <w:sz w:val="23"/>
                <w:szCs w:val="23"/>
                <w:color w:val="auto"/>
                <w:w w:val="86"/>
              </w:rPr>
              <w:t>$</w:t>
            </w:r>
          </w:p>
        </w:tc>
        <w:tc>
          <w:tcPr>
            <w:tcW w:w="1060" w:type="dxa"/>
            <w:vAlign w:val="bottom"/>
            <w:tcBorders>
              <w:top w:val="single" w:sz="8" w:color="auto"/>
            </w:tcBorders>
            <w:shd w:val="clear" w:color="auto" w:fill="CCEEFF"/>
          </w:tcPr>
          <w:p>
            <w:pPr>
              <w:jc w:val="right"/>
              <w:spacing w:after="0" w:line="257" w:lineRule="exact"/>
              <w:rPr>
                <w:sz w:val="20"/>
                <w:szCs w:val="20"/>
                <w:color w:val="auto"/>
              </w:rPr>
            </w:pPr>
            <w:r>
              <w:rPr>
                <w:rFonts w:ascii="Times New Roman" w:cs="Times New Roman" w:eastAsia="Times New Roman" w:hAnsi="Times New Roman"/>
                <w:sz w:val="23"/>
                <w:szCs w:val="23"/>
                <w:color w:val="auto"/>
              </w:rPr>
              <w:t>3,600,000</w:t>
            </w:r>
          </w:p>
        </w:tc>
        <w:tc>
          <w:tcPr>
            <w:tcW w:w="1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
              <w:spacing w:after="0" w:line="257" w:lineRule="exact"/>
              <w:rPr>
                <w:sz w:val="20"/>
                <w:szCs w:val="20"/>
                <w:color w:val="auto"/>
              </w:rPr>
            </w:pPr>
            <w:r>
              <w:rPr>
                <w:rFonts w:ascii="Times New Roman" w:cs="Times New Roman" w:eastAsia="Times New Roman" w:hAnsi="Times New Roman"/>
                <w:sz w:val="23"/>
                <w:szCs w:val="23"/>
                <w:color w:val="auto"/>
                <w:w w:val="86"/>
              </w:rPr>
              <w:t>$</w:t>
            </w:r>
          </w:p>
        </w:tc>
        <w:tc>
          <w:tcPr>
            <w:tcW w:w="1060" w:type="dxa"/>
            <w:vAlign w:val="bottom"/>
            <w:tcBorders>
              <w:top w:val="single" w:sz="8" w:color="auto"/>
            </w:tcBorders>
            <w:shd w:val="clear" w:color="auto" w:fill="CCEEFF"/>
          </w:tcPr>
          <w:p>
            <w:pPr>
              <w:jc w:val="right"/>
              <w:spacing w:after="0" w:line="257" w:lineRule="exact"/>
              <w:rPr>
                <w:sz w:val="20"/>
                <w:szCs w:val="20"/>
                <w:color w:val="auto"/>
              </w:rPr>
            </w:pPr>
            <w:r>
              <w:rPr>
                <w:rFonts w:ascii="Times New Roman" w:cs="Times New Roman" w:eastAsia="Times New Roman" w:hAnsi="Times New Roman"/>
                <w:sz w:val="23"/>
                <w:szCs w:val="23"/>
                <w:color w:val="auto"/>
              </w:rPr>
              <w:t>3,800,000</w:t>
            </w:r>
          </w:p>
        </w:tc>
        <w:tc>
          <w:tcPr>
            <w:tcW w:w="60" w:type="dxa"/>
            <w:vAlign w:val="bottom"/>
            <w:tcBorders>
              <w:top w:val="single" w:sz="8" w:color="CCEEFF"/>
            </w:tcBorders>
            <w:shd w:val="clear" w:color="auto" w:fill="CCEEFF"/>
          </w:tcPr>
          <w:p>
            <w:pPr>
              <w:spacing w:after="0"/>
              <w:rPr>
                <w:sz w:val="22"/>
                <w:szCs w:val="22"/>
                <w:color w:val="auto"/>
              </w:rPr>
            </w:pPr>
          </w:p>
        </w:tc>
      </w:tr>
      <w:tr>
        <w:trPr>
          <w:trHeight w:val="270"/>
        </w:trPr>
        <w:tc>
          <w:tcPr>
            <w:tcW w:w="532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Audit-Related Fees(2)</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23"/>
                <w:szCs w:val="23"/>
                <w:color w:val="auto"/>
                <w:w w:val="86"/>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3"/>
                <w:szCs w:val="23"/>
                <w:color w:val="auto"/>
              </w:rPr>
              <w:t>1,400,000</w:t>
            </w:r>
          </w:p>
        </w:tc>
        <w:tc>
          <w:tcPr>
            <w:tcW w:w="440" w:type="dxa"/>
            <w:vAlign w:val="bottom"/>
            <w:gridSpan w:val="2"/>
          </w:tcPr>
          <w:p>
            <w:pPr>
              <w:jc w:val="right"/>
              <w:ind w:right="3"/>
              <w:spacing w:after="0"/>
              <w:rPr>
                <w:sz w:val="20"/>
                <w:szCs w:val="20"/>
                <w:color w:val="auto"/>
              </w:rPr>
            </w:pPr>
            <w:r>
              <w:rPr>
                <w:rFonts w:ascii="Times New Roman" w:cs="Times New Roman" w:eastAsia="Times New Roman" w:hAnsi="Times New Roman"/>
                <w:sz w:val="23"/>
                <w:szCs w:val="23"/>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3"/>
                <w:szCs w:val="23"/>
                <w:color w:val="auto"/>
              </w:rPr>
              <w:t>1,500,000</w:t>
            </w:r>
          </w:p>
        </w:tc>
      </w:tr>
      <w:tr>
        <w:trPr>
          <w:trHeight w:val="270"/>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3"/>
                <w:szCs w:val="23"/>
                <w:color w:val="auto"/>
              </w:rPr>
              <w:t>Tax Fees(3)</w:t>
            </w:r>
          </w:p>
        </w:tc>
        <w:tc>
          <w:tcPr>
            <w:tcW w:w="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23"/>
                <w:szCs w:val="23"/>
                <w:color w:val="auto"/>
                <w:w w:val="86"/>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3"/>
                <w:szCs w:val="23"/>
                <w:color w:val="auto"/>
              </w:rPr>
              <w:t>1,500,000</w:t>
            </w:r>
          </w:p>
        </w:tc>
        <w:tc>
          <w:tcPr>
            <w:tcW w:w="4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23"/>
                <w:szCs w:val="23"/>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3"/>
                <w:szCs w:val="23"/>
                <w:color w:val="auto"/>
              </w:rPr>
              <w:t>1,800,000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0" w:lineRule="exact"/>
        <w:rPr>
          <w:sz w:val="20"/>
          <w:szCs w:val="20"/>
          <w:color w:val="auto"/>
        </w:rPr>
      </w:pPr>
    </w:p>
    <w:p>
      <w:pPr>
        <w:ind w:left="764" w:right="540" w:hanging="764"/>
        <w:spacing w:after="0" w:line="263" w:lineRule="auto"/>
        <w:tabs>
          <w:tab w:leader="none" w:pos="764" w:val="left"/>
        </w:tabs>
        <w:numPr>
          <w:ilvl w:val="0"/>
          <w:numId w:val="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Audit fees consist of fees associated with the annual audit and reviews of our quarterly financial results submitted on Form 6-K, consultations on various accounting issues and performance of local statutory audits.</w:t>
      </w:r>
    </w:p>
    <w:p>
      <w:pPr>
        <w:spacing w:after="0" w:line="8" w:lineRule="exact"/>
        <w:rPr>
          <w:rFonts w:ascii="Times New Roman" w:cs="Times New Roman" w:eastAsia="Times New Roman" w:hAnsi="Times New Roman"/>
          <w:sz w:val="23"/>
          <w:szCs w:val="23"/>
          <w:color w:val="auto"/>
        </w:rPr>
      </w:pPr>
    </w:p>
    <w:p>
      <w:pPr>
        <w:ind w:left="764" w:right="140" w:hanging="764"/>
        <w:spacing w:after="0" w:line="275" w:lineRule="auto"/>
        <w:tabs>
          <w:tab w:leader="none" w:pos="764" w:val="left"/>
        </w:tabs>
        <w:numPr>
          <w:ilvl w:val="0"/>
          <w:numId w:val="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Audit-related services principally include Statement on the System and Organization Controls Report (SOC 1 Report) issuances and due diligence examinations.</w:t>
      </w:r>
    </w:p>
    <w:p>
      <w:pPr>
        <w:spacing w:after="0" w:line="1" w:lineRule="exact"/>
        <w:rPr>
          <w:rFonts w:ascii="Times New Roman" w:cs="Times New Roman" w:eastAsia="Times New Roman" w:hAnsi="Times New Roman"/>
          <w:sz w:val="23"/>
          <w:szCs w:val="23"/>
          <w:color w:val="auto"/>
        </w:rPr>
      </w:pPr>
    </w:p>
    <w:p>
      <w:pPr>
        <w:ind w:left="764" w:hanging="764"/>
        <w:spacing w:after="0"/>
        <w:tabs>
          <w:tab w:leader="none" w:pos="764" w:val="left"/>
        </w:tabs>
        <w:numPr>
          <w:ilvl w:val="0"/>
          <w:numId w:val="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Tax fees consist of fees associated with tax compliance, tax advice and tax planning services.</w:t>
      </w:r>
    </w:p>
    <w:p>
      <w:pPr>
        <w:spacing w:after="0" w:line="3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b w:val="1"/>
          <w:bCs w:val="1"/>
          <w:color w:val="auto"/>
        </w:rPr>
        <w:t>Resolution</w:t>
      </w:r>
    </w:p>
    <w:p>
      <w:pPr>
        <w:spacing w:after="0" w:line="158"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23"/>
          <w:szCs w:val="23"/>
          <w:color w:val="auto"/>
        </w:rPr>
        <w:t>It is proposed that the following ordinary resolution be adopted at the General Meeting:</w:t>
      </w:r>
    </w:p>
    <w:p>
      <w:pPr>
        <w:spacing w:after="0" w:line="218" w:lineRule="exact"/>
        <w:rPr>
          <w:sz w:val="20"/>
          <w:szCs w:val="20"/>
          <w:color w:val="auto"/>
        </w:rPr>
      </w:pPr>
    </w:p>
    <w:p>
      <w:pPr>
        <w:ind w:left="4" w:right="300" w:firstLine="661"/>
        <w:spacing w:after="0" w:line="254" w:lineRule="auto"/>
        <w:rPr>
          <w:sz w:val="20"/>
          <w:szCs w:val="20"/>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RESOLVED</w:t>
      </w:r>
      <w:r>
        <w:rPr>
          <w:rFonts w:ascii="Times New Roman" w:cs="Times New Roman" w:eastAsia="Times New Roman" w:hAnsi="Times New Roman"/>
          <w:sz w:val="23"/>
          <w:szCs w:val="23"/>
          <w:color w:val="auto"/>
        </w:rPr>
        <w:t>, that (i) the appointment of Ernst &amp; Young LLP as Amdocs Limited’s independent registered public accounting firm for the fiscal year ending September 30, 2021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2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b w:val="1"/>
          <w:bCs w:val="1"/>
          <w:color w:val="auto"/>
        </w:rPr>
        <w:t>Required Affirmative Vote</w:t>
      </w:r>
    </w:p>
    <w:p>
      <w:pPr>
        <w:spacing w:after="0" w:line="158" w:lineRule="exact"/>
        <w:rPr>
          <w:sz w:val="20"/>
          <w:szCs w:val="20"/>
          <w:color w:val="auto"/>
        </w:rPr>
      </w:pPr>
    </w:p>
    <w:p>
      <w:pPr>
        <w:ind w:left="4" w:right="180" w:firstLine="661"/>
        <w:spacing w:after="0" w:line="263" w:lineRule="auto"/>
        <w:rPr>
          <w:sz w:val="20"/>
          <w:szCs w:val="20"/>
          <w:color w:val="auto"/>
        </w:rPr>
      </w:pPr>
      <w:r>
        <w:rPr>
          <w:rFonts w:ascii="Times New Roman" w:cs="Times New Roman" w:eastAsia="Times New Roman" w:hAnsi="Times New Roman"/>
          <w:sz w:val="23"/>
          <w:szCs w:val="23"/>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53"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23"/>
          <w:szCs w:val="23"/>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ectPr>
          <w:pgSz w:w="11900" w:h="16838" w:orient="portrait"/>
          <w:cols w:equalWidth="0" w:num="1">
            <w:col w:w="10984"/>
          </w:cols>
          <w:pgMar w:left="436" w:top="252" w:right="479" w:bottom="1440" w:gutter="0" w:footer="0" w:header="0"/>
        </w:sectPr>
      </w:pPr>
    </w:p>
    <w:p>
      <w:pPr>
        <w:spacing w:after="0" w:line="10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23"/>
          <w:szCs w:val="23"/>
          <w:color w:val="auto"/>
        </w:rPr>
        <w:t>18</w:t>
      </w:r>
    </w:p>
    <w:p>
      <w:pPr>
        <w:sectPr>
          <w:pgSz w:w="11900" w:h="16838" w:orient="portrait"/>
          <w:cols w:equalWidth="0" w:num="1">
            <w:col w:w="10984"/>
          </w:cols>
          <w:pgMar w:left="436" w:top="252" w:right="479" w:bottom="1440" w:gutter="0" w:footer="0" w:header="0"/>
          <w:type w:val="continuous"/>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Other Matters</w:t>
      </w:r>
    </w:p>
    <w:p>
      <w:pPr>
        <w:spacing w:after="0" w:line="158" w:lineRule="exact"/>
        <w:rPr>
          <w:sz w:val="20"/>
          <w:szCs w:val="20"/>
          <w:color w:val="auto"/>
        </w:rPr>
      </w:pPr>
    </w:p>
    <w:p>
      <w:pPr>
        <w:jc w:val="both"/>
        <w:ind w:right="20" w:firstLine="661"/>
        <w:spacing w:after="0" w:line="263" w:lineRule="auto"/>
        <w:rPr>
          <w:sz w:val="20"/>
          <w:szCs w:val="20"/>
          <w:color w:val="auto"/>
        </w:rPr>
      </w:pPr>
      <w:r>
        <w:rPr>
          <w:rFonts w:ascii="Times New Roman" w:cs="Times New Roman" w:eastAsia="Times New Roman" w:hAnsi="Times New Roman"/>
          <w:sz w:val="23"/>
          <w:szCs w:val="23"/>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Annual Report on Form 20-F</w:t>
      </w:r>
    </w:p>
    <w:p>
      <w:pPr>
        <w:spacing w:after="0" w:line="145" w:lineRule="exact"/>
        <w:rPr>
          <w:sz w:val="20"/>
          <w:szCs w:val="20"/>
          <w:color w:val="auto"/>
        </w:rPr>
      </w:pPr>
    </w:p>
    <w:p>
      <w:pPr>
        <w:ind w:firstLine="661"/>
        <w:spacing w:after="0" w:line="254" w:lineRule="auto"/>
        <w:rPr>
          <w:sz w:val="20"/>
          <w:szCs w:val="20"/>
          <w:color w:val="auto"/>
        </w:rPr>
      </w:pPr>
      <w:r>
        <w:rPr>
          <w:rFonts w:ascii="Times New Roman" w:cs="Times New Roman" w:eastAsia="Times New Roman" w:hAnsi="Times New Roman"/>
          <w:sz w:val="23"/>
          <w:szCs w:val="23"/>
          <w:color w:val="auto"/>
        </w:rPr>
        <w:t>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website located at http://www.sec.gov as well as on our website at www.amdocs.com. Requests for copies of our Annual Report on Form 20-F should be provided to our principal U.S. subsidiary at: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Amdocs,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1390 Timberlake Manor Parkway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Chesterfield, Missouri 63017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E-mail: dox_info@amdocs.com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Attention: Mr. Matthew E. Smith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Secretary</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Expenses of Solicitation</w:t>
      </w:r>
    </w:p>
    <w:p>
      <w:pPr>
        <w:spacing w:after="0" w:line="158" w:lineRule="exact"/>
        <w:rPr>
          <w:sz w:val="20"/>
          <w:szCs w:val="20"/>
          <w:color w:val="auto"/>
        </w:rPr>
      </w:pPr>
    </w:p>
    <w:p>
      <w:pPr>
        <w:ind w:right="60" w:firstLine="661"/>
        <w:spacing w:after="0" w:line="251" w:lineRule="auto"/>
        <w:rPr>
          <w:sz w:val="20"/>
          <w:szCs w:val="20"/>
          <w:color w:val="auto"/>
        </w:rPr>
      </w:pPr>
      <w:r>
        <w:rPr>
          <w:rFonts w:ascii="Times New Roman" w:cs="Times New Roman" w:eastAsia="Times New Roman" w:hAnsi="Times New Roman"/>
          <w:sz w:val="23"/>
          <w:szCs w:val="23"/>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D.F. King &amp; Co., Inc. to assist in the solicitation of proxies. We will also reimburse brokerage houses and other custodians, nominees and fiduciaries for their expenses in accordance with Nasdaq rules concerning the sending of proxies and proxy materials to the beneficial owners of our ordinary shares.</w:t>
      </w:r>
    </w:p>
    <w:p>
      <w:pPr>
        <w:spacing w:after="0" w:line="7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3"/>
          <w:szCs w:val="23"/>
          <w:color w:val="auto"/>
        </w:rPr>
        <w:t>BY ORDER OF THE BOARD OF</w:t>
      </w:r>
    </w:p>
    <w:p>
      <w:pPr>
        <w:spacing w:after="0" w:line="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3"/>
          <w:szCs w:val="23"/>
          <w:color w:val="auto"/>
        </w:rPr>
        <w:t>DIRECTORS</w:t>
      </w:r>
    </w:p>
    <w:p>
      <w:pPr>
        <w:spacing w:after="0" w:line="19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3"/>
          <w:szCs w:val="23"/>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23495</wp:posOffset>
            </wp:positionV>
            <wp:extent cx="25114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3"/>
          <w:szCs w:val="23"/>
          <w:color w:val="auto"/>
        </w:rPr>
        <w:t>Name: Matthew E. Smith</w:t>
      </w:r>
    </w:p>
    <w:p>
      <w:pPr>
        <w:spacing w:after="0" w:line="24"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3"/>
          <w:szCs w:val="23"/>
          <w:color w:val="auto"/>
        </w:rPr>
        <w:t>Title: Secretary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December 23, 2020</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color w:val="auto"/>
        </w:rPr>
        <w:t>19</w:t>
      </w:r>
    </w:p>
    <w:p>
      <w:pPr>
        <w:sectPr>
          <w:pgSz w:w="11900" w:h="16838" w:orient="portrait"/>
          <w:cols w:equalWidth="0" w:num="1">
            <w:col w:w="11000"/>
          </w:cols>
          <w:pgMar w:left="440" w:top="252" w:right="45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3"/>
          <w:szCs w:val="23"/>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CATEGORICAL STANDARDS</w:t>
      </w:r>
    </w:p>
    <w:p>
      <w:pPr>
        <w:spacing w:after="0" w:line="226" w:lineRule="exact"/>
        <w:rPr>
          <w:sz w:val="20"/>
          <w:szCs w:val="20"/>
          <w:color w:val="auto"/>
        </w:rPr>
      </w:pPr>
    </w:p>
    <w:p>
      <w:pPr>
        <w:ind w:right="60" w:firstLine="661"/>
        <w:spacing w:after="0" w:line="257" w:lineRule="auto"/>
        <w:rPr>
          <w:sz w:val="20"/>
          <w:szCs w:val="20"/>
          <w:color w:val="auto"/>
        </w:rPr>
      </w:pPr>
      <w:r>
        <w:rPr>
          <w:rFonts w:ascii="Times New Roman" w:cs="Times New Roman" w:eastAsia="Times New Roman" w:hAnsi="Times New Roman"/>
          <w:sz w:val="23"/>
          <w:szCs w:val="23"/>
          <w:color w:val="auto"/>
        </w:rPr>
        <w:t>In addition to applying the requirements under the NASDAQ rules, the Board has adopted guidelines to assist it in determining whether a director has a relationship that would interfere with the exercise of independent judgment in carrying out the responsibilities of a director. Under these guidelines, a director will be considered to have such a relationship if during the last three years prior to the independence determination date:</w:t>
      </w:r>
    </w:p>
    <w:p>
      <w:pPr>
        <w:spacing w:after="0" w:line="11" w:lineRule="exact"/>
        <w:rPr>
          <w:sz w:val="20"/>
          <w:szCs w:val="20"/>
          <w:color w:val="auto"/>
        </w:rPr>
      </w:pPr>
    </w:p>
    <w:p>
      <w:pPr>
        <w:ind w:left="1200" w:right="60" w:hanging="435"/>
        <w:spacing w:after="0" w:line="258" w:lineRule="auto"/>
        <w:tabs>
          <w:tab w:leader="none" w:pos="1200" w:val="left"/>
        </w:tabs>
        <w:numPr>
          <w:ilvl w:val="0"/>
          <w:numId w:val="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Charitable Contributions</w:t>
      </w:r>
      <w:r>
        <w:rPr>
          <w:rFonts w:ascii="Times New Roman" w:cs="Times New Roman" w:eastAsia="Times New Roman" w:hAnsi="Times New Roman"/>
          <w:sz w:val="23"/>
          <w:szCs w:val="23"/>
          <w:color w:val="auto"/>
        </w:rPr>
        <w:t>. The director, or an immediate family member of the director, has served as an</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executive officer of a charitable organization that receives payments from the Company in an amount which, in any single fiscal year since the determination date, exceeds the greater of $200,000, or 5% of such charitable organization’s revenues;</w:t>
      </w:r>
    </w:p>
    <w:p>
      <w:pPr>
        <w:spacing w:after="0" w:line="10" w:lineRule="exact"/>
        <w:rPr>
          <w:rFonts w:ascii="Times New Roman" w:cs="Times New Roman" w:eastAsia="Times New Roman" w:hAnsi="Times New Roman"/>
          <w:sz w:val="23"/>
          <w:szCs w:val="23"/>
          <w:color w:val="auto"/>
        </w:rPr>
      </w:pPr>
    </w:p>
    <w:p>
      <w:pPr>
        <w:ind w:left="1200" w:right="220" w:hanging="435"/>
        <w:spacing w:after="0" w:line="254" w:lineRule="auto"/>
        <w:tabs>
          <w:tab w:leader="none" w:pos="1200" w:val="left"/>
        </w:tabs>
        <w:numPr>
          <w:ilvl w:val="0"/>
          <w:numId w:val="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Indebtedness</w:t>
      </w:r>
      <w:r>
        <w:rPr>
          <w:rFonts w:ascii="Times New Roman" w:cs="Times New Roman" w:eastAsia="Times New Roman" w:hAnsi="Times New Roman"/>
          <w:sz w:val="23"/>
          <w:szCs w:val="23"/>
          <w:color w:val="auto"/>
        </w:rPr>
        <w:t>. The director or an immediate family member of the director has served, as an executive</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officer of another company which was 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revenues;</w:t>
      </w:r>
    </w:p>
    <w:p>
      <w:pPr>
        <w:spacing w:after="0" w:line="170" w:lineRule="exact"/>
        <w:rPr>
          <w:sz w:val="20"/>
          <w:szCs w:val="20"/>
          <w:color w:val="auto"/>
        </w:rPr>
      </w:pPr>
    </w:p>
    <w:p>
      <w:pPr>
        <w:ind w:right="40" w:firstLine="661"/>
        <w:spacing w:after="0" w:line="257" w:lineRule="auto"/>
        <w:rPr>
          <w:sz w:val="20"/>
          <w:szCs w:val="20"/>
          <w:color w:val="auto"/>
        </w:rPr>
      </w:pPr>
      <w:r>
        <w:rPr>
          <w:rFonts w:ascii="Times New Roman" w:cs="Times New Roman" w:eastAsia="Times New Roman" w:hAnsi="Times New Roman"/>
          <w:sz w:val="23"/>
          <w:szCs w:val="23"/>
          <w:color w:val="auto"/>
        </w:rPr>
        <w:t>For purposes of the above standards: (i) “COMPANY” includes Amdocs Limited and any parent or subsidiary that would be required under U.S. generally accepted accounting principles to prepare financial statements on a consolidated basis; and (ii) “IMMEDIATE FAMILY MEMBER” includes a person’s spouse, parents, children, and siblings, whether by blood, marriage, or adoption, or anyone residing in such person’s home.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A-1</w:t>
      </w:r>
    </w:p>
    <w:p>
      <w:pPr>
        <w:sectPr>
          <w:pgSz w:w="11900" w:h="16838" w:orient="portrait"/>
          <w:cols w:equalWidth="0" w:num="1">
            <w:col w:w="11020"/>
          </w:cols>
          <w:pgMar w:left="440" w:top="252" w:right="439" w:bottom="1440" w:gutter="0" w:footer="0" w:header="0"/>
        </w:sectPr>
      </w:pPr>
    </w:p>
    <w:bookmarkStart w:id="27" w:name="page28"/>
    <w:bookmarkEnd w:id="2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January 29, 2021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NOTICE OF INTERNET AVAILABILITY OF PROXY MATERIAL</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The Notice of Meeting, Proxy Statement, Proxy Card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are available at www.amdocs.com/proxy</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Please sign, date and mail</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your proxy card in the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envelope provided as soon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possible.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 Please detach along perforated line and mail in the envelope provided. i</w:t>
      </w:r>
    </w:p>
    <w:p>
      <w:pPr>
        <w:spacing w:after="0" w:line="2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w:t>
      </w:r>
    </w:p>
    <w:p>
      <w:pPr>
        <w:spacing w:after="0" w:line="6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AMDOCS’ BOARD OF DIRECTORS RECOMMENDS A VOTE “FOR” THE ELECTION OF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3"/>
        <w:spacing w:after="0" w:line="229" w:lineRule="auto"/>
        <w:rPr>
          <w:sz w:val="20"/>
          <w:szCs w:val="20"/>
          <w:color w:val="auto"/>
        </w:rPr>
      </w:pPr>
      <w:r>
        <w:rPr>
          <w:rFonts w:ascii="Times New Roman" w:cs="Times New Roman" w:eastAsia="Times New Roman" w:hAnsi="Times New Roman"/>
          <w:sz w:val="14"/>
          <w:szCs w:val="14"/>
          <w:b w:val="1"/>
          <w:bCs w:val="1"/>
          <w:color w:val="auto"/>
        </w:rPr>
        <w:t>DIRECTOR NOMINEES</w:t>
      </w:r>
    </w:p>
    <w:p>
      <w:pPr>
        <w:jc w:val="center"/>
        <w:ind w:right="16"/>
        <w:spacing w:after="0" w:line="221" w:lineRule="auto"/>
        <w:rPr>
          <w:sz w:val="20"/>
          <w:szCs w:val="20"/>
          <w:color w:val="auto"/>
        </w:rPr>
      </w:pPr>
      <w:r>
        <w:rPr>
          <w:rFonts w:ascii="Times New Roman" w:cs="Times New Roman" w:eastAsia="Times New Roman" w:hAnsi="Times New Roman"/>
          <w:sz w:val="14"/>
          <w:szCs w:val="14"/>
          <w:b w:val="1"/>
          <w:bCs w:val="1"/>
          <w:color w:val="auto"/>
        </w:rPr>
        <w:t>AND A VOTE “FOR” PROPOSALS 2, 3 AND 4</w:t>
      </w:r>
    </w:p>
    <w:p>
      <w:pPr>
        <w:jc w:val="center"/>
        <w:ind w:right="-3"/>
        <w:spacing w:after="0" w:line="222" w:lineRule="auto"/>
        <w:rPr>
          <w:sz w:val="20"/>
          <w:szCs w:val="20"/>
          <w:color w:val="auto"/>
        </w:rPr>
      </w:pPr>
      <w:r>
        <w:rPr>
          <w:rFonts w:ascii="Times New Roman" w:cs="Times New Roman" w:eastAsia="Times New Roman" w:hAnsi="Times New Roman"/>
          <w:sz w:val="14"/>
          <w:szCs w:val="14"/>
          <w:b w:val="1"/>
          <w:bCs w:val="1"/>
          <w:color w:val="auto"/>
        </w:rPr>
        <w:t>PLEASE SIGN, DATE AND RETURN PROMPTLY IN THE ENCLOSED ENVELOPE. PLEASE MARK YOUR VOTE</w:t>
      </w:r>
    </w:p>
    <w:p>
      <w:pPr>
        <w:jc w:val="center"/>
        <w:ind w:right="-3"/>
        <w:spacing w:after="0" w:line="233" w:lineRule="auto"/>
        <w:rPr>
          <w:sz w:val="20"/>
          <w:szCs w:val="20"/>
          <w:color w:val="auto"/>
        </w:rPr>
      </w:pPr>
      <w:r>
        <w:rPr>
          <w:rFonts w:ascii="Times New Roman" w:cs="Times New Roman" w:eastAsia="Times New Roman" w:hAnsi="Times New Roman"/>
          <w:sz w:val="14"/>
          <w:szCs w:val="14"/>
          <w:b w:val="1"/>
          <w:bCs w:val="1"/>
          <w:color w:val="auto"/>
        </w:rPr>
        <w:t>IN BLUE OR BLACK INK AS</w:t>
      </w:r>
    </w:p>
    <w:p>
      <w:pPr>
        <w:spacing w:after="0" w:line="1" w:lineRule="exact"/>
        <w:rPr>
          <w:sz w:val="20"/>
          <w:szCs w:val="20"/>
          <w:color w:val="auto"/>
        </w:rPr>
      </w:pPr>
    </w:p>
    <w:p>
      <w:pPr>
        <w:jc w:val="center"/>
        <w:ind w:right="16"/>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SHOWN HERE </w:t>
      </w:r>
      <w:r>
        <w:rPr>
          <w:rFonts w:ascii="MS PGothic" w:cs="MS PGothic" w:eastAsia="MS PGothic" w:hAnsi="MS PGothic"/>
          <w:sz w:val="14"/>
          <w:szCs w:val="14"/>
          <w:color w:val="auto"/>
        </w:rPr>
        <w:t>☒</w:t>
      </w:r>
    </w:p>
    <w:p>
      <w:pPr>
        <w:spacing w:after="0" w:line="27" w:lineRule="exact"/>
        <w:rPr>
          <w:sz w:val="20"/>
          <w:szCs w:val="20"/>
          <w:color w:val="auto"/>
        </w:rPr>
      </w:pPr>
    </w:p>
    <w:tbl>
      <w:tblPr>
        <w:tblLayout w:type="fixed"/>
        <w:tblInd w:w="4" w:type="dxa"/>
        <w:tblCellMar>
          <w:top w:w="0" w:type="dxa"/>
          <w:left w:w="0" w:type="dxa"/>
          <w:bottom w:w="0" w:type="dxa"/>
          <w:right w:w="0" w:type="dxa"/>
        </w:tblCellMar>
      </w:tblPr>
      <w:tr>
        <w:trPr>
          <w:trHeight w:val="119"/>
        </w:trPr>
        <w:tc>
          <w:tcPr>
            <w:tcW w:w="2060" w:type="dxa"/>
            <w:vAlign w:val="bottom"/>
            <w:tcBorders>
              <w:top w:val="single" w:sz="8" w:color="auto"/>
            </w:tcBorders>
            <w:gridSpan w:val="2"/>
          </w:tcPr>
          <w:p>
            <w:pPr>
              <w:ind w:left="360"/>
              <w:spacing w:after="0" w:line="119" w:lineRule="exact"/>
              <w:rPr>
                <w:sz w:val="20"/>
                <w:szCs w:val="20"/>
                <w:color w:val="auto"/>
              </w:rPr>
            </w:pPr>
            <w:r>
              <w:rPr>
                <w:rFonts w:ascii="Times New Roman" w:cs="Times New Roman" w:eastAsia="Times New Roman" w:hAnsi="Times New Roman"/>
                <w:sz w:val="13"/>
                <w:szCs w:val="13"/>
                <w:color w:val="auto"/>
              </w:rPr>
              <w:t>1. ELECTION OF</w:t>
            </w:r>
          </w:p>
        </w:tc>
        <w:tc>
          <w:tcPr>
            <w:tcW w:w="580" w:type="dxa"/>
            <w:vAlign w:val="bottom"/>
            <w:tcBorders>
              <w:top w:val="single" w:sz="8" w:color="auto"/>
            </w:tcBorders>
          </w:tcPr>
          <w:p>
            <w:pPr>
              <w:jc w:val="center"/>
              <w:ind w:left="29"/>
              <w:spacing w:after="0" w:line="119" w:lineRule="exact"/>
              <w:rPr>
                <w:sz w:val="20"/>
                <w:szCs w:val="20"/>
                <w:color w:val="auto"/>
              </w:rPr>
            </w:pPr>
            <w:r>
              <w:rPr>
                <w:rFonts w:ascii="Times New Roman" w:cs="Times New Roman" w:eastAsia="Times New Roman" w:hAnsi="Times New Roman"/>
                <w:sz w:val="13"/>
                <w:szCs w:val="13"/>
                <w:color w:val="auto"/>
              </w:rPr>
              <w:t>FOR</w:t>
            </w:r>
          </w:p>
        </w:tc>
        <w:tc>
          <w:tcPr>
            <w:tcW w:w="8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AGAINST</w:t>
            </w:r>
          </w:p>
        </w:tc>
        <w:tc>
          <w:tcPr>
            <w:tcW w:w="840" w:type="dxa"/>
            <w:vAlign w:val="bottom"/>
            <w:tcBorders>
              <w:top w:val="single" w:sz="8" w:color="auto"/>
              <w:right w:val="single" w:sz="8" w:color="auto"/>
            </w:tcBorders>
            <w:gridSpan w:val="3"/>
          </w:tcPr>
          <w:p>
            <w:pPr>
              <w:jc w:val="center"/>
              <w:spacing w:after="0" w:line="119" w:lineRule="exact"/>
              <w:rPr>
                <w:sz w:val="20"/>
                <w:szCs w:val="20"/>
                <w:color w:val="auto"/>
              </w:rPr>
            </w:pPr>
            <w:r>
              <w:rPr>
                <w:rFonts w:ascii="Times New Roman" w:cs="Times New Roman" w:eastAsia="Times New Roman" w:hAnsi="Times New Roman"/>
                <w:sz w:val="13"/>
                <w:szCs w:val="13"/>
                <w:color w:val="auto"/>
              </w:rPr>
              <w:t>ABSTAIN</w:t>
            </w: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center"/>
              <w:ind w:right="20"/>
              <w:spacing w:after="0" w:line="119" w:lineRule="exact"/>
              <w:rPr>
                <w:sz w:val="20"/>
                <w:szCs w:val="20"/>
                <w:color w:val="auto"/>
              </w:rPr>
            </w:pPr>
            <w:r>
              <w:rPr>
                <w:rFonts w:ascii="Times New Roman" w:cs="Times New Roman" w:eastAsia="Times New Roman" w:hAnsi="Times New Roman"/>
                <w:sz w:val="13"/>
                <w:szCs w:val="13"/>
                <w:color w:val="auto"/>
              </w:rPr>
              <w:t>FOR</w:t>
            </w:r>
          </w:p>
        </w:tc>
        <w:tc>
          <w:tcPr>
            <w:tcW w:w="82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AGAINST</w:t>
            </w:r>
          </w:p>
        </w:tc>
        <w:tc>
          <w:tcPr>
            <w:tcW w:w="7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ABSTAIN</w:t>
            </w:r>
          </w:p>
        </w:tc>
        <w:tc>
          <w:tcPr>
            <w:tcW w:w="0" w:type="dxa"/>
            <w:vAlign w:val="bottom"/>
          </w:tcPr>
          <w:p>
            <w:pPr>
              <w:spacing w:after="0"/>
              <w:rPr>
                <w:sz w:val="1"/>
                <w:szCs w:val="1"/>
                <w:color w:val="auto"/>
              </w:rPr>
            </w:pPr>
          </w:p>
        </w:tc>
      </w:tr>
      <w:tr>
        <w:trPr>
          <w:trHeight w:val="148"/>
        </w:trPr>
        <w:tc>
          <w:tcPr>
            <w:tcW w:w="20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DIRECTORS:</w:t>
            </w:r>
          </w:p>
        </w:tc>
        <w:tc>
          <w:tcPr>
            <w:tcW w:w="580" w:type="dxa"/>
            <w:vAlign w:val="bottom"/>
            <w:vMerge w:val="restart"/>
          </w:tcPr>
          <w:p>
            <w:pPr>
              <w:jc w:val="center"/>
              <w:ind w:left="9"/>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2"/>
                <w:szCs w:val="12"/>
                <w:color w:val="auto"/>
              </w:rPr>
            </w:pPr>
          </w:p>
        </w:tc>
        <w:tc>
          <w:tcPr>
            <w:tcW w:w="3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60" w:type="dxa"/>
            <w:vAlign w:val="bottom"/>
            <w:gridSpan w:val="2"/>
            <w:vMerge w:val="restart"/>
          </w:tcPr>
          <w:p>
            <w:pPr>
              <w:jc w:val="center"/>
              <w:ind w:right="40"/>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gridSpan w:val="2"/>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58"/>
        </w:trPr>
        <w:tc>
          <w:tcPr>
            <w:tcW w:w="2060" w:type="dxa"/>
            <w:vAlign w:val="bottom"/>
            <w:gridSpan w:val="2"/>
          </w:tcPr>
          <w:p>
            <w:pPr>
              <w:ind w:left="360"/>
              <w:spacing w:after="0" w:line="158" w:lineRule="exact"/>
              <w:rPr>
                <w:sz w:val="20"/>
                <w:szCs w:val="20"/>
                <w:color w:val="auto"/>
              </w:rPr>
            </w:pPr>
            <w:r>
              <w:rPr>
                <w:rFonts w:ascii="Times New Roman" w:cs="Times New Roman" w:eastAsia="Times New Roman" w:hAnsi="Times New Roman"/>
                <w:sz w:val="14"/>
                <w:szCs w:val="14"/>
                <w:color w:val="auto"/>
              </w:rPr>
              <w:t>Robert A. Minicucci</w:t>
            </w:r>
          </w:p>
        </w:tc>
        <w:tc>
          <w:tcPr>
            <w:tcW w:w="5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3"/>
                <w:szCs w:val="13"/>
                <w:color w:val="auto"/>
              </w:rPr>
            </w:pPr>
          </w:p>
        </w:tc>
        <w:tc>
          <w:tcPr>
            <w:tcW w:w="4320" w:type="dxa"/>
            <w:vAlign w:val="bottom"/>
            <w:gridSpan w:val="3"/>
          </w:tcPr>
          <w:p>
            <w:pPr>
              <w:ind w:left="120"/>
              <w:spacing w:after="0" w:line="158" w:lineRule="exact"/>
              <w:rPr>
                <w:sz w:val="20"/>
                <w:szCs w:val="20"/>
                <w:color w:val="auto"/>
              </w:rPr>
            </w:pPr>
            <w:r>
              <w:rPr>
                <w:rFonts w:ascii="Times New Roman" w:cs="Times New Roman" w:eastAsia="Times New Roman" w:hAnsi="Times New Roman"/>
                <w:sz w:val="14"/>
                <w:szCs w:val="14"/>
                <w:color w:val="auto"/>
              </w:rPr>
              <w:t>To approve an increase in the dividend rate under our quarterly cash</w:t>
            </w:r>
          </w:p>
        </w:tc>
        <w:tc>
          <w:tcPr>
            <w:tcW w:w="46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60" w:type="dxa"/>
            <w:vAlign w:val="bottom"/>
            <w:gridSpan w:val="2"/>
          </w:tcPr>
          <w:p>
            <w:pPr>
              <w:ind w:left="360"/>
              <w:spacing w:after="0" w:line="155" w:lineRule="exact"/>
              <w:rPr>
                <w:sz w:val="20"/>
                <w:szCs w:val="20"/>
                <w:color w:val="auto"/>
              </w:rPr>
            </w:pPr>
            <w:r>
              <w:rPr>
                <w:rFonts w:ascii="Times New Roman" w:cs="Times New Roman" w:eastAsia="Times New Roman" w:hAnsi="Times New Roman"/>
                <w:sz w:val="14"/>
                <w:szCs w:val="14"/>
                <w:color w:val="auto"/>
              </w:rPr>
              <w:t>Adrian Gardner</w:t>
            </w:r>
          </w:p>
        </w:tc>
        <w:tc>
          <w:tcPr>
            <w:tcW w:w="580" w:type="dxa"/>
            <w:vAlign w:val="bottom"/>
          </w:tcPr>
          <w:p>
            <w:pPr>
              <w:jc w:val="center"/>
              <w:ind w:left="9"/>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3"/>
                <w:szCs w:val="13"/>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2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4"/>
                <w:szCs w:val="14"/>
                <w:color w:val="auto"/>
              </w:rPr>
              <w:t>dividend program from $0.3275 per share to $0.36 per share (Proposal</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James S. Kahan</w:t>
            </w:r>
          </w:p>
        </w:tc>
        <w:tc>
          <w:tcPr>
            <w:tcW w:w="580" w:type="dxa"/>
            <w:vAlign w:val="bottom"/>
            <w:vMerge w:val="restart"/>
          </w:tcPr>
          <w:p>
            <w:pPr>
              <w:jc w:val="center"/>
              <w:ind w:left="9"/>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6"/>
                <w:szCs w:val="16"/>
                <w:color w:val="auto"/>
              </w:rPr>
            </w:pPr>
          </w:p>
        </w:tc>
        <w:tc>
          <w:tcPr>
            <w:tcW w:w="3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II)</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20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Rafael de la Vega</w:t>
            </w:r>
          </w:p>
        </w:tc>
        <w:tc>
          <w:tcPr>
            <w:tcW w:w="580" w:type="dxa"/>
            <w:vAlign w:val="bottom"/>
          </w:tcPr>
          <w:p>
            <w:pPr>
              <w:jc w:val="center"/>
              <w:ind w:left="9"/>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4"/>
                <w:szCs w:val="14"/>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 approve our Consolidated Financial Statements for the fiscal year</w:t>
            </w:r>
          </w:p>
        </w:tc>
        <w:tc>
          <w:tcPr>
            <w:tcW w:w="460" w:type="dxa"/>
            <w:vAlign w:val="bottom"/>
            <w:gridSpan w:val="2"/>
          </w:tcPr>
          <w:p>
            <w:pPr>
              <w:jc w:val="center"/>
              <w:ind w:right="40"/>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55"/>
        </w:trPr>
        <w:tc>
          <w:tcPr>
            <w:tcW w:w="2060" w:type="dxa"/>
            <w:vAlign w:val="bottom"/>
            <w:gridSpan w:val="2"/>
          </w:tcPr>
          <w:p>
            <w:pPr>
              <w:ind w:left="360"/>
              <w:spacing w:after="0" w:line="155" w:lineRule="exact"/>
              <w:rPr>
                <w:sz w:val="20"/>
                <w:szCs w:val="20"/>
                <w:color w:val="auto"/>
              </w:rPr>
            </w:pPr>
            <w:r>
              <w:rPr>
                <w:rFonts w:ascii="Times New Roman" w:cs="Times New Roman" w:eastAsia="Times New Roman" w:hAnsi="Times New Roman"/>
                <w:sz w:val="14"/>
                <w:szCs w:val="14"/>
                <w:color w:val="auto"/>
              </w:rPr>
              <w:t>Giora Yaron</w:t>
            </w:r>
          </w:p>
        </w:tc>
        <w:tc>
          <w:tcPr>
            <w:tcW w:w="580" w:type="dxa"/>
            <w:vAlign w:val="bottom"/>
          </w:tcPr>
          <w:p>
            <w:pPr>
              <w:jc w:val="center"/>
              <w:ind w:left="9"/>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3"/>
                <w:szCs w:val="13"/>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2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4"/>
                <w:szCs w:val="14"/>
                <w:color w:val="auto"/>
              </w:rPr>
              <w:t>ended September 30, 2020 (Proposal III).</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Eli Gelman</w:t>
            </w:r>
          </w:p>
        </w:tc>
        <w:tc>
          <w:tcPr>
            <w:tcW w:w="580" w:type="dxa"/>
            <w:vAlign w:val="bottom"/>
          </w:tcPr>
          <w:p>
            <w:pPr>
              <w:jc w:val="center"/>
              <w:ind w:left="9"/>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8"/>
                <w:szCs w:val="18"/>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Richard T.C. LeFave</w:t>
            </w:r>
          </w:p>
        </w:tc>
        <w:tc>
          <w:tcPr>
            <w:tcW w:w="580" w:type="dxa"/>
            <w:vAlign w:val="bottom"/>
          </w:tcPr>
          <w:p>
            <w:pPr>
              <w:jc w:val="center"/>
              <w:ind w:left="9"/>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4"/>
                <w:szCs w:val="14"/>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 ratify and approve the appointment of Ernst &amp; Young LLP as our</w:t>
            </w:r>
          </w:p>
        </w:tc>
        <w:tc>
          <w:tcPr>
            <w:tcW w:w="460" w:type="dxa"/>
            <w:vAlign w:val="bottom"/>
            <w:gridSpan w:val="2"/>
          </w:tcPr>
          <w:p>
            <w:pPr>
              <w:jc w:val="center"/>
              <w:ind w:right="40"/>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55"/>
        </w:trPr>
        <w:tc>
          <w:tcPr>
            <w:tcW w:w="2060" w:type="dxa"/>
            <w:vAlign w:val="bottom"/>
            <w:gridSpan w:val="2"/>
          </w:tcPr>
          <w:p>
            <w:pPr>
              <w:ind w:left="360"/>
              <w:spacing w:after="0" w:line="155" w:lineRule="exact"/>
              <w:rPr>
                <w:sz w:val="20"/>
                <w:szCs w:val="20"/>
                <w:color w:val="auto"/>
              </w:rPr>
            </w:pPr>
            <w:r>
              <w:rPr>
                <w:rFonts w:ascii="Times New Roman" w:cs="Times New Roman" w:eastAsia="Times New Roman" w:hAnsi="Times New Roman"/>
                <w:sz w:val="14"/>
                <w:szCs w:val="14"/>
                <w:color w:val="auto"/>
              </w:rPr>
              <w:t>John A. MacDonald</w:t>
            </w:r>
          </w:p>
        </w:tc>
        <w:tc>
          <w:tcPr>
            <w:tcW w:w="580" w:type="dxa"/>
            <w:vAlign w:val="bottom"/>
          </w:tcPr>
          <w:p>
            <w:pPr>
              <w:jc w:val="center"/>
              <w:ind w:left="9"/>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3"/>
                <w:szCs w:val="13"/>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2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4"/>
                <w:szCs w:val="14"/>
                <w:color w:val="auto"/>
              </w:rPr>
              <w:t>independent registered public accounting firm for the fiscal year ending</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Shuky Sheffer</w:t>
            </w:r>
          </w:p>
        </w:tc>
        <w:tc>
          <w:tcPr>
            <w:tcW w:w="580" w:type="dxa"/>
            <w:vAlign w:val="bottom"/>
          </w:tcPr>
          <w:p>
            <w:pPr>
              <w:jc w:val="center"/>
              <w:ind w:left="9"/>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2"/>
                <w:szCs w:val="12"/>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3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September 30, 2021, and until the next annual general meeting, and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60" w:type="dxa"/>
            <w:vAlign w:val="bottom"/>
            <w:gridSpan w:val="2"/>
          </w:tcPr>
          <w:p>
            <w:pPr>
              <w:ind w:left="360"/>
              <w:spacing w:after="0" w:line="133" w:lineRule="exact"/>
              <w:rPr>
                <w:sz w:val="20"/>
                <w:szCs w:val="20"/>
                <w:color w:val="auto"/>
              </w:rPr>
            </w:pPr>
            <w:r>
              <w:rPr>
                <w:rFonts w:ascii="Times New Roman" w:cs="Times New Roman" w:eastAsia="Times New Roman" w:hAnsi="Times New Roman"/>
                <w:sz w:val="14"/>
                <w:szCs w:val="14"/>
                <w:color w:val="auto"/>
              </w:rPr>
              <w:t>Yvette Kanouff</w:t>
            </w:r>
          </w:p>
        </w:tc>
        <w:tc>
          <w:tcPr>
            <w:tcW w:w="580" w:type="dxa"/>
            <w:vAlign w:val="bottom"/>
            <w:vMerge w:val="restart"/>
          </w:tcPr>
          <w:p>
            <w:pPr>
              <w:jc w:val="center"/>
              <w:ind w:left="9"/>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1"/>
                <w:szCs w:val="11"/>
                <w:color w:val="auto"/>
              </w:rPr>
            </w:pPr>
          </w:p>
        </w:tc>
        <w:tc>
          <w:tcPr>
            <w:tcW w:w="3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20" w:type="dxa"/>
            <w:vAlign w:val="bottom"/>
            <w:gridSpan w:val="3"/>
          </w:tcPr>
          <w:p>
            <w:pPr>
              <w:ind w:left="120"/>
              <w:spacing w:after="0" w:line="133" w:lineRule="exact"/>
              <w:rPr>
                <w:sz w:val="20"/>
                <w:szCs w:val="20"/>
                <w:color w:val="auto"/>
              </w:rPr>
            </w:pPr>
            <w:r>
              <w:rPr>
                <w:rFonts w:ascii="Times New Roman" w:cs="Times New Roman" w:eastAsia="Times New Roman" w:hAnsi="Times New Roman"/>
                <w:sz w:val="14"/>
                <w:szCs w:val="14"/>
                <w:color w:val="auto"/>
              </w:rPr>
              <w:t>authorize the Audit Committee of the Board of Directors to fix the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3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remuneration of such independent registered public accounting firm in</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accordance with the nature and extent of its services (Proposal IV).</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6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40" w:type="dxa"/>
            <w:vAlign w:val="bottom"/>
            <w:gridSpan w:val="9"/>
            <w:vMerge w:val="restart"/>
          </w:tcPr>
          <w:p>
            <w:pPr>
              <w:ind w:left="60"/>
              <w:spacing w:after="0"/>
              <w:rPr>
                <w:sz w:val="20"/>
                <w:szCs w:val="20"/>
                <w:color w:val="auto"/>
              </w:rPr>
            </w:pPr>
            <w:r>
              <w:rPr>
                <w:rFonts w:ascii="Times New Roman" w:cs="Times New Roman" w:eastAsia="Times New Roman" w:hAnsi="Times New Roman"/>
                <w:sz w:val="14"/>
                <w:szCs w:val="14"/>
                <w:color w:val="auto"/>
              </w:rPr>
              <w:t>Our shareholders will also act on such other business as may properly come before the annual general</w:t>
            </w:r>
          </w:p>
        </w:tc>
        <w:tc>
          <w:tcPr>
            <w:tcW w:w="0" w:type="dxa"/>
            <w:vAlign w:val="bottom"/>
          </w:tcPr>
          <w:p>
            <w:pPr>
              <w:spacing w:after="0"/>
              <w:rPr>
                <w:sz w:val="1"/>
                <w:szCs w:val="1"/>
                <w:color w:val="auto"/>
              </w:rPr>
            </w:pPr>
          </w:p>
        </w:tc>
      </w:tr>
      <w:tr>
        <w:trPr>
          <w:trHeight w:val="122"/>
        </w:trPr>
        <w:tc>
          <w:tcPr>
            <w:tcW w:w="3500" w:type="dxa"/>
            <w:vAlign w:val="bottom"/>
            <w:gridSpan w:val="4"/>
          </w:tcPr>
          <w:p>
            <w:pPr>
              <w:ind w:left="360"/>
              <w:spacing w:after="0" w:line="122" w:lineRule="exact"/>
              <w:rPr>
                <w:sz w:val="20"/>
                <w:szCs w:val="20"/>
                <w:color w:val="auto"/>
              </w:rPr>
            </w:pPr>
            <w:r>
              <w:rPr>
                <w:rFonts w:ascii="Times New Roman" w:cs="Times New Roman" w:eastAsia="Times New Roman" w:hAnsi="Times New Roman"/>
                <w:sz w:val="14"/>
                <w:szCs w:val="14"/>
                <w:color w:val="auto"/>
              </w:rPr>
              <w:t>To change the address on your account, please check</w:t>
            </w:r>
          </w:p>
        </w:tc>
        <w:tc>
          <w:tcPr>
            <w:tcW w:w="280" w:type="dxa"/>
            <w:vAlign w:val="bottom"/>
          </w:tcPr>
          <w:p>
            <w:pPr>
              <w:spacing w:after="0"/>
              <w:rPr>
                <w:sz w:val="10"/>
                <w:szCs w:val="10"/>
                <w:color w:val="auto"/>
              </w:rPr>
            </w:pPr>
          </w:p>
        </w:tc>
        <w:tc>
          <w:tcPr>
            <w:tcW w:w="340" w:type="dxa"/>
            <w:vAlign w:val="bottom"/>
          </w:tcPr>
          <w:p>
            <w:pPr>
              <w:jc w:val="center"/>
              <w:spacing w:after="0" w:line="122"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4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500" w:type="dxa"/>
            <w:vAlign w:val="bottom"/>
            <w:gridSpan w:val="4"/>
          </w:tcPr>
          <w:p>
            <w:pPr>
              <w:ind w:left="360"/>
              <w:spacing w:after="0" w:line="142" w:lineRule="exact"/>
              <w:rPr>
                <w:sz w:val="20"/>
                <w:szCs w:val="20"/>
                <w:color w:val="auto"/>
              </w:rPr>
            </w:pPr>
            <w:r>
              <w:rPr>
                <w:rFonts w:ascii="Times New Roman" w:cs="Times New Roman" w:eastAsia="Times New Roman" w:hAnsi="Times New Roman"/>
                <w:sz w:val="14"/>
                <w:szCs w:val="14"/>
                <w:color w:val="auto"/>
              </w:rPr>
              <w:t>the box at right and indicate your new address in the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40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color w:val="auto"/>
              </w:rPr>
              <w:t>meeting.</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gridSpan w:val="4"/>
          </w:tcPr>
          <w:p>
            <w:pPr>
              <w:ind w:left="360"/>
              <w:spacing w:after="0" w:line="149" w:lineRule="exact"/>
              <w:rPr>
                <w:sz w:val="20"/>
                <w:szCs w:val="20"/>
                <w:color w:val="auto"/>
              </w:rPr>
            </w:pPr>
            <w:r>
              <w:rPr>
                <w:rFonts w:ascii="Times New Roman" w:cs="Times New Roman" w:eastAsia="Times New Roman" w:hAnsi="Times New Roman"/>
                <w:sz w:val="14"/>
                <w:szCs w:val="14"/>
                <w:color w:val="auto"/>
              </w:rPr>
              <w:t>address space above. Please note that changes to the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440" w:type="dxa"/>
            <w:vAlign w:val="bottom"/>
            <w:gridSpan w:val="9"/>
          </w:tcPr>
          <w:p>
            <w:pPr>
              <w:ind w:left="60"/>
              <w:spacing w:after="0" w:line="149" w:lineRule="exact"/>
              <w:rPr>
                <w:sz w:val="20"/>
                <w:szCs w:val="20"/>
                <w:color w:val="auto"/>
              </w:rPr>
            </w:pPr>
            <w:r>
              <w:rPr>
                <w:rFonts w:ascii="Times New Roman" w:cs="Times New Roman" w:eastAsia="Times New Roman" w:hAnsi="Times New Roman"/>
                <w:sz w:val="14"/>
                <w:szCs w:val="14"/>
                <w:color w:val="auto"/>
              </w:rPr>
              <w:t>The Board of Directors has fixed the close of business on December 3, 2020 as the record date for the</w:t>
            </w:r>
          </w:p>
        </w:tc>
        <w:tc>
          <w:tcPr>
            <w:tcW w:w="0" w:type="dxa"/>
            <w:vAlign w:val="bottom"/>
          </w:tcPr>
          <w:p>
            <w:pPr>
              <w:spacing w:after="0"/>
              <w:rPr>
                <w:sz w:val="1"/>
                <w:szCs w:val="1"/>
                <w:color w:val="auto"/>
              </w:rPr>
            </w:pPr>
          </w:p>
        </w:tc>
      </w:tr>
      <w:tr>
        <w:trPr>
          <w:trHeight w:val="149"/>
        </w:trPr>
        <w:tc>
          <w:tcPr>
            <w:tcW w:w="3500" w:type="dxa"/>
            <w:vAlign w:val="bottom"/>
            <w:gridSpan w:val="4"/>
          </w:tcPr>
          <w:p>
            <w:pPr>
              <w:ind w:left="360"/>
              <w:spacing w:after="0" w:line="149" w:lineRule="exact"/>
              <w:rPr>
                <w:sz w:val="20"/>
                <w:szCs w:val="20"/>
                <w:color w:val="auto"/>
              </w:rPr>
            </w:pPr>
            <w:r>
              <w:rPr>
                <w:rFonts w:ascii="Times New Roman" w:cs="Times New Roman" w:eastAsia="Times New Roman" w:hAnsi="Times New Roman"/>
                <w:sz w:val="14"/>
                <w:szCs w:val="14"/>
                <w:color w:val="auto"/>
              </w:rPr>
              <w:t>registered name(s) on the account may not be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440" w:type="dxa"/>
            <w:vAlign w:val="bottom"/>
            <w:gridSpan w:val="9"/>
          </w:tcPr>
          <w:p>
            <w:pPr>
              <w:ind w:left="60"/>
              <w:spacing w:after="0" w:line="149" w:lineRule="exact"/>
              <w:rPr>
                <w:sz w:val="20"/>
                <w:szCs w:val="20"/>
                <w:color w:val="auto"/>
              </w:rPr>
            </w:pPr>
            <w:r>
              <w:rPr>
                <w:rFonts w:ascii="Times New Roman" w:cs="Times New Roman" w:eastAsia="Times New Roman" w:hAnsi="Times New Roman"/>
                <w:sz w:val="14"/>
                <w:szCs w:val="14"/>
                <w:color w:val="auto"/>
              </w:rPr>
              <w:t>determination of our shareholders entitled to notice of, and to vote on the matters proposed at, the annual</w:t>
            </w:r>
          </w:p>
        </w:tc>
        <w:tc>
          <w:tcPr>
            <w:tcW w:w="0" w:type="dxa"/>
            <w:vAlign w:val="bottom"/>
          </w:tcPr>
          <w:p>
            <w:pPr>
              <w:spacing w:after="0"/>
              <w:rPr>
                <w:sz w:val="1"/>
                <w:szCs w:val="1"/>
                <w:color w:val="auto"/>
              </w:rPr>
            </w:pPr>
          </w:p>
        </w:tc>
      </w:tr>
      <w:tr>
        <w:trPr>
          <w:trHeight w:val="175"/>
        </w:trPr>
        <w:tc>
          <w:tcPr>
            <w:tcW w:w="20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submitted via this method.</w:t>
            </w: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40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general meeting and any adjournments thereof.</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6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Signature of</w:t>
            </w: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Signature of</w:t>
            </w: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60" w:type="dxa"/>
            <w:vAlign w:val="bottom"/>
            <w:vMerge w:val="continue"/>
          </w:tcPr>
          <w:p>
            <w:pPr>
              <w:spacing w:after="0"/>
              <w:rPr>
                <w:sz w:val="12"/>
                <w:szCs w:val="12"/>
                <w:color w:val="auto"/>
              </w:rPr>
            </w:pPr>
          </w:p>
        </w:tc>
        <w:tc>
          <w:tcPr>
            <w:tcW w:w="400" w:type="dxa"/>
            <w:vAlign w:val="bottom"/>
            <w:tcBorders>
              <w:top w:val="single" w:sz="8" w:color="auto"/>
              <w:left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3"/>
                <w:szCs w:val="13"/>
                <w:color w:val="auto"/>
              </w:rPr>
              <w:t>Date:</w:t>
            </w:r>
          </w:p>
        </w:tc>
        <w:tc>
          <w:tcPr>
            <w:tcW w:w="80" w:type="dxa"/>
            <w:vAlign w:val="bottom"/>
            <w:tcBorders>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1620" w:type="dxa"/>
            <w:vAlign w:val="bottom"/>
            <w:vMerge w:val="continue"/>
          </w:tcPr>
          <w:p>
            <w:pPr>
              <w:spacing w:after="0"/>
              <w:rPr>
                <w:sz w:val="12"/>
                <w:szCs w:val="12"/>
                <w:color w:val="auto"/>
              </w:rPr>
            </w:pPr>
          </w:p>
        </w:tc>
        <w:tc>
          <w:tcPr>
            <w:tcW w:w="1820" w:type="dxa"/>
            <w:vAlign w:val="bottom"/>
            <w:tcBorders>
              <w:top w:val="single" w:sz="8" w:color="auto"/>
              <w:left w:val="single" w:sz="8" w:color="auto"/>
            </w:tcBorders>
          </w:tcPr>
          <w:p>
            <w:pPr>
              <w:spacing w:after="0"/>
              <w:rPr>
                <w:sz w:val="12"/>
                <w:szCs w:val="12"/>
                <w:color w:val="auto"/>
              </w:rPr>
            </w:pPr>
          </w:p>
        </w:tc>
        <w:tc>
          <w:tcPr>
            <w:tcW w:w="280" w:type="dxa"/>
            <w:vAlign w:val="bottom"/>
            <w:tcBorders>
              <w:top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right w:val="single" w:sz="8" w:color="auto"/>
            </w:tcBorders>
          </w:tcPr>
          <w:p>
            <w:pPr>
              <w:ind w:left="240"/>
              <w:spacing w:after="0" w:line="142" w:lineRule="exact"/>
              <w:rPr>
                <w:sz w:val="20"/>
                <w:szCs w:val="20"/>
                <w:color w:val="auto"/>
              </w:rPr>
            </w:pPr>
            <w:r>
              <w:rPr>
                <w:rFonts w:ascii="Times New Roman" w:cs="Times New Roman" w:eastAsia="Times New Roman" w:hAnsi="Times New Roman"/>
                <w:sz w:val="13"/>
                <w:szCs w:val="13"/>
                <w:color w:val="auto"/>
              </w:rPr>
              <w:t>Date:</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Shareholder</w:t>
            </w:r>
          </w:p>
        </w:tc>
        <w:tc>
          <w:tcPr>
            <w:tcW w:w="400" w:type="dxa"/>
            <w:vAlign w:val="bottom"/>
            <w:tcBorders>
              <w:left w:val="single" w:sz="8" w:color="auto"/>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162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Shareholder</w:t>
            </w:r>
          </w:p>
        </w:tc>
        <w:tc>
          <w:tcPr>
            <w:tcW w:w="1820" w:type="dxa"/>
            <w:vAlign w:val="bottom"/>
            <w:tcBorders>
              <w:left w:val="single" w:sz="8" w:color="auto"/>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4"/>
          <w:szCs w:val="14"/>
          <w:color w:val="auto"/>
        </w:rPr>
        <w:t>Note: Please sign exactly as your name or names appear on this Proxy. When shares are held jointly, each holder should sign. When signing as executor, administrator, attorney,</w:t>
      </w:r>
    </w:p>
    <w:p>
      <w:pPr>
        <w:spacing w:after="0" w:line="4" w:lineRule="exact"/>
        <w:rPr>
          <w:sz w:val="20"/>
          <w:szCs w:val="20"/>
          <w:color w:val="auto"/>
        </w:rPr>
      </w:pPr>
    </w:p>
    <w:p>
      <w:pPr>
        <w:ind w:left="624" w:right="380" w:hanging="624"/>
        <w:spacing w:after="0" w:line="185" w:lineRule="auto"/>
        <w:tabs>
          <w:tab w:leader="none" w:pos="624" w:val="left"/>
        </w:tabs>
        <w:numPr>
          <w:ilvl w:val="0"/>
          <w:numId w:val="10"/>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1"/>
          <w:szCs w:val="11"/>
          <w:color w:val="auto"/>
        </w:rPr>
        <w:t>trustee or guardian, please give full title as such. If the signer is a corporation, please sign full corporate name by duly authorized officer, giving full title as such. If signer is a partnership, please sign in partnership name by authorized person. ¢</w:t>
      </w:r>
    </w:p>
    <w:p>
      <w:pPr>
        <w:sectPr>
          <w:pgSz w:w="11900" w:h="16838" w:orient="portrait"/>
          <w:cols w:equalWidth="0" w:num="1">
            <w:col w:w="11024"/>
          </w:cols>
          <w:pgMar w:left="436" w:top="266" w:right="4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29" w:lineRule="exact"/>
        <w:rPr>
          <w:sz w:val="20"/>
          <w:szCs w:val="20"/>
          <w:color w:val="auto"/>
        </w:rPr>
      </w:pPr>
    </w:p>
    <w:p>
      <w:pPr>
        <w:jc w:val="center"/>
        <w:ind w:right="20"/>
        <w:spacing w:after="0" w:line="261" w:lineRule="auto"/>
        <w:rPr>
          <w:sz w:val="20"/>
          <w:szCs w:val="20"/>
          <w:color w:val="auto"/>
        </w:rPr>
      </w:pPr>
      <w:r>
        <w:rPr>
          <w:rFonts w:ascii="Times New Roman" w:cs="Times New Roman" w:eastAsia="Times New Roman" w:hAnsi="Times New Roman"/>
          <w:sz w:val="18"/>
          <w:szCs w:val="18"/>
          <w:color w:val="auto"/>
        </w:rPr>
        <w:t>The undersigned hereby appoints each of Robert A. Minicucci and Michal Topolski and Matthew Smith and Zvi Joseph as Proxies, each with the power to appoint his or her substitute, and hereby authorizes each of them to represent and vote, as designated on the reverse side, all Ordinary Shares of Amdocs Limited (the “Company”) held of record by the undersigned on December 3, 2020, at the annual General Meeting of shareholders to be held on January 29, 2021 or any adjournment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56"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 11</w:t>
      </w:r>
      <w:r>
        <w:rPr>
          <w:sz w:val="20"/>
          <w:szCs w:val="20"/>
          <w:color w:val="auto"/>
        </w:rPr>
        <w:tab/>
      </w:r>
      <w:r>
        <w:rPr>
          <w:rFonts w:ascii="Times New Roman" w:cs="Times New Roman" w:eastAsia="Times New Roman" w:hAnsi="Times New Roman"/>
          <w:sz w:val="18"/>
          <w:szCs w:val="18"/>
          <w:color w:val="auto"/>
        </w:rPr>
        <w:t>14475 ¢</w:t>
      </w:r>
    </w:p>
    <w:p>
      <w:pPr>
        <w:sectPr>
          <w:pgSz w:w="11900" w:h="16838" w:orient="portrait"/>
          <w:cols w:equalWidth="0" w:num="1">
            <w:col w:w="11020"/>
          </w:cols>
          <w:pgMar w:left="440" w:top="270" w:right="439" w:bottom="1440" w:gutter="0" w:footer="0" w:header="0"/>
        </w:sectPr>
      </w:pPr>
    </w:p>
    <w:bookmarkStart w:id="29" w:name="page30"/>
    <w:bookmarkEnd w:id="2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January 29, 2021</w:t>
      </w:r>
    </w:p>
    <w:p>
      <w:pPr>
        <w:spacing w:after="0" w:line="266" w:lineRule="exact"/>
        <w:rPr>
          <w:sz w:val="20"/>
          <w:szCs w:val="20"/>
          <w:color w:val="auto"/>
        </w:rPr>
      </w:pPr>
    </w:p>
    <w:p>
      <w:pPr>
        <w:ind w:left="4324"/>
        <w:spacing w:after="0"/>
        <w:rPr>
          <w:sz w:val="20"/>
          <w:szCs w:val="20"/>
          <w:color w:val="auto"/>
        </w:rPr>
      </w:pPr>
      <w:r>
        <w:rPr>
          <w:rFonts w:ascii="Times New Roman" w:cs="Times New Roman" w:eastAsia="Times New Roman" w:hAnsi="Times New Roman"/>
          <w:sz w:val="18"/>
          <w:szCs w:val="18"/>
          <w:b w:val="1"/>
          <w:bCs w:val="1"/>
          <w:color w:val="auto"/>
        </w:rPr>
        <w:t>PROXY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-125095</wp:posOffset>
            </wp:positionV>
            <wp:extent cx="232283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22830" cy="154305"/>
                    </a:xfrm>
                    <a:prstGeom prst="rect">
                      <a:avLst/>
                    </a:prstGeom>
                    <a:noFill/>
                  </pic:spPr>
                </pic:pic>
              </a:graphicData>
            </a:graphic>
          </wp:anchor>
        </w:drawing>
      </w:r>
    </w:p>
    <w:p>
      <w:pPr>
        <w:spacing w:after="0" w:line="246" w:lineRule="exact"/>
        <w:rPr>
          <w:sz w:val="20"/>
          <w:szCs w:val="20"/>
          <w:color w:val="auto"/>
        </w:rPr>
      </w:pPr>
    </w:p>
    <w:p>
      <w:pPr>
        <w:ind w:left="4" w:right="40"/>
        <w:spacing w:after="0" w:line="263" w:lineRule="auto"/>
        <w:rPr>
          <w:sz w:val="20"/>
          <w:szCs w:val="20"/>
          <w:color w:val="auto"/>
        </w:rPr>
      </w:pPr>
      <w:r>
        <w:rPr>
          <w:rFonts w:ascii="Times New Roman" w:cs="Times New Roman" w:eastAsia="Times New Roman" w:hAnsi="Times New Roman"/>
          <w:sz w:val="18"/>
          <w:szCs w:val="18"/>
          <w:b w:val="1"/>
          <w:bCs w:val="1"/>
          <w:u w:val="single" w:color="auto"/>
          <w:color w:val="auto"/>
        </w:rPr>
        <w:t>INTERNET</w:t>
      </w:r>
      <w:r>
        <w:rPr>
          <w:rFonts w:ascii="Times New Roman" w:cs="Times New Roman" w:eastAsia="Times New Roman" w:hAnsi="Times New Roman"/>
          <w:sz w:val="18"/>
          <w:szCs w:val="18"/>
          <w:b w:val="1"/>
          <w:bCs w:val="1"/>
          <w:color w:val="auto"/>
        </w:rPr>
        <w:t xml:space="preserve"> - Access “www.voteproxy.com” and follow the on-screen instructions or scan the QR code with your smartphone. Have your proxy card available when you access the web page.</w:t>
      </w:r>
    </w:p>
    <w:p>
      <w:pPr>
        <w:spacing w:after="0" w:line="1"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TELEPHONE</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Call toll-free</w:t>
      </w:r>
      <w:r>
        <w:rPr>
          <w:rFonts w:ascii="Times New Roman" w:cs="Times New Roman" w:eastAsia="Times New Roman" w:hAnsi="Times New Roman"/>
          <w:sz w:val="18"/>
          <w:szCs w:val="18"/>
          <w:b w:val="1"/>
          <w:bCs w:val="1"/>
          <w:color w:val="auto"/>
        </w:rPr>
        <w:t xml:space="preserve"> 1-800-PROXIES </w:t>
      </w:r>
      <w:r>
        <w:rPr>
          <w:rFonts w:ascii="Times New Roman" w:cs="Times New Roman" w:eastAsia="Times New Roman" w:hAnsi="Times New Roman"/>
          <w:sz w:val="18"/>
          <w:szCs w:val="18"/>
          <w:color w:val="auto"/>
        </w:rPr>
        <w:t>(1-800-776-9437) in the United States or</w:t>
      </w:r>
      <w:r>
        <w:rPr>
          <w:rFonts w:ascii="Times New Roman" w:cs="Times New Roman" w:eastAsia="Times New Roman" w:hAnsi="Times New Roman"/>
          <w:sz w:val="18"/>
          <w:szCs w:val="18"/>
          <w:b w:val="1"/>
          <w:bCs w:val="1"/>
          <w:color w:val="auto"/>
        </w:rPr>
        <w:t xml:space="preserve"> 1-718-921-8500 </w:t>
      </w:r>
      <w:r>
        <w:rPr>
          <w:rFonts w:ascii="Times New Roman" w:cs="Times New Roman" w:eastAsia="Times New Roman" w:hAnsi="Times New Roman"/>
          <w:sz w:val="18"/>
          <w:szCs w:val="18"/>
          <w:color w:val="auto"/>
        </w:rPr>
        <w:t>from foreign countries from any touch-tone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telephone and follow the instructions. Have your proxy card available when you call. Vote online/phone until 11:59 PM EST the day before the meeting.</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MAIL</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Sign, date and mail your proxy card in the envelope provided as soon as possible.</w:t>
      </w:r>
    </w:p>
    <w:p>
      <w:pPr>
        <w:spacing w:after="0" w:line="23"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IN PERSON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You may vote your shares in person by attending the Annual Meeting. For the health and safety of our shareholders, and in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local and state requirements then in place at the time of the annual meeting due to the COVID-19 pandemic, only one representative may attend the meeting on behalf of any shareholder along with any person providing assistance to that shareholder, such as a caregiver. All persons in attendance must wear face coverings, maintain social distancing and may be subject to heightened health screening procedures. The company will also be required to comply with any restrictions limiting the number of persons who may gather indoors.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360045" cy="377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00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7012305" cy="788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2305" cy="788670"/>
                    </a:xfrm>
                    <a:prstGeom prst="rect">
                      <a:avLst/>
                    </a:prstGeom>
                    <a:noFill/>
                  </pic:spPr>
                </pic:pic>
              </a:graphicData>
            </a:graphic>
          </wp:anchor>
        </w:drawing>
      </w:r>
    </w:p>
    <w:p>
      <w:pPr>
        <w:spacing w:after="0" w:line="11"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270" w:lineRule="exact"/>
        <w:rPr>
          <w:sz w:val="20"/>
          <w:szCs w:val="20"/>
          <w:color w:val="auto"/>
        </w:rPr>
      </w:pPr>
    </w:p>
    <w:p>
      <w:pPr>
        <w:jc w:val="center"/>
        <w:ind w:left="540" w:right="820"/>
        <w:spacing w:after="0" w:line="333" w:lineRule="auto"/>
        <w:rPr>
          <w:sz w:val="20"/>
          <w:szCs w:val="20"/>
          <w:color w:val="auto"/>
        </w:rPr>
      </w:pPr>
      <w:r>
        <w:rPr>
          <w:rFonts w:ascii="Times New Roman" w:cs="Times New Roman" w:eastAsia="Times New Roman" w:hAnsi="Times New Roman"/>
          <w:sz w:val="18"/>
          <w:szCs w:val="18"/>
          <w:b w:val="1"/>
          <w:bCs w:val="1"/>
          <w:u w:val="single" w:color="auto"/>
          <w:color w:val="auto"/>
        </w:rPr>
        <w:t>NOTICE OF INTERNET AVAILABILITY OF PROXY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Notice of Meeting, Proxy Statement,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available at www.amdocs.com/proxy</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i Please detach along perforated line and mail in the envelope provided IF you are not voting via telephone or the Internet. i</w:t>
      </w:r>
    </w:p>
    <w:p>
      <w:pPr>
        <w:spacing w:after="0" w:line="24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AMDOCS’ BOARD OF DIRECTORS RECOMMENDS A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3"/>
        <w:spacing w:after="0" w:line="229" w:lineRule="auto"/>
        <w:rPr>
          <w:sz w:val="20"/>
          <w:szCs w:val="20"/>
          <w:color w:val="auto"/>
        </w:rPr>
      </w:pPr>
      <w:r>
        <w:rPr>
          <w:rFonts w:ascii="Times New Roman" w:cs="Times New Roman" w:eastAsia="Times New Roman" w:hAnsi="Times New Roman"/>
          <w:sz w:val="14"/>
          <w:szCs w:val="14"/>
          <w:b w:val="1"/>
          <w:bCs w:val="1"/>
          <w:color w:val="auto"/>
        </w:rPr>
        <w:t>AND A VOTE “FOR” PROPOSALS 2, 3 AND 4.</w:t>
      </w:r>
    </w:p>
    <w:p>
      <w:pPr>
        <w:jc w:val="center"/>
        <w:ind w:right="-3"/>
        <w:spacing w:after="0" w:line="221" w:lineRule="auto"/>
        <w:rPr>
          <w:sz w:val="20"/>
          <w:szCs w:val="20"/>
          <w:color w:val="auto"/>
        </w:rPr>
      </w:pPr>
      <w:r>
        <w:rPr>
          <w:rFonts w:ascii="Times New Roman" w:cs="Times New Roman" w:eastAsia="Times New Roman" w:hAnsi="Times New Roman"/>
          <w:sz w:val="14"/>
          <w:szCs w:val="14"/>
          <w:b w:val="1"/>
          <w:bCs w:val="1"/>
          <w:color w:val="auto"/>
        </w:rPr>
        <w:t>PLEASE SIGN, DATE AND RETURN PROMPTLY IN THE ENCLOSED ENVELOPE. PLEASE MARK YOUR VOTE IN BLUE OR</w:t>
      </w:r>
    </w:p>
    <w:p>
      <w:pPr>
        <w:jc w:val="center"/>
        <w:ind w:right="-3"/>
        <w:spacing w:after="0" w:line="234" w:lineRule="auto"/>
        <w:rPr>
          <w:sz w:val="20"/>
          <w:szCs w:val="20"/>
          <w:color w:val="auto"/>
        </w:rPr>
      </w:pPr>
      <w:r>
        <w:rPr>
          <w:rFonts w:ascii="Times New Roman" w:cs="Times New Roman" w:eastAsia="Times New Roman" w:hAnsi="Times New Roman"/>
          <w:sz w:val="14"/>
          <w:szCs w:val="14"/>
          <w:b w:val="1"/>
          <w:bCs w:val="1"/>
          <w:color w:val="auto"/>
        </w:rPr>
        <w:t>BLACK INK AS</w:t>
      </w:r>
    </w:p>
    <w:p>
      <w:pPr>
        <w:jc w:val="center"/>
        <w:ind w:right="16"/>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SHOWN HERE </w:t>
      </w:r>
      <w:r>
        <w:rPr>
          <w:rFonts w:ascii="MS PGothic" w:cs="MS PGothic" w:eastAsia="MS PGothic" w:hAnsi="MS PGothic"/>
          <w:sz w:val="14"/>
          <w:szCs w:val="14"/>
          <w:color w:val="auto"/>
        </w:rPr>
        <w:t>☒</w:t>
      </w:r>
    </w:p>
    <w:p>
      <w:pPr>
        <w:spacing w:after="0" w:line="27" w:lineRule="exact"/>
        <w:rPr>
          <w:sz w:val="20"/>
          <w:szCs w:val="20"/>
          <w:color w:val="auto"/>
        </w:rPr>
      </w:pPr>
    </w:p>
    <w:tbl>
      <w:tblPr>
        <w:tblLayout w:type="fixed"/>
        <w:tblInd w:w="4" w:type="dxa"/>
        <w:tblCellMar>
          <w:top w:w="0" w:type="dxa"/>
          <w:left w:w="0" w:type="dxa"/>
          <w:bottom w:w="0" w:type="dxa"/>
          <w:right w:w="0" w:type="dxa"/>
        </w:tblCellMar>
      </w:tblPr>
      <w:tr>
        <w:trPr>
          <w:trHeight w:val="133"/>
        </w:trPr>
        <w:tc>
          <w:tcPr>
            <w:tcW w:w="2060" w:type="dxa"/>
            <w:vAlign w:val="bottom"/>
            <w:tcBorders>
              <w:top w:val="single" w:sz="8" w:color="auto"/>
            </w:tcBorders>
            <w:gridSpan w:val="2"/>
          </w:tcPr>
          <w:p>
            <w:pPr>
              <w:ind w:left="360"/>
              <w:spacing w:after="0" w:line="133" w:lineRule="exact"/>
              <w:rPr>
                <w:sz w:val="20"/>
                <w:szCs w:val="20"/>
                <w:color w:val="auto"/>
              </w:rPr>
            </w:pPr>
            <w:r>
              <w:rPr>
                <w:rFonts w:ascii="Times New Roman" w:cs="Times New Roman" w:eastAsia="Times New Roman" w:hAnsi="Times New Roman"/>
                <w:sz w:val="14"/>
                <w:szCs w:val="14"/>
                <w:color w:val="auto"/>
              </w:rPr>
              <w:t>1. ELECTION OF</w:t>
            </w:r>
          </w:p>
        </w:tc>
        <w:tc>
          <w:tcPr>
            <w:tcW w:w="580" w:type="dxa"/>
            <w:vAlign w:val="bottom"/>
            <w:tcBorders>
              <w:top w:val="single" w:sz="8" w:color="auto"/>
            </w:tcBorders>
          </w:tcPr>
          <w:p>
            <w:pPr>
              <w:jc w:val="center"/>
              <w:ind w:left="28"/>
              <w:spacing w:after="0" w:line="133" w:lineRule="exact"/>
              <w:rPr>
                <w:sz w:val="20"/>
                <w:szCs w:val="20"/>
                <w:color w:val="auto"/>
              </w:rPr>
            </w:pPr>
            <w:r>
              <w:rPr>
                <w:rFonts w:ascii="Times New Roman" w:cs="Times New Roman" w:eastAsia="Times New Roman" w:hAnsi="Times New Roman"/>
                <w:sz w:val="14"/>
                <w:szCs w:val="14"/>
                <w:color w:val="auto"/>
              </w:rPr>
              <w:t>FOR</w:t>
            </w:r>
          </w:p>
        </w:tc>
        <w:tc>
          <w:tcPr>
            <w:tcW w:w="8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AGAINST</w:t>
            </w:r>
          </w:p>
        </w:tc>
        <w:tc>
          <w:tcPr>
            <w:tcW w:w="840" w:type="dxa"/>
            <w:vAlign w:val="bottom"/>
            <w:tcBorders>
              <w:top w:val="single" w:sz="8" w:color="auto"/>
              <w:right w:val="single" w:sz="8" w:color="auto"/>
            </w:tcBorders>
            <w:gridSpan w:val="3"/>
          </w:tcPr>
          <w:p>
            <w:pPr>
              <w:jc w:val="center"/>
              <w:spacing w:after="0" w:line="133" w:lineRule="exact"/>
              <w:rPr>
                <w:sz w:val="20"/>
                <w:szCs w:val="20"/>
                <w:color w:val="auto"/>
              </w:rPr>
            </w:pPr>
            <w:r>
              <w:rPr>
                <w:rFonts w:ascii="Times New Roman" w:cs="Times New Roman" w:eastAsia="Times New Roman" w:hAnsi="Times New Roman"/>
                <w:sz w:val="14"/>
                <w:szCs w:val="14"/>
                <w:color w:val="auto"/>
              </w:rPr>
              <w:t>ABSTAIN</w:t>
            </w: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center"/>
              <w:ind w:right="20"/>
              <w:spacing w:after="0" w:line="133" w:lineRule="exact"/>
              <w:rPr>
                <w:sz w:val="20"/>
                <w:szCs w:val="20"/>
                <w:color w:val="auto"/>
              </w:rPr>
            </w:pPr>
            <w:r>
              <w:rPr>
                <w:rFonts w:ascii="Times New Roman" w:cs="Times New Roman" w:eastAsia="Times New Roman" w:hAnsi="Times New Roman"/>
                <w:sz w:val="14"/>
                <w:szCs w:val="14"/>
                <w:color w:val="auto"/>
              </w:rPr>
              <w:t>FOR</w:t>
            </w:r>
          </w:p>
        </w:tc>
        <w:tc>
          <w:tcPr>
            <w:tcW w:w="820" w:type="dxa"/>
            <w:vAlign w:val="bottom"/>
            <w:tcBorders>
              <w:top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AGAINST</w:t>
            </w:r>
          </w:p>
        </w:tc>
        <w:tc>
          <w:tcPr>
            <w:tcW w:w="7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ABSTAIN</w:t>
            </w:r>
          </w:p>
        </w:tc>
        <w:tc>
          <w:tcPr>
            <w:tcW w:w="0" w:type="dxa"/>
            <w:vAlign w:val="bottom"/>
          </w:tcPr>
          <w:p>
            <w:pPr>
              <w:spacing w:after="0"/>
              <w:rPr>
                <w:sz w:val="1"/>
                <w:szCs w:val="1"/>
                <w:color w:val="auto"/>
              </w:rPr>
            </w:pPr>
          </w:p>
        </w:tc>
      </w:tr>
      <w:tr>
        <w:trPr>
          <w:trHeight w:val="148"/>
        </w:trPr>
        <w:tc>
          <w:tcPr>
            <w:tcW w:w="20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DIRECTORS:</w:t>
            </w:r>
          </w:p>
        </w:tc>
        <w:tc>
          <w:tcPr>
            <w:tcW w:w="5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2"/>
                <w:szCs w:val="12"/>
                <w:color w:val="auto"/>
              </w:rPr>
            </w:pPr>
          </w:p>
        </w:tc>
        <w:tc>
          <w:tcPr>
            <w:tcW w:w="3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60" w:type="dxa"/>
            <w:vAlign w:val="bottom"/>
            <w:gridSpan w:val="2"/>
            <w:vMerge w:val="restart"/>
          </w:tcPr>
          <w:p>
            <w:pPr>
              <w:jc w:val="center"/>
              <w:ind w:right="40"/>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gridSpan w:val="2"/>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58"/>
        </w:trPr>
        <w:tc>
          <w:tcPr>
            <w:tcW w:w="2060" w:type="dxa"/>
            <w:vAlign w:val="bottom"/>
            <w:gridSpan w:val="2"/>
          </w:tcPr>
          <w:p>
            <w:pPr>
              <w:ind w:left="360"/>
              <w:spacing w:after="0" w:line="158" w:lineRule="exact"/>
              <w:rPr>
                <w:sz w:val="20"/>
                <w:szCs w:val="20"/>
                <w:color w:val="auto"/>
              </w:rPr>
            </w:pPr>
            <w:r>
              <w:rPr>
                <w:rFonts w:ascii="Times New Roman" w:cs="Times New Roman" w:eastAsia="Times New Roman" w:hAnsi="Times New Roman"/>
                <w:sz w:val="14"/>
                <w:szCs w:val="14"/>
                <w:color w:val="auto"/>
              </w:rPr>
              <w:t>Robert A. Minicucci</w:t>
            </w:r>
          </w:p>
        </w:tc>
        <w:tc>
          <w:tcPr>
            <w:tcW w:w="5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3"/>
                <w:szCs w:val="13"/>
                <w:color w:val="auto"/>
              </w:rPr>
            </w:pPr>
          </w:p>
        </w:tc>
        <w:tc>
          <w:tcPr>
            <w:tcW w:w="4320" w:type="dxa"/>
            <w:vAlign w:val="bottom"/>
            <w:gridSpan w:val="3"/>
          </w:tcPr>
          <w:p>
            <w:pPr>
              <w:ind w:left="120"/>
              <w:spacing w:after="0" w:line="158" w:lineRule="exact"/>
              <w:rPr>
                <w:sz w:val="20"/>
                <w:szCs w:val="20"/>
                <w:color w:val="auto"/>
              </w:rPr>
            </w:pPr>
            <w:r>
              <w:rPr>
                <w:rFonts w:ascii="Times New Roman" w:cs="Times New Roman" w:eastAsia="Times New Roman" w:hAnsi="Times New Roman"/>
                <w:sz w:val="14"/>
                <w:szCs w:val="14"/>
                <w:color w:val="auto"/>
              </w:rPr>
              <w:t>To approve an increase in the dividend rate under our quarterly cash</w:t>
            </w:r>
          </w:p>
        </w:tc>
        <w:tc>
          <w:tcPr>
            <w:tcW w:w="46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60" w:type="dxa"/>
            <w:vAlign w:val="bottom"/>
            <w:gridSpan w:val="2"/>
          </w:tcPr>
          <w:p>
            <w:pPr>
              <w:ind w:left="360"/>
              <w:spacing w:after="0" w:line="155" w:lineRule="exact"/>
              <w:rPr>
                <w:sz w:val="20"/>
                <w:szCs w:val="20"/>
                <w:color w:val="auto"/>
              </w:rPr>
            </w:pPr>
            <w:r>
              <w:rPr>
                <w:rFonts w:ascii="Times New Roman" w:cs="Times New Roman" w:eastAsia="Times New Roman" w:hAnsi="Times New Roman"/>
                <w:sz w:val="14"/>
                <w:szCs w:val="14"/>
                <w:color w:val="auto"/>
              </w:rPr>
              <w:t>Adrian Gardner</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3"/>
                <w:szCs w:val="13"/>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2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4"/>
                <w:szCs w:val="14"/>
                <w:color w:val="auto"/>
              </w:rPr>
              <w:t>dividend program from $0.3275 per share to $0.36 per share (Proposal</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James S. Kahan</w:t>
            </w:r>
          </w:p>
        </w:tc>
        <w:tc>
          <w:tcPr>
            <w:tcW w:w="5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6"/>
                <w:szCs w:val="16"/>
                <w:color w:val="auto"/>
              </w:rPr>
            </w:pPr>
          </w:p>
        </w:tc>
        <w:tc>
          <w:tcPr>
            <w:tcW w:w="3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II)</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20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Rafael de la Vega</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4"/>
                <w:szCs w:val="14"/>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 approve our Consolidated Financial Statements for the fiscal year</w:t>
            </w:r>
          </w:p>
        </w:tc>
        <w:tc>
          <w:tcPr>
            <w:tcW w:w="460" w:type="dxa"/>
            <w:vAlign w:val="bottom"/>
            <w:gridSpan w:val="2"/>
          </w:tcPr>
          <w:p>
            <w:pPr>
              <w:jc w:val="center"/>
              <w:ind w:right="40"/>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55"/>
        </w:trPr>
        <w:tc>
          <w:tcPr>
            <w:tcW w:w="2060" w:type="dxa"/>
            <w:vAlign w:val="bottom"/>
            <w:gridSpan w:val="2"/>
          </w:tcPr>
          <w:p>
            <w:pPr>
              <w:ind w:left="360"/>
              <w:spacing w:after="0" w:line="155" w:lineRule="exact"/>
              <w:rPr>
                <w:sz w:val="20"/>
                <w:szCs w:val="20"/>
                <w:color w:val="auto"/>
              </w:rPr>
            </w:pPr>
            <w:r>
              <w:rPr>
                <w:rFonts w:ascii="Times New Roman" w:cs="Times New Roman" w:eastAsia="Times New Roman" w:hAnsi="Times New Roman"/>
                <w:sz w:val="14"/>
                <w:szCs w:val="14"/>
                <w:color w:val="auto"/>
              </w:rPr>
              <w:t>Giora Yaron</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3"/>
                <w:szCs w:val="13"/>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2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4"/>
                <w:szCs w:val="14"/>
                <w:color w:val="auto"/>
              </w:rPr>
              <w:t>ended September 30, 2020 (Proposal III).</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Eli Gelman</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8"/>
                <w:szCs w:val="18"/>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Richard T.C. LeFave</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4"/>
                <w:szCs w:val="14"/>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 ratify and approve the appointment of Ernst &amp; Young LLP as our</w:t>
            </w:r>
          </w:p>
        </w:tc>
        <w:tc>
          <w:tcPr>
            <w:tcW w:w="460" w:type="dxa"/>
            <w:vAlign w:val="bottom"/>
            <w:gridSpan w:val="2"/>
          </w:tcPr>
          <w:p>
            <w:pPr>
              <w:jc w:val="center"/>
              <w:ind w:right="40"/>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55"/>
        </w:trPr>
        <w:tc>
          <w:tcPr>
            <w:tcW w:w="2060" w:type="dxa"/>
            <w:vAlign w:val="bottom"/>
            <w:gridSpan w:val="2"/>
          </w:tcPr>
          <w:p>
            <w:pPr>
              <w:ind w:left="360"/>
              <w:spacing w:after="0" w:line="155" w:lineRule="exact"/>
              <w:rPr>
                <w:sz w:val="20"/>
                <w:szCs w:val="20"/>
                <w:color w:val="auto"/>
              </w:rPr>
            </w:pPr>
            <w:r>
              <w:rPr>
                <w:rFonts w:ascii="Times New Roman" w:cs="Times New Roman" w:eastAsia="Times New Roman" w:hAnsi="Times New Roman"/>
                <w:sz w:val="14"/>
                <w:szCs w:val="14"/>
                <w:color w:val="auto"/>
              </w:rPr>
              <w:t>John A. MacDonald</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3"/>
                <w:szCs w:val="13"/>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2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4"/>
                <w:szCs w:val="14"/>
                <w:color w:val="auto"/>
              </w:rPr>
              <w:t>independent registered public accounting firm for the fiscal year ending</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Shuky Sheffer</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2"/>
                <w:szCs w:val="12"/>
                <w:color w:val="auto"/>
              </w:rPr>
            </w:pPr>
          </w:p>
        </w:tc>
        <w:tc>
          <w:tcPr>
            <w:tcW w:w="3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3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September 30, 2021, and until the next annual general meeting, and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60" w:type="dxa"/>
            <w:vAlign w:val="bottom"/>
            <w:gridSpan w:val="2"/>
          </w:tcPr>
          <w:p>
            <w:pPr>
              <w:ind w:left="360"/>
              <w:spacing w:after="0" w:line="133" w:lineRule="exact"/>
              <w:rPr>
                <w:sz w:val="20"/>
                <w:szCs w:val="20"/>
                <w:color w:val="auto"/>
              </w:rPr>
            </w:pPr>
            <w:r>
              <w:rPr>
                <w:rFonts w:ascii="Times New Roman" w:cs="Times New Roman" w:eastAsia="Times New Roman" w:hAnsi="Times New Roman"/>
                <w:sz w:val="14"/>
                <w:szCs w:val="14"/>
                <w:color w:val="auto"/>
              </w:rPr>
              <w:t>Yvette Kanouff</w:t>
            </w:r>
          </w:p>
        </w:tc>
        <w:tc>
          <w:tcPr>
            <w:tcW w:w="58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8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1"/>
                <w:szCs w:val="11"/>
                <w:color w:val="auto"/>
              </w:rPr>
            </w:pPr>
          </w:p>
        </w:tc>
        <w:tc>
          <w:tcPr>
            <w:tcW w:w="3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20" w:type="dxa"/>
            <w:vAlign w:val="bottom"/>
            <w:gridSpan w:val="3"/>
          </w:tcPr>
          <w:p>
            <w:pPr>
              <w:ind w:left="120"/>
              <w:spacing w:after="0" w:line="133" w:lineRule="exact"/>
              <w:rPr>
                <w:sz w:val="20"/>
                <w:szCs w:val="20"/>
                <w:color w:val="auto"/>
              </w:rPr>
            </w:pPr>
            <w:r>
              <w:rPr>
                <w:rFonts w:ascii="Times New Roman" w:cs="Times New Roman" w:eastAsia="Times New Roman" w:hAnsi="Times New Roman"/>
                <w:sz w:val="14"/>
                <w:szCs w:val="14"/>
                <w:color w:val="auto"/>
              </w:rPr>
              <w:t>authorize the Audit Committee of the Board of Directors to fix the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3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remuneration of such independent registered public accounting firm in</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accordance with the nature and extent of its services (Proposal IV).</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6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40" w:type="dxa"/>
            <w:vAlign w:val="bottom"/>
            <w:gridSpan w:val="9"/>
            <w:vMerge w:val="restart"/>
          </w:tcPr>
          <w:p>
            <w:pPr>
              <w:ind w:left="60"/>
              <w:spacing w:after="0"/>
              <w:rPr>
                <w:sz w:val="20"/>
                <w:szCs w:val="20"/>
                <w:color w:val="auto"/>
              </w:rPr>
            </w:pPr>
            <w:r>
              <w:rPr>
                <w:rFonts w:ascii="Times New Roman" w:cs="Times New Roman" w:eastAsia="Times New Roman" w:hAnsi="Times New Roman"/>
                <w:sz w:val="14"/>
                <w:szCs w:val="14"/>
                <w:color w:val="auto"/>
              </w:rPr>
              <w:t>Our shareholders will also act on such other business as may properly come before the annual general</w:t>
            </w:r>
          </w:p>
        </w:tc>
        <w:tc>
          <w:tcPr>
            <w:tcW w:w="0" w:type="dxa"/>
            <w:vAlign w:val="bottom"/>
          </w:tcPr>
          <w:p>
            <w:pPr>
              <w:spacing w:after="0"/>
              <w:rPr>
                <w:sz w:val="1"/>
                <w:szCs w:val="1"/>
                <w:color w:val="auto"/>
              </w:rPr>
            </w:pPr>
          </w:p>
        </w:tc>
      </w:tr>
      <w:tr>
        <w:trPr>
          <w:trHeight w:val="122"/>
        </w:trPr>
        <w:tc>
          <w:tcPr>
            <w:tcW w:w="3500" w:type="dxa"/>
            <w:vAlign w:val="bottom"/>
            <w:gridSpan w:val="4"/>
          </w:tcPr>
          <w:p>
            <w:pPr>
              <w:ind w:left="360"/>
              <w:spacing w:after="0" w:line="122" w:lineRule="exact"/>
              <w:rPr>
                <w:sz w:val="20"/>
                <w:szCs w:val="20"/>
                <w:color w:val="auto"/>
              </w:rPr>
            </w:pPr>
            <w:r>
              <w:rPr>
                <w:rFonts w:ascii="Times New Roman" w:cs="Times New Roman" w:eastAsia="Times New Roman" w:hAnsi="Times New Roman"/>
                <w:sz w:val="14"/>
                <w:szCs w:val="14"/>
                <w:color w:val="auto"/>
              </w:rPr>
              <w:t>To change the address on your account, please check</w:t>
            </w:r>
          </w:p>
        </w:tc>
        <w:tc>
          <w:tcPr>
            <w:tcW w:w="280" w:type="dxa"/>
            <w:vAlign w:val="bottom"/>
          </w:tcPr>
          <w:p>
            <w:pPr>
              <w:spacing w:after="0"/>
              <w:rPr>
                <w:sz w:val="10"/>
                <w:szCs w:val="10"/>
                <w:color w:val="auto"/>
              </w:rPr>
            </w:pPr>
          </w:p>
        </w:tc>
        <w:tc>
          <w:tcPr>
            <w:tcW w:w="340" w:type="dxa"/>
            <w:vAlign w:val="bottom"/>
          </w:tcPr>
          <w:p>
            <w:pPr>
              <w:jc w:val="center"/>
              <w:spacing w:after="0" w:line="122" w:lineRule="exact"/>
              <w:rPr>
                <w:sz w:val="20"/>
                <w:szCs w:val="20"/>
                <w:color w:val="auto"/>
              </w:rPr>
            </w:pPr>
            <w:r>
              <w:rPr>
                <w:rFonts w:ascii="MS PGothic" w:cs="MS PGothic" w:eastAsia="MS PGothic" w:hAnsi="MS PGothic"/>
                <w:sz w:val="14"/>
                <w:szCs w:val="14"/>
                <w:color w:val="auto"/>
                <w:w w:val="85"/>
              </w:rPr>
              <w:t>☐</w:t>
            </w:r>
          </w:p>
        </w:tc>
        <w:tc>
          <w:tcPr>
            <w:tcW w:w="22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4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500" w:type="dxa"/>
            <w:vAlign w:val="bottom"/>
            <w:gridSpan w:val="4"/>
          </w:tcPr>
          <w:p>
            <w:pPr>
              <w:ind w:left="360"/>
              <w:spacing w:after="0" w:line="142" w:lineRule="exact"/>
              <w:rPr>
                <w:sz w:val="20"/>
                <w:szCs w:val="20"/>
                <w:color w:val="auto"/>
              </w:rPr>
            </w:pPr>
            <w:r>
              <w:rPr>
                <w:rFonts w:ascii="Times New Roman" w:cs="Times New Roman" w:eastAsia="Times New Roman" w:hAnsi="Times New Roman"/>
                <w:sz w:val="14"/>
                <w:szCs w:val="14"/>
                <w:color w:val="auto"/>
              </w:rPr>
              <w:t>the box at right and indicate your new address in the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40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color w:val="auto"/>
              </w:rPr>
              <w:t>meeting.</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gridSpan w:val="4"/>
          </w:tcPr>
          <w:p>
            <w:pPr>
              <w:ind w:left="360"/>
              <w:spacing w:after="0" w:line="149" w:lineRule="exact"/>
              <w:rPr>
                <w:sz w:val="20"/>
                <w:szCs w:val="20"/>
                <w:color w:val="auto"/>
              </w:rPr>
            </w:pPr>
            <w:r>
              <w:rPr>
                <w:rFonts w:ascii="Times New Roman" w:cs="Times New Roman" w:eastAsia="Times New Roman" w:hAnsi="Times New Roman"/>
                <w:sz w:val="14"/>
                <w:szCs w:val="14"/>
                <w:color w:val="auto"/>
              </w:rPr>
              <w:t>address space above. Please note that changes to the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440" w:type="dxa"/>
            <w:vAlign w:val="bottom"/>
            <w:gridSpan w:val="9"/>
          </w:tcPr>
          <w:p>
            <w:pPr>
              <w:ind w:left="60"/>
              <w:spacing w:after="0" w:line="149" w:lineRule="exact"/>
              <w:rPr>
                <w:sz w:val="20"/>
                <w:szCs w:val="20"/>
                <w:color w:val="auto"/>
              </w:rPr>
            </w:pPr>
            <w:r>
              <w:rPr>
                <w:rFonts w:ascii="Times New Roman" w:cs="Times New Roman" w:eastAsia="Times New Roman" w:hAnsi="Times New Roman"/>
                <w:sz w:val="14"/>
                <w:szCs w:val="14"/>
                <w:color w:val="auto"/>
              </w:rPr>
              <w:t>The Board of Directors has fixed the close of business on December 3, 2020 as the record date for the</w:t>
            </w:r>
          </w:p>
        </w:tc>
        <w:tc>
          <w:tcPr>
            <w:tcW w:w="0" w:type="dxa"/>
            <w:vAlign w:val="bottom"/>
          </w:tcPr>
          <w:p>
            <w:pPr>
              <w:spacing w:after="0"/>
              <w:rPr>
                <w:sz w:val="1"/>
                <w:szCs w:val="1"/>
                <w:color w:val="auto"/>
              </w:rPr>
            </w:pPr>
          </w:p>
        </w:tc>
      </w:tr>
      <w:tr>
        <w:trPr>
          <w:trHeight w:val="148"/>
        </w:trPr>
        <w:tc>
          <w:tcPr>
            <w:tcW w:w="3500" w:type="dxa"/>
            <w:vAlign w:val="bottom"/>
            <w:gridSpan w:val="4"/>
          </w:tcPr>
          <w:p>
            <w:pPr>
              <w:ind w:left="360"/>
              <w:spacing w:after="0" w:line="149" w:lineRule="exact"/>
              <w:rPr>
                <w:sz w:val="20"/>
                <w:szCs w:val="20"/>
                <w:color w:val="auto"/>
              </w:rPr>
            </w:pPr>
            <w:r>
              <w:rPr>
                <w:rFonts w:ascii="Times New Roman" w:cs="Times New Roman" w:eastAsia="Times New Roman" w:hAnsi="Times New Roman"/>
                <w:sz w:val="14"/>
                <w:szCs w:val="14"/>
                <w:color w:val="auto"/>
              </w:rPr>
              <w:t>registered name(s) on the account may not be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440" w:type="dxa"/>
            <w:vAlign w:val="bottom"/>
            <w:gridSpan w:val="9"/>
          </w:tcPr>
          <w:p>
            <w:pPr>
              <w:ind w:left="60"/>
              <w:spacing w:after="0" w:line="149" w:lineRule="exact"/>
              <w:rPr>
                <w:sz w:val="20"/>
                <w:szCs w:val="20"/>
                <w:color w:val="auto"/>
              </w:rPr>
            </w:pPr>
            <w:r>
              <w:rPr>
                <w:rFonts w:ascii="Times New Roman" w:cs="Times New Roman" w:eastAsia="Times New Roman" w:hAnsi="Times New Roman"/>
                <w:sz w:val="14"/>
                <w:szCs w:val="14"/>
                <w:color w:val="auto"/>
              </w:rPr>
              <w:t>determination of our shareholders entitled to notice of, and to vote on the matters proposed at, the annual</w:t>
            </w:r>
          </w:p>
        </w:tc>
        <w:tc>
          <w:tcPr>
            <w:tcW w:w="0" w:type="dxa"/>
            <w:vAlign w:val="bottom"/>
          </w:tcPr>
          <w:p>
            <w:pPr>
              <w:spacing w:after="0"/>
              <w:rPr>
                <w:sz w:val="1"/>
                <w:szCs w:val="1"/>
                <w:color w:val="auto"/>
              </w:rPr>
            </w:pPr>
          </w:p>
        </w:tc>
      </w:tr>
      <w:tr>
        <w:trPr>
          <w:trHeight w:val="176"/>
        </w:trPr>
        <w:tc>
          <w:tcPr>
            <w:tcW w:w="20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color w:val="auto"/>
              </w:rPr>
              <w:t>submitted via this method.</w:t>
            </w: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40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general meeting and any adjournments thereof.</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6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Signature of</w:t>
            </w: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Signature of</w:t>
            </w: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660" w:type="dxa"/>
            <w:vAlign w:val="bottom"/>
            <w:vMerge w:val="continue"/>
          </w:tcPr>
          <w:p>
            <w:pPr>
              <w:spacing w:after="0"/>
              <w:rPr>
                <w:sz w:val="12"/>
                <w:szCs w:val="12"/>
                <w:color w:val="auto"/>
              </w:rPr>
            </w:pPr>
          </w:p>
        </w:tc>
        <w:tc>
          <w:tcPr>
            <w:tcW w:w="400" w:type="dxa"/>
            <w:vAlign w:val="bottom"/>
            <w:tcBorders>
              <w:top w:val="single" w:sz="8" w:color="auto"/>
              <w:left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3"/>
                <w:szCs w:val="13"/>
                <w:color w:val="auto"/>
              </w:rPr>
              <w:t>Date:</w:t>
            </w:r>
          </w:p>
        </w:tc>
        <w:tc>
          <w:tcPr>
            <w:tcW w:w="80" w:type="dxa"/>
            <w:vAlign w:val="bottom"/>
            <w:tcBorders>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1620" w:type="dxa"/>
            <w:vAlign w:val="bottom"/>
            <w:vMerge w:val="continue"/>
          </w:tcPr>
          <w:p>
            <w:pPr>
              <w:spacing w:after="0"/>
              <w:rPr>
                <w:sz w:val="12"/>
                <w:szCs w:val="12"/>
                <w:color w:val="auto"/>
              </w:rPr>
            </w:pPr>
          </w:p>
        </w:tc>
        <w:tc>
          <w:tcPr>
            <w:tcW w:w="1820" w:type="dxa"/>
            <w:vAlign w:val="bottom"/>
            <w:tcBorders>
              <w:top w:val="single" w:sz="8" w:color="auto"/>
              <w:left w:val="single" w:sz="8" w:color="auto"/>
            </w:tcBorders>
          </w:tcPr>
          <w:p>
            <w:pPr>
              <w:spacing w:after="0"/>
              <w:rPr>
                <w:sz w:val="12"/>
                <w:szCs w:val="12"/>
                <w:color w:val="auto"/>
              </w:rPr>
            </w:pPr>
          </w:p>
        </w:tc>
        <w:tc>
          <w:tcPr>
            <w:tcW w:w="280" w:type="dxa"/>
            <w:vAlign w:val="bottom"/>
            <w:tcBorders>
              <w:top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right w:val="single" w:sz="8" w:color="auto"/>
            </w:tcBorders>
          </w:tcPr>
          <w:p>
            <w:pPr>
              <w:ind w:left="240"/>
              <w:spacing w:after="0" w:line="142" w:lineRule="exact"/>
              <w:rPr>
                <w:sz w:val="20"/>
                <w:szCs w:val="20"/>
                <w:color w:val="auto"/>
              </w:rPr>
            </w:pPr>
            <w:r>
              <w:rPr>
                <w:rFonts w:ascii="Times New Roman" w:cs="Times New Roman" w:eastAsia="Times New Roman" w:hAnsi="Times New Roman"/>
                <w:sz w:val="13"/>
                <w:szCs w:val="13"/>
                <w:color w:val="auto"/>
              </w:rPr>
              <w:t>Date:</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Shareholder</w:t>
            </w:r>
          </w:p>
        </w:tc>
        <w:tc>
          <w:tcPr>
            <w:tcW w:w="400" w:type="dxa"/>
            <w:vAlign w:val="bottom"/>
            <w:tcBorders>
              <w:left w:val="single" w:sz="8" w:color="auto"/>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162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Shareholder</w:t>
            </w:r>
          </w:p>
        </w:tc>
        <w:tc>
          <w:tcPr>
            <w:tcW w:w="1820" w:type="dxa"/>
            <w:vAlign w:val="bottom"/>
            <w:tcBorders>
              <w:left w:val="single" w:sz="8" w:color="auto"/>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4"/>
          <w:szCs w:val="14"/>
          <w:color w:val="auto"/>
        </w:rPr>
        <w:t>Note: Please sign exactly as your name or names appear on this Proxy. When shares are held jointly, each holder should sign. When signing as executor, administrator, attorney,</w:t>
      </w:r>
    </w:p>
    <w:p>
      <w:pPr>
        <w:spacing w:after="0" w:line="4" w:lineRule="exact"/>
        <w:rPr>
          <w:sz w:val="20"/>
          <w:szCs w:val="20"/>
          <w:color w:val="auto"/>
        </w:rPr>
      </w:pPr>
    </w:p>
    <w:p>
      <w:pPr>
        <w:ind w:left="624" w:right="380" w:hanging="624"/>
        <w:spacing w:after="0" w:line="185" w:lineRule="auto"/>
        <w:tabs>
          <w:tab w:leader="none" w:pos="624" w:val="left"/>
        </w:tabs>
        <w:numPr>
          <w:ilvl w:val="0"/>
          <w:numId w:val="11"/>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1"/>
          <w:szCs w:val="11"/>
          <w:color w:val="auto"/>
        </w:rPr>
        <w:t>trustee or guardian, please give full title as such. If the signer is a corporation, please sign full corporate name by duly authorized officer, giving full title as such. If signer is a partnership, please sign in partnership name by authorized person. ¢</w:t>
      </w:r>
    </w:p>
    <w:p>
      <w:pPr>
        <w:sectPr>
          <w:pgSz w:w="11900" w:h="16838" w:orient="portrait"/>
          <w:cols w:equalWidth="0" w:num="1">
            <w:col w:w="11024"/>
          </w:cols>
          <w:pgMar w:left="436" w:top="266" w:right="43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3"/>
          <w:szCs w:val="23"/>
          <w:color w:val="auto"/>
        </w:rPr>
        <w:t>Pursuant to the requirements of the Securities Exchange Act of 1934, the registrant has duly caused this report to be signed on its behalf by the undersigned, thereunto duly authorized.</w:t>
      </w:r>
    </w:p>
    <w:p>
      <w:pPr>
        <w:spacing w:after="0" w:line="4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3"/>
          <w:szCs w:val="23"/>
          <w:color w:val="auto"/>
        </w:rPr>
        <w:t>AMDOCS LIMITED</w:t>
      </w:r>
    </w:p>
    <w:p>
      <w:pPr>
        <w:spacing w:after="0" w:line="22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3"/>
          <w:szCs w:val="23"/>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23495</wp:posOffset>
            </wp:positionV>
            <wp:extent cx="25114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3"/>
          <w:szCs w:val="23"/>
          <w:color w:val="auto"/>
        </w:rPr>
        <w:t>Name: Matthew E. Smith</w:t>
      </w:r>
    </w:p>
    <w:p>
      <w:pPr>
        <w:spacing w:after="0" w:line="24"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3"/>
          <w:szCs w:val="23"/>
          <w:color w:val="auto"/>
        </w:rPr>
        <w:t>Title: Secretary and Authorized Signatory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Date: December 23, 2020</w:t>
      </w:r>
    </w:p>
    <w:sectPr>
      <w:pgSz w:w="11900" w:h="16838" w:orient="portrait"/>
      <w:cols w:equalWidth="0" w:num="1">
        <w:col w:w="10980"/>
      </w:cols>
      <w:pgMar w:left="440" w:top="25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2020-12-23T15:28:08Z</dcterms:created>
  <dcterms:modified xsi:type="dcterms:W3CDTF">2020-12-23T15:28:08Z</dcterms:modified>
</cp:coreProperties>
</file>