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860"/>
        <w:spacing w:after="0"/>
        <w:rPr>
          <w:sz w:val="20"/>
          <w:szCs w:val="20"/>
          <w:color w:val="auto"/>
        </w:rPr>
      </w:pPr>
      <w:r>
        <w:rPr>
          <w:rFonts w:ascii="Courier New" w:cs="Courier New" w:eastAsia="Courier New" w:hAnsi="Courier New"/>
          <w:sz w:val="18"/>
          <w:szCs w:val="18"/>
          <w:color w:val="auto"/>
        </w:rPr>
        <w:t>--------------------------</w:t>
      </w:r>
    </w:p>
    <w:p>
      <w:pPr>
        <w:ind w:left="3700"/>
        <w:spacing w:after="0" w:line="237" w:lineRule="auto"/>
        <w:rPr>
          <w:sz w:val="20"/>
          <w:szCs w:val="20"/>
          <w:color w:val="auto"/>
        </w:rPr>
      </w:pPr>
      <w:r>
        <w:rPr>
          <w:rFonts w:ascii="Courier New" w:cs="Courier New" w:eastAsia="Courier New" w:hAnsi="Courier New"/>
          <w:sz w:val="18"/>
          <w:szCs w:val="18"/>
          <w:color w:val="auto"/>
        </w:rPr>
        <w:t>SCHEDULE TO</w:t>
      </w:r>
    </w:p>
    <w:p>
      <w:pPr>
        <w:ind w:left="3480"/>
        <w:spacing w:after="0" w:line="238" w:lineRule="auto"/>
        <w:rPr>
          <w:sz w:val="20"/>
          <w:szCs w:val="20"/>
          <w:color w:val="auto"/>
        </w:rPr>
      </w:pPr>
      <w:r>
        <w:rPr>
          <w:rFonts w:ascii="Courier New" w:cs="Courier New" w:eastAsia="Courier New" w:hAnsi="Courier New"/>
          <w:sz w:val="18"/>
          <w:szCs w:val="18"/>
          <w:color w:val="auto"/>
        </w:rPr>
        <w:t>(RULE 14d-100)</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Filing Persons (Offeror))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2% CONVERTIBLE NOTES DUE JUNE 1, 2008</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02342TAB52</w:t>
      </w:r>
    </w:p>
    <w:p>
      <w:pPr>
        <w:jc w:val="center"/>
        <w:ind w:right="1779"/>
        <w:spacing w:after="0" w:line="238" w:lineRule="auto"/>
        <w:rPr>
          <w:sz w:val="20"/>
          <w:szCs w:val="20"/>
          <w:color w:val="auto"/>
        </w:rPr>
      </w:pPr>
      <w:r>
        <w:rPr>
          <w:rFonts w:ascii="Courier New" w:cs="Courier New" w:eastAsia="Courier New" w:hAnsi="Courier New"/>
          <w:sz w:val="18"/>
          <w:szCs w:val="18"/>
          <w:color w:val="auto"/>
        </w:rPr>
        <w:t>02342TAA79</w:t>
      </w:r>
    </w:p>
    <w:p>
      <w:pPr>
        <w:jc w:val="center"/>
        <w:ind w:right="1659"/>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jc w:val="center"/>
        <w:ind w:right="1659"/>
        <w:spacing w:after="0"/>
        <w:rPr>
          <w:sz w:val="20"/>
          <w:szCs w:val="20"/>
          <w:color w:val="auto"/>
        </w:rPr>
      </w:pPr>
      <w:r>
        <w:rPr>
          <w:rFonts w:ascii="Courier New" w:cs="Courier New" w:eastAsia="Courier New" w:hAnsi="Courier New"/>
          <w:sz w:val="18"/>
          <w:szCs w:val="18"/>
          <w:color w:val="auto"/>
        </w:rPr>
        <w:t>ATTENTION: THOMAS G. O'BRIEN, TREASURER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(314) 212-8328</w:t>
      </w:r>
    </w:p>
    <w:p>
      <w:pPr>
        <w:spacing w:after="0" w:line="5" w:lineRule="exact"/>
        <w:rPr>
          <w:sz w:val="24"/>
          <w:szCs w:val="24"/>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(Name, address and telephone numbers of person authorized to receive notices and communications on behalf of filing persons))</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ind w:left="2120"/>
        <w:spacing w:after="0" w:line="238" w:lineRule="auto"/>
        <w:rPr>
          <w:sz w:val="20"/>
          <w:szCs w:val="20"/>
          <w:color w:val="auto"/>
        </w:rPr>
      </w:pPr>
      <w:r>
        <w:rPr>
          <w:rFonts w:ascii="Courier New" w:cs="Courier New" w:eastAsia="Courier New" w:hAnsi="Courier New"/>
          <w:sz w:val="18"/>
          <w:szCs w:val="18"/>
          <w:color w:val="auto"/>
        </w:rPr>
        <w:t>WILMER CUTLER PICKERING HALE AND DORR LLP</w:t>
      </w:r>
    </w:p>
    <w:p>
      <w:pPr>
        <w:ind w:left="3480"/>
        <w:spacing w:after="0"/>
        <w:rPr>
          <w:sz w:val="20"/>
          <w:szCs w:val="20"/>
          <w:color w:val="auto"/>
        </w:rPr>
      </w:pPr>
      <w:r>
        <w:rPr>
          <w:rFonts w:ascii="Courier New" w:cs="Courier New" w:eastAsia="Courier New" w:hAnsi="Courier New"/>
          <w:sz w:val="18"/>
          <w:szCs w:val="18"/>
          <w:color w:val="auto"/>
        </w:rPr>
        <w:t>300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4120" w:hanging="636"/>
        <w:spacing w:after="0" w:line="238" w:lineRule="auto"/>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937-7200</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any part of the fee is offset as provided by Rule</w:t>
      </w:r>
    </w:p>
    <w:p>
      <w:pPr>
        <w:spacing w:after="0" w:line="4" w:lineRule="exact"/>
        <w:rPr>
          <w:rFonts w:ascii="Courier New" w:cs="Courier New" w:eastAsia="Courier New" w:hAnsi="Courier New"/>
          <w:sz w:val="18"/>
          <w:szCs w:val="18"/>
          <w:color w:val="auto"/>
        </w:rPr>
      </w:pPr>
    </w:p>
    <w:p>
      <w:pPr>
        <w:ind w:left="64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19"/>
          </w:cols>
          <w:pgMar w:left="240" w:top="452" w:right="1440" w:bottom="851" w:gutter="0" w:footer="0" w:header="0"/>
        </w:sectPr>
      </w:pP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Amount Previously Paid: $50,105.</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Form or Registration No.: Schedule TO-I.</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Filing party: Amdocs Limited.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filed: May 3, 2004.</w:t>
      </w:r>
    </w:p>
    <w:p>
      <w:pPr>
        <w:spacing w:after="0" w:line="200" w:lineRule="exact"/>
        <w:rPr>
          <w:sz w:val="24"/>
          <w:szCs w:val="24"/>
          <w:color w:val="auto"/>
        </w:rPr>
      </w:pPr>
    </w:p>
    <w:p>
      <w:pPr>
        <w:sectPr>
          <w:pgSz w:w="11900" w:h="16838" w:orient="portrait"/>
          <w:cols w:equalWidth="0" w:num="2">
            <w:col w:w="4860" w:space="520"/>
            <w:col w:w="4839"/>
          </w:cols>
          <w:pgMar w:left="240" w:top="452" w:right="1440" w:bottom="851" w:gutter="0" w:footer="0" w:header="0"/>
          <w:type w:val="continuous"/>
        </w:sectPr>
      </w:pPr>
    </w:p>
    <w:p>
      <w:pPr>
        <w:spacing w:after="0" w:line="7" w:lineRule="exact"/>
        <w:rPr>
          <w:sz w:val="24"/>
          <w:szCs w:val="24"/>
          <w:color w:val="auto"/>
        </w:rPr>
      </w:pPr>
    </w:p>
    <w:p>
      <w:pPr>
        <w:ind w:left="640" w:right="1999" w:hanging="632"/>
        <w:spacing w:after="0" w:line="235" w:lineRule="auto"/>
        <w:tabs>
          <w:tab w:leader="none" w:pos="21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the box if the filing relates solely to preliminary communications made before the commencement of a tender offer.</w:t>
      </w:r>
    </w:p>
    <w:p>
      <w:pPr>
        <w:spacing w:after="0" w:line="208"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third party tender offer subject to Rule 14d-1.</w:t>
      </w:r>
    </w:p>
    <w:p>
      <w:pPr>
        <w:ind w:left="640" w:hanging="632"/>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going-private transaction subject to Rule 13e-3.</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amendment to Schedule 13D under Rule 13d-2.</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851" w:gutter="0" w:footer="0" w:header="0"/>
          <w:type w:val="continuous"/>
        </w:sectPr>
      </w:pPr>
    </w:p>
    <w:bookmarkStart w:id="1" w:name="page2"/>
    <w:bookmarkEnd w:id="1"/>
    <w:p>
      <w:pPr>
        <w:ind w:left="2120"/>
        <w:spacing w:after="0"/>
        <w:rPr>
          <w:sz w:val="20"/>
          <w:szCs w:val="20"/>
          <w:color w:val="auto"/>
        </w:rPr>
      </w:pPr>
      <w:r>
        <w:rPr>
          <w:rFonts w:ascii="Courier New" w:cs="Courier New" w:eastAsia="Courier New" w:hAnsi="Courier New"/>
          <w:sz w:val="18"/>
          <w:szCs w:val="18"/>
          <w:color w:val="auto"/>
        </w:rPr>
        <w:t>INTRODUCTORY STATEMENT TO AMENDMENT NO. 2</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This Amendment No. 2, the final amendment in connection herewith, amends and supplements the Tender Offer Statement on Schedule TO-I filed by Amdocs Limited, a company organized under the laws of the Island of Guernsey ("Amdocs"), with the Securities and Exchange Commission on May 3, 2004, as amended and supplemented on May 25, 2004 (the "Schedule TO") relating to an offer to purchase for cash, on the terms and subject to the conditions set forth in the Notice of Put Right and Offer to Purchase, dated May 3, 2004 (as it may be supplemented or amended from time to time, the "Offer to Purchase"), and the related Letter of Transmittal (as it may be supplemented or amended from time to time, the "Letter of Transmittal"), any and all of its outstanding 2% Convertible Notes due June 1, 2008 (the "Notes"). Copies of the Offer to Purchase and the Letter of Transmittal were previously filed as exhibits (a)(1)(i) and (a)(1)(ii), respectively, to the Schedule TO. The Offer expired at 9:00 a.m., Eastern time, on June 1, 2004.</w:t>
      </w:r>
    </w:p>
    <w:p>
      <w:pPr>
        <w:spacing w:after="0" w:line="208"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Capitalized terms used in this amendment and not otherwise defined herein have the meanings given to them in the Offer to Purchase and the Schedule TO.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TERMS OF THE TRANSACTION.</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information set forth in Item 4(a) is hereby amended and supplemented by adding the following:</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Offer expired at 9:00 a.m., Eastern time, on Tuesday, June 1, 2004. Amdocs has accepted for purchase $395,110,000 in aggregate principal amount of the Notes, which constituted all of the Notes validly tendered and not withdrawn, at a purchase price of $1,000 per $1,000 of principal amount of the Notes. The purchase price applies to all of the Notes accepted for payment pursuant to the Offer.</w:t>
      </w:r>
    </w:p>
    <w:p>
      <w:pPr>
        <w:spacing w:after="0" w:line="210"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On June 1, 2004 Amdocs issued a press release announcing the final results of the Offer. A copy of this press release is filed as Exhibit (a)(5)(ii) to the Schedule TO and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ADDITIONAL INFORMATION.</w:t>
      </w:r>
    </w:p>
    <w:p>
      <w:pPr>
        <w:spacing w:after="0" w:line="207" w:lineRule="exact"/>
        <w:rPr>
          <w:sz w:val="20"/>
          <w:szCs w:val="20"/>
          <w:color w:val="auto"/>
        </w:rPr>
      </w:pPr>
    </w:p>
    <w:p>
      <w:pPr>
        <w:jc w:val="both"/>
        <w:ind w:right="1779" w:firstLine="632"/>
        <w:spacing w:after="0" w:line="290" w:lineRule="auto"/>
        <w:rPr>
          <w:sz w:val="20"/>
          <w:szCs w:val="20"/>
          <w:color w:val="auto"/>
        </w:rPr>
      </w:pPr>
      <w:r>
        <w:rPr>
          <w:rFonts w:ascii="Courier New" w:cs="Courier New" w:eastAsia="Courier New" w:hAnsi="Courier New"/>
          <w:sz w:val="16"/>
          <w:szCs w:val="16"/>
          <w:color w:val="auto"/>
        </w:rPr>
        <w:t>The information set forth in Item 11(b) is hereby amended and supplemented by incorporating by reference the information contained in Item 4 above.</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jc w:val="both"/>
        <w:ind w:right="1779" w:firstLine="632"/>
        <w:spacing w:after="0" w:line="290" w:lineRule="auto"/>
        <w:rPr>
          <w:sz w:val="20"/>
          <w:szCs w:val="20"/>
          <w:color w:val="auto"/>
        </w:rPr>
      </w:pPr>
      <w:r>
        <w:rPr>
          <w:rFonts w:ascii="Courier New" w:cs="Courier New" w:eastAsia="Courier New" w:hAnsi="Courier New"/>
          <w:sz w:val="16"/>
          <w:szCs w:val="16"/>
          <w:color w:val="auto"/>
        </w:rPr>
        <w:t>The information set forth in Item 12 is hereby amended and supplemented by adding immediately following the reference to Exhibit (a)(5)(ii) the following:</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"(a)(5)(ii) Press Release Regarding Results of the Offer, dated June 1,</w:t>
      </w:r>
    </w:p>
    <w:p>
      <w:pPr>
        <w:spacing w:after="0" w:line="238" w:lineRule="auto"/>
        <w:rPr>
          <w:sz w:val="20"/>
          <w:szCs w:val="20"/>
          <w:color w:val="auto"/>
        </w:rPr>
      </w:pPr>
      <w:r>
        <w:rPr>
          <w:rFonts w:ascii="Courier New" w:cs="Courier New" w:eastAsia="Courier New" w:hAnsi="Courier New"/>
          <w:sz w:val="18"/>
          <w:szCs w:val="18"/>
          <w:color w:val="auto"/>
        </w:rPr>
        <w:t>2004."</w:t>
      </w:r>
    </w:p>
    <w:p>
      <w:pPr>
        <w:sectPr>
          <w:pgSz w:w="11900" w:h="16838" w:orient="portrait"/>
          <w:cols w:equalWidth="0" w:num="1">
            <w:col w:w="10219"/>
          </w:cols>
          <w:pgMar w:left="240" w:top="514" w:right="1440"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Amendment No. 2 to Schedule TO is true, complete and correct.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Thomas G. O'Brien</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Thomas G. O'Brien</w:t>
      </w:r>
    </w:p>
    <w:p>
      <w:pPr>
        <w:ind w:left="5280"/>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Authorized U.S. Representative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1, 2004</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220" w:type="dxa"/>
            <w:vAlign w:val="bottom"/>
          </w:tcPr>
          <w:p>
            <w:pPr>
              <w:spacing w:after="0"/>
              <w:rPr>
                <w:sz w:val="17"/>
                <w:szCs w:val="17"/>
                <w:color w:val="auto"/>
              </w:rPr>
            </w:pPr>
          </w:p>
        </w:tc>
        <w:tc>
          <w:tcPr>
            <w:tcW w:w="4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(a)(1)(i)</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Notice of</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Put</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w w:val="99"/>
              </w:rPr>
              <w:t>Right and Offer to Purchase, dated May 3,</w:t>
            </w:r>
          </w:p>
        </w:tc>
      </w:tr>
      <w:tr>
        <w:trPr>
          <w:trHeight w:val="203"/>
        </w:trPr>
        <w:tc>
          <w:tcPr>
            <w:tcW w:w="136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2004.*</w:t>
            </w:r>
          </w:p>
        </w:tc>
        <w:tc>
          <w:tcPr>
            <w:tcW w:w="42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(a)(1)(ii)</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Letter of</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Transmittal, dated May 3, 2004.*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(a)(1)(iii)</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Letter to</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Clients, dated May 3, 2004.*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(a)(1)(iv)</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Letter to</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Brokers, Dealers, Commercial Banks, Trust</w:t>
            </w:r>
          </w:p>
        </w:tc>
      </w:tr>
      <w:tr>
        <w:trPr>
          <w:trHeight w:val="203"/>
        </w:trPr>
        <w:tc>
          <w:tcPr>
            <w:tcW w:w="136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Companies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 Nominees, dated May 3, 2004.*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(a)(1)(v)</w:t>
            </w:r>
          </w:p>
        </w:tc>
        <w:tc>
          <w:tcPr>
            <w:tcW w:w="16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Guidelines to</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rPr>
              <w:t>Form W-9.*</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(a)(5)(i)</w:t>
            </w:r>
          </w:p>
        </w:tc>
        <w:tc>
          <w:tcPr>
            <w:tcW w:w="16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Press Release</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rPr>
              <w:t>Regarding Offer, dated May 3, 2004.*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(a)(5)(ii)</w:t>
            </w:r>
          </w:p>
        </w:tc>
        <w:tc>
          <w:tcPr>
            <w:tcW w:w="16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Press Release</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w w:val="96"/>
              </w:rPr>
              <w:t>Regarding Results of the Offer, dated June</w:t>
            </w:r>
          </w:p>
        </w:tc>
      </w:tr>
      <w:tr>
        <w:trPr>
          <w:trHeight w:val="203"/>
        </w:trPr>
        <w:tc>
          <w:tcPr>
            <w:tcW w:w="136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1, 2004.</w:t>
            </w:r>
          </w:p>
        </w:tc>
        <w:tc>
          <w:tcPr>
            <w:tcW w:w="420" w:type="dxa"/>
            <w:vAlign w:val="bottom"/>
          </w:tcPr>
          <w:p>
            <w:pPr>
              <w:spacing w:after="0"/>
              <w:rPr>
                <w:sz w:val="17"/>
                <w:szCs w:val="17"/>
                <w:color w:val="auto"/>
              </w:rPr>
            </w:pPr>
          </w:p>
        </w:tc>
        <w:tc>
          <w:tcPr>
            <w:tcW w:w="4480" w:type="dxa"/>
            <w:vAlign w:val="bottom"/>
          </w:tcPr>
          <w:p>
            <w:pPr>
              <w:spacing w:after="0"/>
              <w:rPr>
                <w:sz w:val="17"/>
                <w:szCs w:val="17"/>
                <w:color w:val="auto"/>
              </w:rPr>
            </w:pPr>
          </w:p>
        </w:tc>
      </w:tr>
    </w:tbl>
    <w:p>
      <w:pPr>
        <w:spacing w:after="0" w:line="201" w:lineRule="exact"/>
        <w:rPr>
          <w:sz w:val="20"/>
          <w:szCs w:val="20"/>
          <w:color w:val="auto"/>
        </w:rPr>
      </w:pPr>
    </w:p>
    <w:p>
      <w:pPr>
        <w:ind w:left="2540" w:hanging="1584"/>
        <w:spacing w:after="0"/>
        <w:tabs>
          <w:tab w:leader="none" w:pos="2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2540" w:right="1879" w:hanging="1579"/>
        <w:spacing w:after="0" w:line="237" w:lineRule="auto"/>
        <w:tabs>
          <w:tab w:leader="none" w:pos="2520" w:val="left"/>
        </w:tabs>
        <w:rPr>
          <w:sz w:val="20"/>
          <w:szCs w:val="20"/>
          <w:color w:val="auto"/>
        </w:rPr>
      </w:pPr>
      <w:r>
        <w:rPr>
          <w:rFonts w:ascii="Courier New" w:cs="Courier New" w:eastAsia="Courier New" w:hAnsi="Courier New"/>
          <w:sz w:val="18"/>
          <w:szCs w:val="18"/>
          <w:color w:val="auto"/>
        </w:rPr>
        <w:t>(d)(1)</w:t>
      </w:r>
      <w:r>
        <w:rPr>
          <w:sz w:val="20"/>
          <w:szCs w:val="20"/>
          <w:color w:val="auto"/>
        </w:rPr>
        <w:tab/>
      </w:r>
      <w:r>
        <w:rPr>
          <w:rFonts w:ascii="Courier New" w:cs="Courier New" w:eastAsia="Courier New" w:hAnsi="Courier New"/>
          <w:sz w:val="18"/>
          <w:szCs w:val="18"/>
          <w:color w:val="auto"/>
        </w:rPr>
        <w:t>Indenture, dated as of May 30, 2001, between Amdocs Limited and United States Trust Company of New York, as trustee, for 2% Convertible Notes due June 1, 2008 (incorporated by reference to Exhibit 4.1 to Amdocs' Report on Form 6-K, filed May 31, 2001).</w:t>
      </w:r>
    </w:p>
    <w:p>
      <w:pPr>
        <w:spacing w:after="0" w:line="209" w:lineRule="exact"/>
        <w:rPr>
          <w:sz w:val="20"/>
          <w:szCs w:val="20"/>
          <w:color w:val="auto"/>
        </w:rPr>
      </w:pPr>
    </w:p>
    <w:p>
      <w:pPr>
        <w:ind w:left="2540" w:right="1779" w:hanging="1579"/>
        <w:spacing w:after="0" w:line="237" w:lineRule="auto"/>
        <w:tabs>
          <w:tab w:leader="none" w:pos="2520" w:val="left"/>
        </w:tabs>
        <w:rPr>
          <w:sz w:val="20"/>
          <w:szCs w:val="20"/>
          <w:color w:val="auto"/>
        </w:rPr>
      </w:pPr>
      <w:r>
        <w:rPr>
          <w:rFonts w:ascii="Courier New" w:cs="Courier New" w:eastAsia="Courier New" w:hAnsi="Courier New"/>
          <w:sz w:val="18"/>
          <w:szCs w:val="18"/>
          <w:color w:val="auto"/>
        </w:rPr>
        <w:t>(d)(2)</w:t>
      </w:r>
      <w:r>
        <w:rPr>
          <w:sz w:val="20"/>
          <w:szCs w:val="20"/>
          <w:color w:val="auto"/>
        </w:rPr>
        <w:tab/>
      </w:r>
      <w:r>
        <w:rPr>
          <w:rFonts w:ascii="Courier New" w:cs="Courier New" w:eastAsia="Courier New" w:hAnsi="Courier New"/>
          <w:sz w:val="18"/>
          <w:szCs w:val="18"/>
          <w:color w:val="auto"/>
        </w:rPr>
        <w:t>Registration Rights Agreement, dated as of May 30, 2001, between Amdocs Limited and Goldman, Sachs &amp; Co. (incorporated by reference to Exhibit 4.2 to Amdocs' Report on Form 6-K, filed May 31, 2001).</w:t>
      </w:r>
    </w:p>
    <w:p>
      <w:pPr>
        <w:spacing w:after="0" w:line="202" w:lineRule="exact"/>
        <w:rPr>
          <w:sz w:val="20"/>
          <w:szCs w:val="20"/>
          <w:color w:val="auto"/>
        </w:rPr>
      </w:pPr>
    </w:p>
    <w:p>
      <w:pPr>
        <w:ind w:left="2540" w:hanging="1584"/>
        <w:spacing w:after="0"/>
        <w:tabs>
          <w:tab w:leader="none" w:pos="2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2540" w:hanging="1584"/>
        <w:spacing w:after="0"/>
        <w:tabs>
          <w:tab w:leader="none" w:pos="2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w:t>
      </w:r>
    </w:p>
    <w:p>
      <w:pPr>
        <w:sectPr>
          <w:pgSz w:w="11900" w:h="16838" w:orient="portrait"/>
          <w:cols w:equalWidth="0" w:num="1">
            <w:col w:w="10219"/>
          </w:cols>
          <w:pgMar w:left="240" w:top="514" w:right="1440" w:bottom="1440" w:gutter="0" w:footer="0" w:header="0"/>
        </w:sectPr>
      </w:pPr>
    </w:p>
    <w:bookmarkStart w:id="4" w:name="page5"/>
    <w:bookmarkEnd w:id="4"/>
    <w:p>
      <w:pPr>
        <w:ind w:left="6540"/>
        <w:spacing w:after="0"/>
        <w:rPr>
          <w:sz w:val="20"/>
          <w:szCs w:val="20"/>
          <w:color w:val="auto"/>
        </w:rPr>
      </w:pPr>
      <w:r>
        <w:rPr>
          <w:rFonts w:ascii="Courier New" w:cs="Courier New" w:eastAsia="Courier New" w:hAnsi="Courier New"/>
          <w:sz w:val="16"/>
          <w:szCs w:val="16"/>
          <w:color w:val="auto"/>
        </w:rPr>
        <w:t>Exhibit (a)(5)(ii)</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AMDOCS ANNOUNCES COMPLETION OF CASH OFFER FOR</w:t>
      </w:r>
    </w:p>
    <w:p>
      <w:pPr>
        <w:jc w:val="center"/>
        <w:ind w:right="1659"/>
        <w:spacing w:after="0" w:line="238" w:lineRule="auto"/>
        <w:rPr>
          <w:sz w:val="20"/>
          <w:szCs w:val="20"/>
          <w:color w:val="auto"/>
        </w:rPr>
      </w:pPr>
      <w:r>
        <w:rPr>
          <w:rFonts w:ascii="Courier New" w:cs="Courier New" w:eastAsia="Courier New" w:hAnsi="Courier New"/>
          <w:sz w:val="18"/>
          <w:szCs w:val="18"/>
          <w:color w:val="auto"/>
        </w:rPr>
        <w:t>2% CONVERTIBLE NOTES DUE JUNE 1, 2008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 LOUIS, MO, June 1, 2004 -- Amdocs Limited (NYSE: DOX), a leading provider of billing and CRM products and services for true, integrated customer management, today announced it has completed the cash offer for its 2% Convertible Notes due June 1, 2008.</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Pursuant to the indenture for the notes, each holder of the notes had the right to require Amdocs to repurchase on June 1, 2004 all or any part of such holder's notes at a price equal to 100% of the principal amount plus accrued and unpaid interest. Under the terms of the notes, Amdocs had the option to pay for the notes with cash, ordinary shares, or a combination of cash and ordinary shares, and elected to pay for the notes solely with cash. Amdocs commenced a cash offer to the holders of the notes on May 3, 2004. The note holders' option to surrender their notes for repurchase ended today at 9:00 a.m., Eastern time.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has been advised by the Paying Agent, The Bank of New York, that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$395,110,000 principal amount of the notes were surrendered for repurchase and not withdrawn. Amdocs has accepted for payment all of those notes, resulting in total payments in the amount of $395,110,000. Payment for the notes will be made with available cash. The untendered $344,000 principal amount of notes will remain as obligations of the Company, due June 1, 2008, in accordance with their terms.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Amdocs combines innovative software products and services with deep business knowledge to deliver true integrated customer management to the world's leading services companies. Our best-in-class billing and CRM products seamlessly link all customer-facing business processes - marketing, sales, ordering, delivery, fulfillment, billing, settlement, service, support, and analytics - resulting in stronger, more profitable customer relationships. Amdocs enables its customers to implement their business strategy with rapid return on investment, lower total cost of ownership and improved operational efficiencies. A global company, Amdocs employs approximately 9,000 IT professionals and serves customers in more than 40 countries. Amdocs reported revenue of nearly $1.5 billion in fiscal 2003. For more information, visit Amdocs at www.amdocs.com.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Finance and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1"/>
    </w:lvl>
    <w:lvl w:ilvl="1">
      <w:lvlJc w:val="left"/>
      <w:lvlText w:val="(%2)"/>
      <w:numFmt w:val="decimal"/>
      <w:start w:val="212"/>
    </w:lvl>
  </w:abstractNum>
  <w:abstractNum w:abstractNumId="1">
    <w:nsid w:val="238E1F29"/>
    <w:multiLevelType w:val="hybridMultilevel"/>
    <w:lvl w:ilvl="0">
      <w:lvlJc w:val="left"/>
      <w:lvlText w:val="[%1]"/>
      <w:numFmt w:val="upperLetter"/>
      <w:start w:val="24"/>
    </w:lvl>
    <w:lvl w:ilvl="1">
      <w:lvlJc w:val="left"/>
      <w:lvlText w:val="%2"/>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24"/>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
      <w:numFmt w:val="bullet"/>
      <w:start w:val="1"/>
    </w:lvl>
    <w:lvl w:ilvl="1">
      <w:lvlJc w:val="left"/>
      <w:lvlText w:val="(%2)"/>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2019-12-14T20:54:28Z</dcterms:created>
  <dcterms:modified xsi:type="dcterms:W3CDTF">2019-12-14T20:54:28Z</dcterms:modified>
</cp:coreProperties>
</file>