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Event Which Requires Filing of this Statement: 12/31/2007</w:t>
      </w:r>
    </w:p>
    <w:p>
      <w:pPr>
        <w:spacing w:after="0" w:line="200" w:lineRule="exact"/>
        <w:rPr>
          <w:sz w:val="24"/>
          <w:szCs w:val="24"/>
          <w:color w:val="auto"/>
        </w:rPr>
      </w:pPr>
    </w:p>
    <w:p>
      <w:pPr>
        <w:spacing w:after="0" w:line="22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89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person's initial filing on this form with respect to the subject class</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w:t>
      </w:r>
    </w:p>
    <w:p>
      <w:pPr>
        <w:spacing w:after="0" w:line="6"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Exchange Act of 1934 ("Act") or otherwise subject to the liabilities of</w:t>
      </w:r>
    </w:p>
    <w:p>
      <w:pPr>
        <w:spacing w:after="0" w:line="6" w:lineRule="exact"/>
        <w:rPr>
          <w:sz w:val="24"/>
          <w:szCs w:val="24"/>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that section of the Act but shall be subject to all other provisions of</w:t>
      </w:r>
    </w:p>
    <w:p>
      <w:pPr>
        <w:spacing w:after="0"/>
        <w:rPr>
          <w:sz w:val="20"/>
          <w:szCs w:val="20"/>
          <w:color w:val="auto"/>
        </w:rPr>
      </w:pPr>
      <w:r>
        <w:rPr>
          <w:rFonts w:ascii="Courier New" w:cs="Courier New" w:eastAsia="Courier New" w:hAnsi="Courier New"/>
          <w:sz w:val="18"/>
          <w:szCs w:val="18"/>
          <w:color w:val="auto"/>
        </w:rPr>
        <w:t>the Act (however, see the Notes).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Management LLC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#75-3019302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960" w:right="747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16,389,277**</w:t>
      </w:r>
    </w:p>
    <w:p>
      <w:pPr>
        <w:spacing w:after="0" w:line="169" w:lineRule="exact"/>
        <w:rPr>
          <w:rFonts w:ascii="Courier New" w:cs="Courier New" w:eastAsia="Courier New" w:hAnsi="Courier New"/>
          <w:sz w:val="16"/>
          <w:szCs w:val="16"/>
          <w:color w:val="auto"/>
        </w:rPr>
      </w:pPr>
    </w:p>
    <w:p>
      <w:pPr>
        <w:ind w:left="960" w:right="725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16,389,277**</w:t>
      </w:r>
    </w:p>
    <w:p>
      <w:pPr>
        <w:spacing w:after="0" w:line="208" w:lineRule="exact"/>
        <w:rPr>
          <w:rFonts w:ascii="Courier New" w:cs="Courier New" w:eastAsia="Courier New" w:hAnsi="Courier New"/>
          <w:sz w:val="18"/>
          <w:szCs w:val="18"/>
          <w:color w:val="auto"/>
        </w:rPr>
      </w:pPr>
    </w:p>
    <w:p>
      <w:pPr>
        <w:ind w:left="960" w:right="67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PERSON</w:t>
      </w:r>
    </w:p>
    <w:p>
      <w:pPr>
        <w:ind w:left="960"/>
        <w:spacing w:after="0" w:line="238" w:lineRule="auto"/>
        <w:rPr>
          <w:sz w:val="20"/>
          <w:szCs w:val="20"/>
          <w:color w:val="auto"/>
        </w:rPr>
      </w:pPr>
      <w:r>
        <w:rPr>
          <w:rFonts w:ascii="Courier New" w:cs="Courier New" w:eastAsia="Courier New" w:hAnsi="Courier New"/>
          <w:sz w:val="18"/>
          <w:szCs w:val="18"/>
          <w:color w:val="auto"/>
        </w:rPr>
        <w:t>16,389,277**</w:t>
      </w:r>
    </w:p>
    <w:p>
      <w:pPr>
        <w:spacing w:after="0" w:line="207" w:lineRule="exact"/>
        <w:rPr>
          <w:sz w:val="20"/>
          <w:szCs w:val="20"/>
          <w:color w:val="auto"/>
        </w:rPr>
      </w:pPr>
    </w:p>
    <w:p>
      <w:pPr>
        <w:ind w:right="3679" w:firstLine="429"/>
        <w:spacing w:after="0" w:line="235" w:lineRule="auto"/>
        <w:tabs>
          <w:tab w:leader="none" w:pos="94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rFonts w:ascii="Courier New" w:cs="Courier New" w:eastAsia="Courier New" w:hAnsi="Courier New"/>
          <w:sz w:val="18"/>
          <w:szCs w:val="18"/>
          <w:color w:val="auto"/>
        </w:rPr>
      </w:pPr>
    </w:p>
    <w:p>
      <w:pPr>
        <w:ind w:left="420" w:right="461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7.8%**</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3"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Amdocs Limited ("Amdocs")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1390 Timberlake Manor Parkway</w:t>
      </w: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Chesterfield, MO</w:t>
      </w:r>
      <w:r>
        <w:rPr>
          <w:sz w:val="20"/>
          <w:szCs w:val="20"/>
          <w:color w:val="auto"/>
        </w:rPr>
        <w:tab/>
      </w:r>
      <w:r>
        <w:rPr>
          <w:rFonts w:ascii="Courier New" w:cs="Courier New" w:eastAsia="Courier New" w:hAnsi="Courier New"/>
          <w:sz w:val="16"/>
          <w:szCs w:val="16"/>
          <w:color w:val="auto"/>
        </w:rPr>
        <w:t>63017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right="3259" w:firstLine="421"/>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w:t>
      </w:r>
    </w:p>
    <w:p>
      <w:pPr>
        <w:ind w:left="1480"/>
        <w:spacing w:after="0"/>
        <w:rPr>
          <w:sz w:val="20"/>
          <w:szCs w:val="20"/>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480" w:right="3899" w:hanging="524"/>
        <w:spacing w:after="0" w:line="235"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151 Detroit Street</w:t>
      </w:r>
    </w:p>
    <w:p>
      <w:pPr>
        <w:spacing w:after="0" w:line="5" w:lineRule="exact"/>
        <w:rPr>
          <w:rFonts w:ascii="Courier New" w:cs="Courier New" w:eastAsia="Courier New" w:hAnsi="Courier New"/>
          <w:sz w:val="18"/>
          <w:szCs w:val="18"/>
          <w:color w:val="auto"/>
        </w:rPr>
      </w:pPr>
    </w:p>
    <w:p>
      <w:pPr>
        <w:ind w:left="1480" w:right="6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 Citizenship: Delaware</w:t>
      </w:r>
    </w:p>
    <w:p>
      <w:pPr>
        <w:spacing w:after="0" w:line="203"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This statement is filed pursuant to Rule 13d-1 (b) or 13d-2(b) and the person</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filing, Janus Capital, is an investment adviser in accordance with Section 240.13d-1(b)(ii)(E) as well as a parent holding company/control person in accordance with Section 240.13d-1(b)(ii)(G). See Item 4 for additional information.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 through 11 on the cover page(s)</w:t>
      </w:r>
    </w:p>
    <w:p>
      <w:pPr>
        <w:spacing w:after="0" w:line="238" w:lineRule="auto"/>
        <w:rPr>
          <w:sz w:val="20"/>
          <w:szCs w:val="20"/>
          <w:color w:val="auto"/>
        </w:rPr>
      </w:pPr>
      <w:r>
        <w:rPr>
          <w:rFonts w:ascii="Courier New" w:cs="Courier New" w:eastAsia="Courier New" w:hAnsi="Courier New"/>
          <w:sz w:val="18"/>
          <w:szCs w:val="18"/>
          <w:color w:val="auto"/>
        </w:rPr>
        <w:t>on Schedule 13G</w:t>
      </w:r>
    </w:p>
    <w:p>
      <w:pPr>
        <w:spacing w:after="0"/>
        <w:rPr>
          <w:sz w:val="20"/>
          <w:szCs w:val="20"/>
          <w:color w:val="auto"/>
        </w:rPr>
      </w:pPr>
      <w:r>
        <w:rPr>
          <w:rFonts w:ascii="Courier New" w:cs="Courier New" w:eastAsia="Courier New" w:hAnsi="Courier New"/>
          <w:sz w:val="18"/>
          <w:szCs w:val="18"/>
          <w:color w:val="auto"/>
        </w:rPr>
        <w:t>is hereby incorporated by reference.</w:t>
      </w:r>
    </w:p>
    <w:p>
      <w:pPr>
        <w:spacing w:after="0" w:line="20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Janus Capital has an indirect 86.5% ownership stake in Enhanced Investment Technologies LLC ("INTECH") and an indirect 30% ownership stake in Perkins, Wolf, McDonnell and Company, LLC ("Perkins Wolf"). Due to the above ownership structure, holdings for Janus Capital, Perkins Wolf and INTECH are aggregated for purposes of this filing. Janus Capital, Perkins Wolf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1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16,389,277 shares or 7.8%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dividends from, and the proceeds from the sale of, the securities held in their respective accounts.</w:t>
      </w:r>
    </w:p>
    <w:p>
      <w:pPr>
        <w:spacing w:after="0" w:line="208"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ectPr>
          <w:pgSz w:w="11900" w:h="16838" w:orient="portrait"/>
          <w:cols w:equalWidth="0" w:num="1">
            <w:col w:w="10219"/>
          </w:cols>
          <w:pgMar w:left="240" w:top="136"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8"/>
          <w:szCs w:val="18"/>
          <w:color w:val="auto"/>
        </w:rPr>
        <w:t>/s/</w:t>
        <w:tab/>
        <w:t>David R. Kowalski</w:t>
      </w:r>
    </w:p>
    <w:p>
      <w:pPr>
        <w:spacing w:after="0" w:line="238" w:lineRule="auto"/>
        <w:rPr>
          <w:sz w:val="20"/>
          <w:szCs w:val="20"/>
          <w:color w:val="auto"/>
        </w:rPr>
      </w:pPr>
      <w:r>
        <w:rPr>
          <w:rFonts w:ascii="Courier New" w:cs="Courier New" w:eastAsia="Courier New" w:hAnsi="Courier New"/>
          <w:sz w:val="18"/>
          <w:szCs w:val="18"/>
          <w:color w:val="auto"/>
        </w:rPr>
        <w:t>David R. Kowalski,</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Senior Vice President and CCO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2/14/2008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sectPr>
      <w:pgSz w:w="11900" w:h="16838" w:orient="portrait"/>
      <w:cols w:equalWidth="0" w:num="3">
        <w:col w:w="220" w:space="0"/>
        <w:col w:w="4340" w:space="720"/>
        <w:col w:w="493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3"/>
    </w:lvl>
    <w:lvl w:ilvl="1">
      <w:lvlJc w:val="left"/>
      <w:lvlText w:val="%2"/>
      <w:numFmt w:val="lowerLetter"/>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1"/>
    </w:lvl>
    <w:lvl w:ilvl="1">
      <w:lvlJc w:val="left"/>
      <w:lvlText w:val="%2."/>
      <w:numFmt w:val="decimal"/>
      <w:start w:val="10"/>
    </w:lvl>
  </w:abstractNum>
  <w:abstractNum w:abstractNumId="7">
    <w:nsid w:val="5BD062C2"/>
    <w:multiLevelType w:val="hybridMultilevel"/>
    <w:lvl w:ilvl="0">
      <w:lvlJc w:val="left"/>
      <w:lvlText w:val="%1."/>
      <w:numFmt w:val="decimal"/>
      <w:start w:val="11"/>
    </w:lvl>
    <w:lvl w:ilvl="1">
      <w:lvlJc w:val="left"/>
      <w:lvlText w:val="%2"/>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2019-12-14T20:54:00Z</dcterms:created>
  <dcterms:modified xsi:type="dcterms:W3CDTF">2019-12-14T20:54:00Z</dcterms:modified>
</cp:coreProperties>
</file>