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415290</wp:posOffset>
            </wp:positionH>
            <wp:positionV relativeFrom="page">
              <wp:posOffset>8255</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415290</wp:posOffset>
            </wp:positionH>
            <wp:positionV relativeFrom="page">
              <wp:posOffset>50800</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t>UNITED STATES</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231140</wp:posOffset>
            </wp:positionV>
            <wp:extent cx="146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242570</wp:posOffset>
            </wp:positionV>
            <wp:extent cx="1461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419"/>
        <w:spacing w:after="0"/>
        <w:rPr>
          <w:sz w:val="20"/>
          <w:szCs w:val="20"/>
          <w:color w:val="auto"/>
        </w:rPr>
      </w:pPr>
      <w:r>
        <w:rPr>
          <w:rFonts w:ascii="Arial" w:cs="Arial" w:eastAsia="Arial" w:hAnsi="Arial"/>
          <w:sz w:val="21"/>
          <w:szCs w:val="21"/>
          <w:b w:val="1"/>
          <w:bCs w:val="1"/>
          <w:color w:val="auto"/>
        </w:rPr>
        <w:t>REPORT OF FOREIGN PRIVATE ISSUER</w:t>
      </w:r>
    </w:p>
    <w:p>
      <w:pPr>
        <w:spacing w:after="0" w:line="23" w:lineRule="exact"/>
        <w:rPr>
          <w:sz w:val="24"/>
          <w:szCs w:val="24"/>
          <w:color w:val="auto"/>
        </w:rPr>
      </w:pPr>
    </w:p>
    <w:p>
      <w:pPr>
        <w:jc w:val="center"/>
        <w:ind w:right="-439"/>
        <w:spacing w:after="0"/>
        <w:rPr>
          <w:sz w:val="20"/>
          <w:szCs w:val="20"/>
          <w:color w:val="auto"/>
        </w:rPr>
      </w:pPr>
      <w:r>
        <w:rPr>
          <w:rFonts w:ascii="Arial" w:cs="Arial" w:eastAsia="Arial" w:hAnsi="Arial"/>
          <w:sz w:val="21"/>
          <w:szCs w:val="21"/>
          <w:b w:val="1"/>
          <w:bCs w:val="1"/>
          <w:color w:val="auto"/>
        </w:rPr>
        <w:t>PURSUANT TO RULE 13a-16 OR 15d-16</w:t>
      </w:r>
    </w:p>
    <w:p>
      <w:pPr>
        <w:jc w:val="center"/>
        <w:ind w:right="-43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month of February, 2019</w:t>
      </w:r>
    </w:p>
    <w:p>
      <w:pPr>
        <w:spacing w:after="0" w:line="22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236855</wp:posOffset>
            </wp:positionV>
            <wp:extent cx="1461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257175</wp:posOffset>
            </wp:positionV>
            <wp:extent cx="1461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216535</wp:posOffset>
            </wp:positionV>
            <wp:extent cx="1461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9" w:lineRule="exact"/>
        <w:rPr>
          <w:sz w:val="24"/>
          <w:szCs w:val="24"/>
          <w:color w:val="auto"/>
        </w:rPr>
      </w:pPr>
    </w:p>
    <w:p>
      <w:pPr>
        <w:ind w:left="410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6" w:lineRule="exact"/>
        <w:rPr>
          <w:sz w:val="24"/>
          <w:szCs w:val="24"/>
          <w:color w:val="auto"/>
        </w:rPr>
      </w:pPr>
    </w:p>
    <w:p>
      <w:pPr>
        <w:jc w:val="center"/>
        <w:ind w:right="-4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6934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6934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-11430</wp:posOffset>
            </wp:positionV>
            <wp:extent cx="396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ectPr>
          <w:pgSz w:w="12240" w:h="15840" w:orient="portrait"/>
          <w:cols w:equalWidth="0" w:num="1">
            <w:col w:w="10480"/>
          </w:cols>
          <w:pgMar w:left="660" w:top="119" w:right="1100" w:bottom="1440" w:gutter="0" w:footer="0" w:header="0"/>
        </w:sectPr>
      </w:pPr>
    </w:p>
    <w:bookmarkStart w:id="1" w:name="page2"/>
    <w:bookmarkEnd w:id="1"/>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On February 5, 2019, Amdocs Limited (“Amdocs”) issued a press release announcing financial results for the quarter ended December 31, 2018. A copy of the press release is furnished as Exhibit 99.1 to this Report of Foreign Private Issuer on Form 6-K.</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2240" w:h="15840" w:orient="portrait"/>
          <w:cols w:equalWidth="0" w:num="1">
            <w:col w:w="10900"/>
          </w:cols>
          <w:pgMar w:left="660" w:top="132" w:right="680"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SIGNATURES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AMDOCS LIMITED</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 Matthew E. Smith</w:t>
      </w:r>
    </w:p>
    <w:p>
      <w:pPr>
        <w:spacing w:after="0" w:line="2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-130175</wp:posOffset>
            </wp:positionV>
            <wp:extent cx="2592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2070" cy="8255"/>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8"/>
          <w:szCs w:val="18"/>
          <w:i w:val="1"/>
          <w:iCs w:val="1"/>
          <w:color w:val="auto"/>
        </w:rPr>
        <w:t>Secretary and Authorized Signatory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2019</w:t>
      </w:r>
    </w:p>
    <w:p>
      <w:pPr>
        <w:sectPr>
          <w:pgSz w:w="12240" w:h="15840" w:orient="portrait"/>
          <w:cols w:equalWidth="0" w:num="1">
            <w:col w:w="10180"/>
          </w:cols>
          <w:pgMar w:left="660" w:top="128" w:right="1400" w:bottom="1440" w:gutter="0" w:footer="0" w:header="0"/>
        </w:sectPr>
      </w:pPr>
    </w:p>
    <w:bookmarkStart w:id="3" w:name="page4"/>
    <w:bookmarkEnd w:id="3"/>
    <w:p>
      <w:pPr>
        <w:jc w:val="right"/>
        <w:ind w:right="4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EXHIBIT INDEX</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60"/>
        <w:spacing w:after="0"/>
        <w:tabs>
          <w:tab w:leader="none" w:pos="11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65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4"/>
          <w:szCs w:val="14"/>
          <w:color w:val="auto"/>
        </w:rPr>
        <w:t>Amdocs Limited Press Release dated February 5, 2019.</w:t>
      </w:r>
    </w:p>
    <w:p>
      <w:pPr>
        <w:sectPr>
          <w:pgSz w:w="12240" w:h="15840" w:orient="portrait"/>
          <w:cols w:equalWidth="0" w:num="1">
            <w:col w:w="10140"/>
          </w:cols>
          <w:pgMar w:left="660" w:top="13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5128895</wp:posOffset>
            </wp:positionH>
            <wp:positionV relativeFrom="paragraph">
              <wp:posOffset>157480</wp:posOffset>
            </wp:positionV>
            <wp:extent cx="1801495" cy="424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1495"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line="251" w:lineRule="auto"/>
        <w:rPr>
          <w:sz w:val="20"/>
          <w:szCs w:val="20"/>
          <w:color w:val="auto"/>
        </w:rPr>
      </w:pPr>
      <w:r>
        <w:rPr>
          <w:rFonts w:ascii="Arial" w:cs="Arial" w:eastAsia="Arial" w:hAnsi="Arial"/>
          <w:sz w:val="21"/>
          <w:szCs w:val="21"/>
          <w:b w:val="1"/>
          <w:bCs w:val="1"/>
          <w:color w:val="auto"/>
        </w:rPr>
        <w:t>Amdocs Limited Reports First Quarter Fiscal 2019 Results Record Quarterly Revenue of Over $1 Billion Positives Sales Momentum, Including New Awards With Altice USA, PJSC VimpelCom &amp; Globe Telecom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2019 Highlights</w:t>
      </w:r>
    </w:p>
    <w:p>
      <w:pPr>
        <w:spacing w:after="0" w:line="252" w:lineRule="exact"/>
        <w:rPr>
          <w:sz w:val="20"/>
          <w:szCs w:val="20"/>
          <w:color w:val="auto"/>
        </w:rPr>
      </w:pPr>
    </w:p>
    <w:p>
      <w:pPr>
        <w:ind w:left="860" w:right="40" w:hanging="331"/>
        <w:spacing w:after="0" w:line="335"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of $1,012 million, slightly above the midpoint of the $990-$1,030 million guidance range including a negative impact from foreign currency movements of approximately $4 million relative to the fourth quarter of fiscal 2018 and also relative to our first quarter guidance</w:t>
      </w:r>
    </w:p>
    <w:p>
      <w:pPr>
        <w:spacing w:after="0" w:line="155" w:lineRule="exact"/>
        <w:rPr>
          <w:rFonts w:ascii="Arial" w:cs="Arial" w:eastAsia="Arial" w:hAnsi="Arial"/>
          <w:sz w:val="16"/>
          <w:szCs w:val="16"/>
          <w:color w:val="auto"/>
        </w:rPr>
      </w:pPr>
    </w:p>
    <w:p>
      <w:pPr>
        <w:ind w:left="860" w:hanging="33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diluted EPS of $0.72, above the midpoint of the $0.67-$0.75 guidance range</w:t>
      </w:r>
    </w:p>
    <w:p>
      <w:pPr>
        <w:spacing w:after="0" w:line="248" w:lineRule="exact"/>
        <w:rPr>
          <w:rFonts w:ascii="Arial" w:cs="Arial" w:eastAsia="Arial" w:hAnsi="Arial"/>
          <w:sz w:val="18"/>
          <w:szCs w:val="18"/>
          <w:color w:val="auto"/>
        </w:rPr>
      </w:pPr>
    </w:p>
    <w:p>
      <w:pPr>
        <w:ind w:left="860" w:hanging="33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EPS of $0.98, at the midpoint of the $0.95-$1.01 guidance range</w:t>
      </w:r>
    </w:p>
    <w:p>
      <w:pPr>
        <w:spacing w:after="0" w:line="248" w:lineRule="exact"/>
        <w:rPr>
          <w:rFonts w:ascii="Arial" w:cs="Arial" w:eastAsia="Arial" w:hAnsi="Arial"/>
          <w:sz w:val="18"/>
          <w:szCs w:val="18"/>
          <w:color w:val="auto"/>
        </w:rPr>
      </w:pPr>
    </w:p>
    <w:p>
      <w:pPr>
        <w:ind w:left="860" w:hanging="33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$133 million; GAAP operating margin of 13.2%</w:t>
      </w:r>
    </w:p>
    <w:p>
      <w:pPr>
        <w:spacing w:after="0" w:line="248" w:lineRule="exact"/>
        <w:rPr>
          <w:rFonts w:ascii="Arial" w:cs="Arial" w:eastAsia="Arial" w:hAnsi="Arial"/>
          <w:sz w:val="18"/>
          <w:szCs w:val="18"/>
          <w:color w:val="auto"/>
        </w:rPr>
      </w:pPr>
    </w:p>
    <w:p>
      <w:pPr>
        <w:ind w:left="860" w:hanging="33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$175 million; non-GAAP operating margin of 17.3%</w:t>
      </w:r>
    </w:p>
    <w:p>
      <w:pPr>
        <w:spacing w:after="0" w:line="248" w:lineRule="exact"/>
        <w:rPr>
          <w:rFonts w:ascii="Arial" w:cs="Arial" w:eastAsia="Arial" w:hAnsi="Arial"/>
          <w:sz w:val="18"/>
          <w:szCs w:val="18"/>
          <w:color w:val="auto"/>
        </w:rPr>
      </w:pPr>
    </w:p>
    <w:p>
      <w:pPr>
        <w:ind w:left="860" w:right="40" w:hanging="331"/>
        <w:spacing w:after="0" w:line="255"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free cash flow of $72 million, comprised of cash flow from operations of $110 million, less $37 million in net capital expenditures and other, and normalized free cash flow of $136 million, excluding non-recurring payments of $55 million incurred to settle a previously disclosed long-running legal dispute, payments for previously expensed restructuring charges of $7 million and net capital expenditures related to the new campus development of $2 million</w:t>
      </w:r>
    </w:p>
    <w:p>
      <w:pPr>
        <w:spacing w:after="0" w:line="97" w:lineRule="exact"/>
        <w:rPr>
          <w:rFonts w:ascii="Arial" w:cs="Arial" w:eastAsia="Arial" w:hAnsi="Arial"/>
          <w:sz w:val="18"/>
          <w:szCs w:val="18"/>
          <w:color w:val="auto"/>
        </w:rPr>
      </w:pPr>
    </w:p>
    <w:p>
      <w:pPr>
        <w:ind w:left="860" w:hanging="331"/>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$3.37 billion, up $10 million sequentially</w:t>
      </w:r>
    </w:p>
    <w:p>
      <w:pPr>
        <w:spacing w:after="0" w:line="248" w:lineRule="exact"/>
        <w:rPr>
          <w:rFonts w:ascii="Arial" w:cs="Arial" w:eastAsia="Arial" w:hAnsi="Arial"/>
          <w:sz w:val="18"/>
          <w:szCs w:val="18"/>
          <w:color w:val="auto"/>
        </w:rPr>
      </w:pPr>
    </w:p>
    <w:p>
      <w:pPr>
        <w:ind w:left="860" w:right="320" w:hanging="331"/>
        <w:spacing w:after="0" w:line="271"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at the new increased rate of $0.285 per share, as approved at the January 2019 annual general meeting of shareholders, to be paid on April 19, 2019</w:t>
      </w:r>
    </w:p>
    <w:p>
      <w:pPr>
        <w:sectPr>
          <w:pgSz w:w="12240" w:h="15840" w:orient="portrait"/>
          <w:cols w:equalWidth="0" w:num="1">
            <w:col w:w="10920"/>
          </w:cols>
          <w:pgMar w:left="660" w:top="0" w:right="660"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38100"/>
                    </a:xfrm>
                    <a:prstGeom prst="rect">
                      <a:avLst/>
                    </a:prstGeom>
                    <a:noFill/>
                  </pic:spPr>
                </pic:pic>
              </a:graphicData>
            </a:graphic>
          </wp:anchor>
        </w:drawing>
        <w:t xml:space="preserve">ST. LOUIS – February 5, 2019 </w:t>
      </w:r>
      <w:r>
        <w:rPr>
          <w:rFonts w:ascii="Arial" w:cs="Arial" w:eastAsia="Arial" w:hAnsi="Arial"/>
          <w:sz w:val="16"/>
          <w:szCs w:val="16"/>
          <w:color w:val="auto"/>
        </w:rPr>
        <w:t>– Amdocs Limited (NASDAQ: DOX) today reported operating results for the three months ended December 31, 2018.</w:t>
      </w:r>
    </w:p>
    <w:p>
      <w:pPr>
        <w:spacing w:after="0" w:line="24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pleased to report a solid start to the fiscal year, with first quarter revenue above the midpoint of our guidance. North America grew year-over-year as we supported the digital modernization requirements of many of our communications, Pay TV and media customers, while Europe delivered another solid quarter adjusting for foreign currency headwinds. At the operating level, we delivered another quarter of stable profitability which reflects such factors as our highly recurring revenue stream, the scalability of our global delivery model and our constant drive to improve efficiency,” said Shuky Sheffer, president and chief executive officer of Amdocs Management Limited.</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Sheffer continued, “During Q1, we won several new deals that demonstrate the execution of our strategy, our market leadership and extend our penetration across regions. We signed a multi-year agreement to accelerate Altice USA’s digital and mobile offerings, while in Europe we won a significant digital modernization project and managed services agreement with PJSC VimpelCom in Russia, and a new managed transformation deal with a Tier-1 service provider in Spain. Over in Rest of World, we signed a 5-year digital transformation and cloud migration deal with a leading Southeast Asian content and consumer provider. We also made exciting progress with Globe Telecom in the Philippines which has selected our Network Functions Virtualization solution to automate the operations and management of its Networks-as-a-Service offering for enterprise customers.”</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Sheffer concluded, “Winning and delivering transformation projects requires the breadth of innovative solutions and track-record of execution that we believe can only be met with our unique capabilities and business model. Moreover, such projects provide important footholds in the market which over time translate to long-lasting customer relationships, ongoing service revenues and a base for future growth. Overall, we believe our market position is strong as we enter our second fiscal quarter, the outlook for which is supported by the visibility of our record 12-month backlog”.</w:t>
      </w:r>
    </w:p>
    <w:p>
      <w:pPr>
        <w:sectPr>
          <w:pgSz w:w="12240" w:h="15840" w:orient="portrait"/>
          <w:cols w:equalWidth="0" w:num="1">
            <w:col w:w="10880"/>
          </w:cols>
          <w:pgMar w:left="660" w:top="128" w:right="70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Revenue</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Revenue for the first fiscal quarter ended December 31, 2018 was $1,012 million, up $9.5 million sequentially from the fourth fiscal quarter of 2018 and up 3.5% as compared to last year’s first fiscal quarter. Revenue for the first fiscal quarter of 2019 includes a negative impact from foreign currency movements of approximately $4 million relative to the fourth quarter of fiscal 2018 and versus guidance.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1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Company’s GAAP net income for the first quarter of fiscal 2019 was $101.7 million, or $0.72 per diluted share, compared to GAAP net income of $116.9 million, or $0.80 per diluted share, in the prior fiscal year’s first quarter. Net income on a non-GAAP basis was $137.8 million, or $0.98 per diluted share, compared to non-GAAP net income of $154.5 million, or $1.06 per diluted share, in the first quarter of fiscal 2018. Non-GAAP net income excludes amortization of purchased intangible assets and other acquisition-related costs, changes in certain acquisitions related liabilities measured at fair value, and equity-based compensation expenses of $12.1 million, net of related tax effects, in the first quarter of fiscal 2019.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2" w:lineRule="exact"/>
        <w:rPr>
          <w:sz w:val="20"/>
          <w:szCs w:val="20"/>
          <w:color w:val="auto"/>
        </w:rPr>
      </w:pPr>
    </w:p>
    <w:p>
      <w:pPr>
        <w:ind w:left="860" w:hanging="331"/>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Quarterly Cash Dividend Program: </w:t>
      </w:r>
      <w:r>
        <w:rPr>
          <w:rFonts w:ascii="Arial" w:cs="Arial" w:eastAsia="Arial" w:hAnsi="Arial"/>
          <w:sz w:val="16"/>
          <w:szCs w:val="16"/>
          <w:color w:val="auto"/>
        </w:rPr>
        <w:t>On February 5, 2019, the Board approved the Company’s next quarterly cash dividend payment of</w:t>
      </w:r>
    </w:p>
    <w:p>
      <w:pPr>
        <w:spacing w:after="0" w:line="42" w:lineRule="exact"/>
        <w:rPr>
          <w:rFonts w:ascii="Arial" w:cs="Arial" w:eastAsia="Arial" w:hAnsi="Arial"/>
          <w:sz w:val="16"/>
          <w:szCs w:val="16"/>
          <w:color w:val="auto"/>
        </w:rPr>
      </w:pPr>
    </w:p>
    <w:p>
      <w:pPr>
        <w:ind w:left="860" w:right="140"/>
        <w:spacing w:after="0" w:line="256" w:lineRule="auto"/>
        <w:rPr>
          <w:rFonts w:ascii="Arial" w:cs="Arial" w:eastAsia="Arial" w:hAnsi="Arial"/>
          <w:sz w:val="16"/>
          <w:szCs w:val="16"/>
          <w:color w:val="auto"/>
        </w:rPr>
      </w:pPr>
      <w:r>
        <w:rPr>
          <w:rFonts w:ascii="Arial" w:cs="Arial" w:eastAsia="Arial" w:hAnsi="Arial"/>
          <w:sz w:val="18"/>
          <w:szCs w:val="18"/>
          <w:color w:val="auto"/>
        </w:rPr>
        <w:t>$0.285 per share and set March 29, 2019 as the record date for determining the shareholders entitled to receive the dividend, which will be payable on April 19, 2019.</w:t>
      </w:r>
    </w:p>
    <w:p>
      <w:pPr>
        <w:spacing w:after="0" w:line="94" w:lineRule="exact"/>
        <w:rPr>
          <w:rFonts w:ascii="Arial" w:cs="Arial" w:eastAsia="Arial" w:hAnsi="Arial"/>
          <w:sz w:val="16"/>
          <w:szCs w:val="16"/>
          <w:color w:val="auto"/>
        </w:rPr>
      </w:pPr>
    </w:p>
    <w:p>
      <w:pPr>
        <w:ind w:left="860" w:hanging="331"/>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$99 million of ordinary shares during the first quarter of fiscal 2019.</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$3.37 billion at the end of the first quarter of fiscal 2019, up $10 million from the end of the prior quarter.</w:t>
      </w:r>
    </w:p>
    <w:p>
      <w:pPr>
        <w:sectPr>
          <w:pgSz w:w="12240" w:h="15840" w:orient="portrait"/>
          <w:cols w:equalWidth="0" w:num="1">
            <w:col w:w="10880"/>
          </w:cols>
          <w:pgMar w:left="660" w:top="128" w:right="70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Second Quarter Fiscal 2019 Outlook</w:t>
      </w:r>
    </w:p>
    <w:p>
      <w:pPr>
        <w:spacing w:after="0" w:line="252" w:lineRule="exact"/>
        <w:rPr>
          <w:sz w:val="20"/>
          <w:szCs w:val="20"/>
          <w:color w:val="auto"/>
        </w:rPr>
      </w:pPr>
    </w:p>
    <w:p>
      <w:pPr>
        <w:ind w:left="860" w:hanging="331"/>
        <w:spacing w:after="0" w:line="27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approximately $995-$1,035 million, assuming an immaterial sequential impact from foreign currency fluctuations as compared to the first quarter of fiscal 2019</w:t>
      </w:r>
    </w:p>
    <w:p>
      <w:pPr>
        <w:spacing w:after="0" w:line="201" w:lineRule="exact"/>
        <w:rPr>
          <w:rFonts w:ascii="Arial" w:cs="Arial" w:eastAsia="Arial" w:hAnsi="Arial"/>
          <w:sz w:val="18"/>
          <w:szCs w:val="18"/>
          <w:color w:val="auto"/>
        </w:rPr>
      </w:pPr>
    </w:p>
    <w:p>
      <w:pPr>
        <w:ind w:left="860" w:hanging="331"/>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diluted EPS of approximately $0.75-$0.83</w:t>
      </w:r>
    </w:p>
    <w:p>
      <w:pPr>
        <w:spacing w:after="0" w:line="248" w:lineRule="exact"/>
        <w:rPr>
          <w:rFonts w:ascii="Arial" w:cs="Arial" w:eastAsia="Arial" w:hAnsi="Arial"/>
          <w:sz w:val="18"/>
          <w:szCs w:val="18"/>
          <w:color w:val="auto"/>
        </w:rPr>
      </w:pPr>
    </w:p>
    <w:p>
      <w:pPr>
        <w:ind w:left="860" w:right="20" w:hanging="331"/>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diluted EPS of approximately $1.00-$1.06, excluding amortization of purchased intangible assets and other acquisition-related costs, changes in certain acquisitions related liabilities measured at fair value, and approximately $0.05-$0.07 per share of equity-based compensation expense, net of related tax effects.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2019 Outlook</w:t>
      </w:r>
    </w:p>
    <w:p>
      <w:pPr>
        <w:spacing w:after="0" w:line="252" w:lineRule="exact"/>
        <w:rPr>
          <w:sz w:val="20"/>
          <w:szCs w:val="20"/>
          <w:color w:val="auto"/>
        </w:rPr>
      </w:pPr>
    </w:p>
    <w:p>
      <w:pPr>
        <w:ind w:left="860" w:hanging="33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Expects revenue growth of 0.5%-4.5% year-over-year on a reported basis as compared with 1.0%-5.0% year-over-year previously</w:t>
      </w:r>
    </w:p>
    <w:p>
      <w:pPr>
        <w:spacing w:after="0" w:line="259" w:lineRule="exact"/>
        <w:rPr>
          <w:rFonts w:ascii="Arial" w:cs="Arial" w:eastAsia="Arial" w:hAnsi="Arial"/>
          <w:sz w:val="17"/>
          <w:szCs w:val="17"/>
          <w:color w:val="auto"/>
        </w:rPr>
      </w:pPr>
    </w:p>
    <w:p>
      <w:pPr>
        <w:ind w:left="860" w:hanging="331"/>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Reiterates revenue growth of 2.0%-6.0% year-over-year on a constant currency basis</w:t>
      </w:r>
    </w:p>
    <w:p>
      <w:pPr>
        <w:spacing w:after="0" w:line="248" w:lineRule="exact"/>
        <w:rPr>
          <w:rFonts w:ascii="Arial" w:cs="Arial" w:eastAsia="Arial" w:hAnsi="Arial"/>
          <w:sz w:val="18"/>
          <w:szCs w:val="18"/>
          <w:color w:val="auto"/>
        </w:rPr>
      </w:pPr>
    </w:p>
    <w:p>
      <w:pPr>
        <w:ind w:left="860" w:right="220" w:hanging="331"/>
        <w:spacing w:after="0" w:line="27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 year fiscal 2019 revenue guidance incorporates an expected negative impact from foreign currency fluctuations of about 1.5% year-over-year as compared with a negative impact of about 1.0% year-over-year previously</w:t>
      </w:r>
    </w:p>
    <w:p>
      <w:pPr>
        <w:spacing w:after="0" w:line="201" w:lineRule="exact"/>
        <w:rPr>
          <w:rFonts w:ascii="Arial" w:cs="Arial" w:eastAsia="Arial" w:hAnsi="Arial"/>
          <w:sz w:val="18"/>
          <w:szCs w:val="18"/>
          <w:color w:val="auto"/>
        </w:rPr>
      </w:pPr>
    </w:p>
    <w:p>
      <w:pPr>
        <w:ind w:left="860" w:hanging="331"/>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Reiterates GAAP diluted earnings per share growth of roughly 29.0%-38.0% year-over-year</w:t>
      </w:r>
    </w:p>
    <w:p>
      <w:pPr>
        <w:spacing w:after="0" w:line="248" w:lineRule="exact"/>
        <w:rPr>
          <w:rFonts w:ascii="Arial" w:cs="Arial" w:eastAsia="Arial" w:hAnsi="Arial"/>
          <w:sz w:val="18"/>
          <w:szCs w:val="18"/>
          <w:color w:val="auto"/>
        </w:rPr>
      </w:pPr>
    </w:p>
    <w:p>
      <w:pPr>
        <w:ind w:left="860" w:right="520" w:hanging="331"/>
        <w:spacing w:after="0" w:line="282" w:lineRule="auto"/>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Reiterates non-GAAP diluted earnings per share growth of roughly 3.0%-7.0% year-over-year, excluding amortization of purchased intangible assets and other acquisition-related costs, changes in certain acquisitions related liabilities measured at fair value, and approximately $0.22-$0.28 per share of equity-based compensation expense, net of related tax effects</w:t>
      </w:r>
    </w:p>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second fiscal quarter 2019 and full year fiscal 2019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T-Mobile’s proposed merger with Sprint, or from other current and potential customer consolidation activity.</w:t>
      </w:r>
    </w:p>
    <w:p>
      <w:pPr>
        <w:sectPr>
          <w:pgSz w:w="12240" w:h="15840" w:orient="portrait"/>
          <w:cols w:equalWidth="0" w:num="1">
            <w:col w:w="10800"/>
          </w:cols>
          <w:pgMar w:left="660" w:top="128" w:right="78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Conference Call Details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will host a conference call on February 5, 2019 at 5:00 p.m. Eastern Time to discuss the Company’s first quarter of fiscal 2019 results. To participate, please dial +1 (844) 513-7152, or +1 (508) 637-5600 outside the United States, approximately 15 minutes before the call and enter passcode 1697728. The call will also be carried live on the Internet via the Amdocs website, www.amdocs.com.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These non-GAAP measures exclude the following items:</w:t>
      </w:r>
    </w:p>
    <w:p>
      <w:pPr>
        <w:spacing w:after="0" w:line="97" w:lineRule="exact"/>
        <w:rPr>
          <w:sz w:val="20"/>
          <w:szCs w:val="20"/>
          <w:color w:val="auto"/>
        </w:rPr>
      </w:pPr>
    </w:p>
    <w:p>
      <w:pPr>
        <w:ind w:left="860" w:hanging="331"/>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27" w:lineRule="exact"/>
        <w:rPr>
          <w:rFonts w:ascii="Arial" w:cs="Arial" w:eastAsia="Arial" w:hAnsi="Arial"/>
          <w:sz w:val="18"/>
          <w:szCs w:val="18"/>
          <w:color w:val="auto"/>
        </w:rPr>
      </w:pPr>
    </w:p>
    <w:p>
      <w:pPr>
        <w:ind w:left="860" w:hanging="331"/>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27" w:lineRule="exact"/>
        <w:rPr>
          <w:rFonts w:ascii="Arial" w:cs="Arial" w:eastAsia="Arial" w:hAnsi="Arial"/>
          <w:sz w:val="18"/>
          <w:szCs w:val="18"/>
          <w:color w:val="auto"/>
        </w:rPr>
      </w:pPr>
    </w:p>
    <w:p>
      <w:pPr>
        <w:ind w:left="860" w:hanging="331"/>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non-recurring and unusual charges;</w:t>
      </w:r>
    </w:p>
    <w:p>
      <w:pPr>
        <w:spacing w:after="0" w:line="127" w:lineRule="exact"/>
        <w:rPr>
          <w:rFonts w:ascii="Arial" w:cs="Arial" w:eastAsia="Arial" w:hAnsi="Arial"/>
          <w:sz w:val="18"/>
          <w:szCs w:val="18"/>
          <w:color w:val="auto"/>
        </w:rPr>
      </w:pPr>
    </w:p>
    <w:p>
      <w:pPr>
        <w:ind w:left="860" w:hanging="331"/>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27" w:lineRule="exact"/>
        <w:rPr>
          <w:rFonts w:ascii="Arial" w:cs="Arial" w:eastAsia="Arial" w:hAnsi="Arial"/>
          <w:sz w:val="18"/>
          <w:szCs w:val="18"/>
          <w:color w:val="auto"/>
        </w:rPr>
      </w:pPr>
    </w:p>
    <w:p>
      <w:pPr>
        <w:ind w:left="860" w:hanging="331"/>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2240" w:h="15840" w:orient="portrait"/>
          <w:cols w:equalWidth="0" w:num="1">
            <w:col w:w="10840"/>
          </w:cols>
          <w:pgMar w:left="660" w:top="128" w:right="7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Supporting Resources</w:t>
      </w:r>
    </w:p>
    <w:p>
      <w:pPr>
        <w:spacing w:after="0" w:line="132" w:lineRule="exact"/>
        <w:rPr>
          <w:sz w:val="20"/>
          <w:szCs w:val="20"/>
          <w:color w:val="auto"/>
        </w:rPr>
      </w:pPr>
    </w:p>
    <w:p>
      <w:pPr>
        <w:ind w:left="860" w:hanging="331"/>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Keep up with Amdocs news by visiting the Company’s website</w:t>
      </w:r>
    </w:p>
    <w:p>
      <w:pPr>
        <w:spacing w:after="0" w:line="127" w:lineRule="exact"/>
        <w:rPr>
          <w:rFonts w:ascii="Arial" w:cs="Arial" w:eastAsia="Arial" w:hAnsi="Arial"/>
          <w:sz w:val="18"/>
          <w:szCs w:val="18"/>
          <w:color w:val="auto"/>
        </w:rPr>
      </w:pPr>
    </w:p>
    <w:p>
      <w:pPr>
        <w:ind w:left="860" w:hanging="331"/>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Subscribe to Amdocs’ RSS Feed and follow us on Twitter, Facebook, LinkedIn and YouTube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Amdocs is a leading software and services provider to communications and media companies of all sizes, accelerating the industry’s dynamic and continuous digital transformation. With a rich set of innovative solutions, long-term business relationships with 350 communications and media providers, and technology and distribution ties to 600 content creators, Amdocs delivers business improvements to drive growth. Amdocs and its 25,000 employees serve customers in over 85 countries. Listed on the NASDAQ Global Select Market, Amdocs had revenue of $4.0 billion in fiscal 2018. For more information, visit Amdocs at www.amdocs.com.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2018 filed on December 10,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2240" w:h="15840" w:orient="portrait"/>
          <w:cols w:equalWidth="0" w:num="1">
            <w:col w:w="10920"/>
          </w:cols>
          <w:pgMar w:left="660" w:top="128" w:right="66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80"/>
              <w:spacing w:after="0" w:line="14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1,012,055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977,711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643,197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68,686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68,177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118,668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855,568</w:t>
            </w:r>
          </w:p>
        </w:tc>
        <w:tc>
          <w:tcPr>
            <w:tcW w:w="0" w:type="dxa"/>
            <w:vAlign w:val="bottom"/>
          </w:tcPr>
          <w:p>
            <w:pPr>
              <w:spacing w:after="0"/>
              <w:rPr>
                <w:sz w:val="1"/>
                <w:szCs w:val="1"/>
                <w:color w:val="auto"/>
              </w:rPr>
            </w:pPr>
          </w:p>
        </w:tc>
      </w:tr>
      <w:tr>
        <w:trPr>
          <w:trHeight w:val="220"/>
        </w:trPr>
        <w:tc>
          <w:tcPr>
            <w:tcW w:w="6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0"/>
        </w:trPr>
        <w:tc>
          <w:tcPr>
            <w:tcW w:w="6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21"/>
        </w:trPr>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143,915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0920"/>
          </w:cols>
          <w:pgMar w:left="660" w:top="128" w:right="660" w:bottom="1440" w:gutter="0" w:footer="0" w:header="0"/>
        </w:sectPr>
      </w:pPr>
    </w:p>
    <w:bookmarkStart w:id="11" w:name="page12"/>
    <w:bookmarkEnd w:id="11"/>
    <w:p>
      <w:pPr>
        <w:jc w:val="center"/>
        <w:ind w:righ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(In thousands, except per share data)</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5"/>
              <w:spacing w:after="0" w:line="141"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1,012,055</w:t>
            </w:r>
          </w:p>
        </w:tc>
        <w:tc>
          <w:tcPr>
            <w:tcW w:w="2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$ 977,711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82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174,849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169,064</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137,818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154,466</w:t>
            </w:r>
          </w:p>
        </w:tc>
        <w:tc>
          <w:tcPr>
            <w:tcW w:w="0" w:type="dxa"/>
            <w:vAlign w:val="bottom"/>
          </w:tcPr>
          <w:p>
            <w:pPr>
              <w:spacing w:after="0"/>
              <w:rPr>
                <w:sz w:val="1"/>
                <w:szCs w:val="1"/>
                <w:color w:val="auto"/>
              </w:rPr>
            </w:pPr>
          </w:p>
        </w:tc>
      </w:tr>
      <w:tr>
        <w:trPr>
          <w:trHeight w:val="320"/>
        </w:trPr>
        <w:tc>
          <w:tcPr>
            <w:tcW w:w="782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0.98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140,511</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145,346</w:t>
            </w: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7800" w:type="dxa"/>
            <w:vAlign w:val="bottom"/>
          </w:tcPr>
          <w:p>
            <w:pPr>
              <w:jc w:val="center"/>
              <w:ind w:left="2993"/>
              <w:spacing w:after="0"/>
              <w:rPr>
                <w:sz w:val="20"/>
                <w:szCs w:val="20"/>
                <w:color w:val="auto"/>
              </w:rPr>
            </w:pPr>
            <w:r>
              <w:rPr>
                <w:rFonts w:ascii="Arial" w:cs="Arial" w:eastAsia="Arial" w:hAnsi="Arial"/>
                <w:sz w:val="18"/>
                <w:szCs w:val="18"/>
                <w:b w:val="1"/>
                <w:bCs w:val="1"/>
                <w:color w:val="auto"/>
                <w:w w:val="89"/>
              </w:rPr>
              <w:t>Normalized Free Cash Flows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0" w:type="dxa"/>
            <w:vAlign w:val="bottom"/>
          </w:tcPr>
          <w:p>
            <w:pPr>
              <w:jc w:val="center"/>
              <w:ind w:left="2993"/>
              <w:spacing w:after="0"/>
              <w:rPr>
                <w:sz w:val="20"/>
                <w:szCs w:val="20"/>
                <w:color w:val="auto"/>
              </w:rPr>
            </w:pPr>
            <w:r>
              <w:rPr>
                <w:rFonts w:ascii="Arial" w:cs="Arial" w:eastAsia="Arial" w:hAnsi="Arial"/>
                <w:sz w:val="14"/>
                <w:szCs w:val="14"/>
                <w:b w:val="1"/>
                <w:bCs w:val="1"/>
                <w:color w:val="auto"/>
                <w:w w:val="91"/>
              </w:rPr>
              <w:t>(In thousands)</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7"/>
              <w:spacing w:after="0" w:line="14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right w:val="single" w:sz="8" w:color="CCEEFF"/>
            </w:tcBorders>
            <w:gridSpan w:val="2"/>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$109,650</w:t>
            </w: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$164,601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820" w:type="dxa"/>
            <w:vAlign w:val="bottom"/>
            <w:gridSpan w:val="2"/>
          </w:tcPr>
          <w:p>
            <w:pPr>
              <w:spacing w:after="0"/>
              <w:rPr>
                <w:sz w:val="20"/>
                <w:szCs w:val="20"/>
                <w:color w:val="auto"/>
              </w:rPr>
            </w:pPr>
            <w:r>
              <w:rPr>
                <w:rFonts w:ascii="Arial" w:cs="Arial" w:eastAsia="Arial" w:hAnsi="Arial"/>
                <w:sz w:val="18"/>
                <w:szCs w:val="18"/>
                <w:color w:val="auto"/>
              </w:rPr>
              <w:t>Purchases of property and equipment, net (*)</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(37,278)</w:t>
            </w:r>
          </w:p>
        </w:tc>
        <w:tc>
          <w:tcPr>
            <w:tcW w:w="260" w:type="dxa"/>
            <w:vAlign w:val="bottom"/>
          </w:tcPr>
          <w:p>
            <w:pPr>
              <w:spacing w:after="0"/>
              <w:rPr>
                <w:sz w:val="24"/>
                <w:szCs w:val="24"/>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(51,779)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72,372</w:t>
            </w:r>
          </w:p>
        </w:tc>
        <w:tc>
          <w:tcPr>
            <w:tcW w:w="2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112,822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820" w:type="dxa"/>
            <w:vAlign w:val="bottom"/>
            <w:gridSpan w:val="2"/>
          </w:tcPr>
          <w:p>
            <w:pPr>
              <w:spacing w:after="0"/>
              <w:rPr>
                <w:sz w:val="20"/>
                <w:szCs w:val="20"/>
                <w:color w:val="auto"/>
              </w:rPr>
            </w:pPr>
            <w:r>
              <w:rPr>
                <w:rFonts w:ascii="Arial" w:cs="Arial" w:eastAsia="Arial" w:hAnsi="Arial"/>
                <w:sz w:val="18"/>
                <w:szCs w:val="18"/>
                <w:color w:val="auto"/>
              </w:rPr>
              <w:t>Payments for Legal Dispute Settlement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55,000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0"/>
        </w:trPr>
        <w:tc>
          <w:tcPr>
            <w:tcW w:w="7820" w:type="dxa"/>
            <w:vAlign w:val="bottom"/>
            <w:gridSpan w:val="2"/>
          </w:tcPr>
          <w:p>
            <w:pPr>
              <w:spacing w:after="0"/>
              <w:rPr>
                <w:sz w:val="20"/>
                <w:szCs w:val="20"/>
                <w:color w:val="auto"/>
              </w:rPr>
            </w:pPr>
            <w:r>
              <w:rPr>
                <w:rFonts w:ascii="Arial" w:cs="Arial" w:eastAsia="Arial" w:hAnsi="Arial"/>
                <w:sz w:val="18"/>
                <w:szCs w:val="18"/>
                <w:color w:val="auto"/>
              </w:rPr>
              <w:t>Net capital expenditures related to the new campus development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2,054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Normalized Free Cash Flow</w:t>
            </w:r>
          </w:p>
        </w:tc>
        <w:tc>
          <w:tcPr>
            <w:tcW w:w="1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136,051</w:t>
            </w: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125,640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 w:right="240" w:hanging="6"/>
        <w:spacing w:after="0" w:line="249" w:lineRule="auto"/>
        <w:tabs>
          <w:tab w:leader="none" w:pos="208"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amounts under “Purchase of property and equipment, net”, include proceeds from sale of property and equipment of $31 and $2 for the three months ended 31 December 2018 and 2017, respectively.</w:t>
      </w:r>
    </w:p>
    <w:p>
      <w:pPr>
        <w:sectPr>
          <w:pgSz w:w="12240" w:h="15840" w:orient="portrait"/>
          <w:cols w:equalWidth="0" w:num="1">
            <w:col w:w="10926"/>
          </w:cols>
          <w:pgMar w:left="654" w:top="128" w:right="660"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4"/>
          </w:tcPr>
          <w:p>
            <w:pPr>
              <w:jc w:val="center"/>
              <w:ind w:right="340"/>
              <w:spacing w:after="0"/>
              <w:rPr>
                <w:sz w:val="20"/>
                <w:szCs w:val="20"/>
                <w:color w:val="auto"/>
              </w:rPr>
            </w:pPr>
            <w:r>
              <w:rPr>
                <w:rFonts w:ascii="Arial" w:cs="Arial" w:eastAsia="Arial" w:hAnsi="Arial"/>
                <w:sz w:val="14"/>
                <w:szCs w:val="14"/>
                <w:b w:val="1"/>
                <w:bCs w:val="1"/>
                <w:color w:val="auto"/>
                <w:w w:val="91"/>
              </w:rPr>
              <w:t>Three months ended December 31, 2018</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6"/>
          </w:tcPr>
          <w:p>
            <w:pPr>
              <w:jc w:val="right"/>
              <w:ind w:right="89"/>
              <w:spacing w:after="0" w:line="141" w:lineRule="exact"/>
              <w:rPr>
                <w:sz w:val="20"/>
                <w:szCs w:val="20"/>
                <w:color w:val="auto"/>
              </w:rPr>
            </w:pPr>
            <w:r>
              <w:rPr>
                <w:rFonts w:ascii="Arial" w:cs="Arial" w:eastAsia="Arial" w:hAnsi="Arial"/>
                <w:sz w:val="14"/>
                <w:szCs w:val="14"/>
                <w:b w:val="1"/>
                <w:bCs w:val="1"/>
                <w:color w:val="auto"/>
                <w:w w:val="96"/>
              </w:rPr>
              <w:t>Reconciliation items</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5"/>
          </w:tcPr>
          <w:p>
            <w:pPr>
              <w:jc w:val="center"/>
              <w:ind w:right="20"/>
              <w:spacing w:after="0" w:line="118" w:lineRule="exact"/>
              <w:rPr>
                <w:sz w:val="20"/>
                <w:szCs w:val="20"/>
                <w:color w:val="auto"/>
              </w:rPr>
            </w:pPr>
            <w:r>
              <w:rPr>
                <w:rFonts w:ascii="Arial" w:cs="Arial" w:eastAsia="Arial" w:hAnsi="Arial"/>
                <w:sz w:val="13"/>
                <w:szCs w:val="13"/>
                <w:b w:val="1"/>
                <w:bCs w:val="1"/>
                <w:color w:val="auto"/>
              </w:rPr>
              <w:t>Amortization of</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7"/>
          </w:tcPr>
          <w:p>
            <w:pPr>
              <w:jc w:val="center"/>
              <w:ind w:right="360"/>
              <w:spacing w:after="0" w:line="118" w:lineRule="exact"/>
              <w:rPr>
                <w:sz w:val="20"/>
                <w:szCs w:val="20"/>
                <w:color w:val="auto"/>
              </w:rPr>
            </w:pPr>
            <w:r>
              <w:rPr>
                <w:rFonts w:ascii="Arial" w:cs="Arial" w:eastAsia="Arial" w:hAnsi="Arial"/>
                <w:sz w:val="13"/>
                <w:szCs w:val="13"/>
                <w:b w:val="1"/>
                <w:bCs w:val="1"/>
                <w:color w:val="auto"/>
                <w:w w:val="97"/>
              </w:rPr>
              <w:t>Changes in certain</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5"/>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purchased</w:t>
            </w:r>
          </w:p>
        </w:tc>
        <w:tc>
          <w:tcPr>
            <w:tcW w:w="360" w:type="dxa"/>
            <w:vAlign w:val="bottom"/>
          </w:tcPr>
          <w:p>
            <w:pPr>
              <w:spacing w:after="0"/>
              <w:rPr>
                <w:sz w:val="12"/>
                <w:szCs w:val="12"/>
                <w:color w:val="auto"/>
              </w:rPr>
            </w:pPr>
          </w:p>
        </w:tc>
        <w:tc>
          <w:tcPr>
            <w:tcW w:w="10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1"/>
              </w:rPr>
              <w:t>Equity based</w:t>
            </w:r>
          </w:p>
        </w:tc>
        <w:tc>
          <w:tcPr>
            <w:tcW w:w="200" w:type="dxa"/>
            <w:vAlign w:val="bottom"/>
          </w:tcPr>
          <w:p>
            <w:pPr>
              <w:spacing w:after="0"/>
              <w:rPr>
                <w:sz w:val="12"/>
                <w:szCs w:val="12"/>
                <w:color w:val="auto"/>
              </w:rPr>
            </w:pPr>
          </w:p>
        </w:tc>
        <w:tc>
          <w:tcPr>
            <w:tcW w:w="1500" w:type="dxa"/>
            <w:vAlign w:val="bottom"/>
            <w:gridSpan w:val="7"/>
          </w:tcPr>
          <w:p>
            <w:pPr>
              <w:jc w:val="center"/>
              <w:ind w:right="340"/>
              <w:spacing w:after="0" w:line="147" w:lineRule="exact"/>
              <w:rPr>
                <w:sz w:val="20"/>
                <w:szCs w:val="20"/>
                <w:color w:val="auto"/>
              </w:rPr>
            </w:pPr>
            <w:r>
              <w:rPr>
                <w:rFonts w:ascii="Arial" w:cs="Arial" w:eastAsia="Arial" w:hAnsi="Arial"/>
                <w:sz w:val="14"/>
                <w:szCs w:val="14"/>
                <w:b w:val="1"/>
                <w:bCs w:val="1"/>
                <w:color w:val="auto"/>
                <w:w w:val="88"/>
              </w:rPr>
              <w:t>acquisitions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5"/>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intangible</w:t>
            </w:r>
          </w:p>
        </w:tc>
        <w:tc>
          <w:tcPr>
            <w:tcW w:w="36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7"/>
          </w:tcPr>
          <w:p>
            <w:pPr>
              <w:jc w:val="center"/>
              <w:ind w:right="360"/>
              <w:spacing w:after="0" w:line="147" w:lineRule="exact"/>
              <w:rPr>
                <w:sz w:val="20"/>
                <w:szCs w:val="20"/>
                <w:color w:val="auto"/>
              </w:rPr>
            </w:pPr>
            <w:r>
              <w:rPr>
                <w:rFonts w:ascii="Arial" w:cs="Arial" w:eastAsia="Arial" w:hAnsi="Arial"/>
                <w:sz w:val="14"/>
                <w:szCs w:val="14"/>
                <w:b w:val="1"/>
                <w:bCs w:val="1"/>
                <w:color w:val="auto"/>
                <w:w w:val="92"/>
              </w:rPr>
              <w:t>related liabilities</w:t>
            </w:r>
          </w:p>
        </w:tc>
        <w:tc>
          <w:tcPr>
            <w:tcW w:w="100" w:type="dxa"/>
            <w:vAlign w:val="bottom"/>
          </w:tcPr>
          <w:p>
            <w:pPr>
              <w:spacing w:after="0"/>
              <w:rPr>
                <w:sz w:val="12"/>
                <w:szCs w:val="12"/>
                <w:color w:val="auto"/>
              </w:rPr>
            </w:pPr>
          </w:p>
        </w:tc>
        <w:tc>
          <w:tcPr>
            <w:tcW w:w="7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8"/>
              </w:rPr>
              <w:t>GAAP</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5"/>
          </w:tcPr>
          <w:p>
            <w:pPr>
              <w:jc w:val="center"/>
              <w:ind w:right="20"/>
              <w:spacing w:after="0" w:line="147" w:lineRule="exact"/>
              <w:rPr>
                <w:sz w:val="20"/>
                <w:szCs w:val="20"/>
                <w:color w:val="auto"/>
              </w:rPr>
            </w:pPr>
            <w:r>
              <w:rPr>
                <w:rFonts w:ascii="Arial" w:cs="Arial" w:eastAsia="Arial" w:hAnsi="Arial"/>
                <w:sz w:val="14"/>
                <w:szCs w:val="14"/>
                <w:b w:val="1"/>
                <w:bCs w:val="1"/>
                <w:color w:val="auto"/>
                <w:w w:val="82"/>
              </w:rPr>
              <w:t>assets and</w:t>
            </w:r>
          </w:p>
        </w:tc>
        <w:tc>
          <w:tcPr>
            <w:tcW w:w="360" w:type="dxa"/>
            <w:vAlign w:val="bottom"/>
          </w:tcPr>
          <w:p>
            <w:pPr>
              <w:spacing w:after="0"/>
              <w:rPr>
                <w:sz w:val="12"/>
                <w:szCs w:val="12"/>
                <w:color w:val="auto"/>
              </w:rPr>
            </w:pPr>
          </w:p>
        </w:tc>
        <w:tc>
          <w:tcPr>
            <w:tcW w:w="1000" w:type="dxa"/>
            <w:vAlign w:val="bottom"/>
            <w:gridSpan w:val="5"/>
          </w:tcPr>
          <w:p>
            <w:pPr>
              <w:jc w:val="center"/>
              <w:ind w:right="160"/>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200" w:type="dxa"/>
            <w:vAlign w:val="bottom"/>
          </w:tcPr>
          <w:p>
            <w:pPr>
              <w:spacing w:after="0"/>
              <w:rPr>
                <w:sz w:val="12"/>
                <w:szCs w:val="12"/>
                <w:color w:val="auto"/>
              </w:rPr>
            </w:pPr>
          </w:p>
        </w:tc>
        <w:tc>
          <w:tcPr>
            <w:tcW w:w="1500" w:type="dxa"/>
            <w:vAlign w:val="bottom"/>
            <w:gridSpan w:val="7"/>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measured at fair</w:t>
            </w: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Non-GAAP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other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expense</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value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effect</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120" w:type="dxa"/>
            <w:vAlign w:val="bottom"/>
            <w:gridSpan w:val="6"/>
          </w:tcPr>
          <w:p>
            <w:pPr>
              <w:jc w:val="right"/>
              <w:ind w:right="40"/>
              <w:spacing w:after="0"/>
              <w:rPr>
                <w:sz w:val="20"/>
                <w:szCs w:val="20"/>
                <w:color w:val="auto"/>
              </w:rPr>
            </w:pPr>
            <w:r>
              <w:rPr>
                <w:rFonts w:ascii="Arial" w:cs="Arial" w:eastAsia="Arial" w:hAnsi="Arial"/>
                <w:sz w:val="18"/>
                <w:szCs w:val="18"/>
                <w:color w:val="auto"/>
              </w:rPr>
              <w:t>$662,568</w:t>
            </w:r>
          </w:p>
        </w:tc>
        <w:tc>
          <w:tcPr>
            <w:tcW w:w="6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(4,851)</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(3,791)</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$ 653,926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68,686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67,921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gridSpan w:val="6"/>
          </w:tcPr>
          <w:p>
            <w:pPr>
              <w:jc w:val="right"/>
              <w:ind w:right="40"/>
              <w:spacing w:after="0"/>
              <w:rPr>
                <w:sz w:val="20"/>
                <w:szCs w:val="20"/>
                <w:color w:val="auto"/>
              </w:rPr>
            </w:pPr>
            <w:r>
              <w:rPr>
                <w:rFonts w:ascii="Arial" w:cs="Arial" w:eastAsia="Arial" w:hAnsi="Arial"/>
                <w:sz w:val="18"/>
                <w:szCs w:val="18"/>
                <w:color w:val="auto"/>
              </w:rPr>
              <w:t>121,860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(6,501)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115,359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6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w w:val="88"/>
              </w:rPr>
              <w:t>Amortization of purchased intangible assets and</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11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25,844</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233"/>
              <w:spacing w:after="0"/>
              <w:rPr>
                <w:sz w:val="20"/>
                <w:szCs w:val="20"/>
                <w:color w:val="auto"/>
              </w:rPr>
            </w:pPr>
            <w:r>
              <w:rPr>
                <w:rFonts w:ascii="Arial" w:cs="Arial" w:eastAsia="Arial" w:hAnsi="Arial"/>
                <w:sz w:val="18"/>
                <w:szCs w:val="18"/>
                <w:color w:val="auto"/>
                <w:w w:val="86"/>
              </w:rPr>
              <w:t>(25,844)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878,958</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7"/>
              </w:rPr>
              <w:t>(25,844)</w:t>
            </w:r>
          </w:p>
        </w:tc>
        <w:tc>
          <w:tcPr>
            <w:tcW w:w="3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(12,117)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133,097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25,844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12,117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3,791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174,849</w:t>
            </w: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32,927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101,692</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25,844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12,117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3,791</w:t>
            </w: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(5,626)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$ 137,818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6"/>
          </w:tcPr>
          <w:p>
            <w:pPr>
              <w:ind w:left="300"/>
              <w:spacing w:after="0"/>
              <w:rPr>
                <w:sz w:val="20"/>
                <w:szCs w:val="20"/>
                <w:color w:val="auto"/>
              </w:rPr>
            </w:pPr>
            <w:r>
              <w:rPr>
                <w:rFonts w:ascii="Arial" w:cs="Arial" w:eastAsia="Arial" w:hAnsi="Arial"/>
                <w:sz w:val="14"/>
                <w:szCs w:val="14"/>
                <w:b w:val="1"/>
                <w:bCs w:val="1"/>
                <w:color w:val="auto"/>
              </w:rPr>
              <w:t>Three months ended December 31, 2017</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7"/>
          </w:tcPr>
          <w:p>
            <w:pPr>
              <w:jc w:val="right"/>
              <w:ind w:right="289"/>
              <w:spacing w:after="0" w:line="141" w:lineRule="exact"/>
              <w:rPr>
                <w:sz w:val="20"/>
                <w:szCs w:val="20"/>
                <w:color w:val="auto"/>
              </w:rPr>
            </w:pPr>
            <w:r>
              <w:rPr>
                <w:rFonts w:ascii="Arial" w:cs="Arial" w:eastAsia="Arial" w:hAnsi="Arial"/>
                <w:sz w:val="14"/>
                <w:szCs w:val="14"/>
                <w:b w:val="1"/>
                <w:bCs w:val="1"/>
                <w:color w:val="auto"/>
                <w:w w:val="89"/>
              </w:rPr>
              <w:t>Reconciliation items</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5"/>
            <w:vMerge w:val="restart"/>
          </w:tcPr>
          <w:p>
            <w:pPr>
              <w:jc w:val="center"/>
              <w:ind w:right="109"/>
              <w:spacing w:after="0"/>
              <w:rPr>
                <w:sz w:val="20"/>
                <w:szCs w:val="20"/>
                <w:color w:val="auto"/>
              </w:rPr>
            </w:pPr>
            <w:r>
              <w:rPr>
                <w:rFonts w:ascii="Arial" w:cs="Arial" w:eastAsia="Arial" w:hAnsi="Arial"/>
                <w:sz w:val="14"/>
                <w:szCs w:val="14"/>
                <w:b w:val="1"/>
                <w:bCs w:val="1"/>
                <w:color w:val="auto"/>
                <w:w w:val="90"/>
              </w:rPr>
              <w:t>Changes in certain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3"/>
          </w:tcPr>
          <w:p>
            <w:pPr>
              <w:jc w:val="center"/>
              <w:ind w:right="20"/>
              <w:spacing w:after="0" w:line="118" w:lineRule="exact"/>
              <w:rPr>
                <w:sz w:val="20"/>
                <w:szCs w:val="20"/>
                <w:color w:val="auto"/>
              </w:rPr>
            </w:pPr>
            <w:r>
              <w:rPr>
                <w:rFonts w:ascii="Arial" w:cs="Arial" w:eastAsia="Arial" w:hAnsi="Arial"/>
                <w:sz w:val="13"/>
                <w:szCs w:val="13"/>
                <w:b w:val="1"/>
                <w:bCs w:val="1"/>
                <w:color w:val="auto"/>
                <w:w w:val="99"/>
              </w:rPr>
              <w:t>One-time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1"/>
              </w:rPr>
              <w:t>tax benefit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5"/>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of purchased</w:t>
            </w:r>
          </w:p>
        </w:tc>
        <w:tc>
          <w:tcPr>
            <w:tcW w:w="220" w:type="dxa"/>
            <w:vAlign w:val="bottom"/>
          </w:tcPr>
          <w:p>
            <w:pPr>
              <w:spacing w:after="0"/>
              <w:rPr>
                <w:sz w:val="12"/>
                <w:szCs w:val="12"/>
                <w:color w:val="auto"/>
              </w:rPr>
            </w:pPr>
          </w:p>
        </w:tc>
        <w:tc>
          <w:tcPr>
            <w:tcW w:w="940" w:type="dxa"/>
            <w:vAlign w:val="bottom"/>
            <w:gridSpan w:val="5"/>
            <w:vMerge w:val="restart"/>
          </w:tcPr>
          <w:p>
            <w:pPr>
              <w:jc w:val="right"/>
              <w:ind w:right="49"/>
              <w:spacing w:after="0"/>
              <w:rPr>
                <w:sz w:val="20"/>
                <w:szCs w:val="20"/>
                <w:color w:val="auto"/>
              </w:rPr>
            </w:pPr>
            <w:r>
              <w:rPr>
                <w:rFonts w:ascii="Arial" w:cs="Arial" w:eastAsia="Arial" w:hAnsi="Arial"/>
                <w:sz w:val="14"/>
                <w:szCs w:val="14"/>
                <w:b w:val="1"/>
                <w:bCs w:val="1"/>
                <w:color w:val="auto"/>
                <w:w w:val="91"/>
              </w:rPr>
              <w:t>Equity based</w:t>
            </w:r>
          </w:p>
        </w:tc>
        <w:tc>
          <w:tcPr>
            <w:tcW w:w="180" w:type="dxa"/>
            <w:vAlign w:val="bottom"/>
          </w:tcPr>
          <w:p>
            <w:pPr>
              <w:spacing w:after="0"/>
              <w:rPr>
                <w:sz w:val="12"/>
                <w:szCs w:val="12"/>
                <w:color w:val="auto"/>
              </w:rPr>
            </w:pPr>
          </w:p>
        </w:tc>
        <w:tc>
          <w:tcPr>
            <w:tcW w:w="1320" w:type="dxa"/>
            <w:vAlign w:val="bottom"/>
            <w:gridSpan w:val="5"/>
          </w:tcPr>
          <w:p>
            <w:pPr>
              <w:jc w:val="center"/>
              <w:ind w:right="89"/>
              <w:spacing w:after="0" w:line="147" w:lineRule="exact"/>
              <w:rPr>
                <w:sz w:val="20"/>
                <w:szCs w:val="20"/>
                <w:color w:val="auto"/>
              </w:rPr>
            </w:pPr>
            <w:r>
              <w:rPr>
                <w:rFonts w:ascii="Arial" w:cs="Arial" w:eastAsia="Arial" w:hAnsi="Arial"/>
                <w:sz w:val="14"/>
                <w:szCs w:val="14"/>
                <w:b w:val="1"/>
                <w:bCs w:val="1"/>
                <w:color w:val="auto"/>
                <w:w w:val="88"/>
              </w:rPr>
              <w:t>acquisitions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relating to</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5"/>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intangible</w:t>
            </w:r>
          </w:p>
        </w:tc>
        <w:tc>
          <w:tcPr>
            <w:tcW w:w="22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5"/>
          </w:tcPr>
          <w:p>
            <w:pPr>
              <w:jc w:val="center"/>
              <w:ind w:right="109"/>
              <w:spacing w:after="0" w:line="147" w:lineRule="exact"/>
              <w:rPr>
                <w:sz w:val="20"/>
                <w:szCs w:val="20"/>
                <w:color w:val="auto"/>
              </w:rPr>
            </w:pPr>
            <w:r>
              <w:rPr>
                <w:rFonts w:ascii="Arial" w:cs="Arial" w:eastAsia="Arial" w:hAnsi="Arial"/>
                <w:sz w:val="14"/>
                <w:szCs w:val="14"/>
                <w:b w:val="1"/>
                <w:bCs w:val="1"/>
                <w:color w:val="auto"/>
                <w:w w:val="92"/>
              </w:rPr>
              <w:t>related liabilities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Tax</w:t>
            </w:r>
          </w:p>
        </w:tc>
        <w:tc>
          <w:tcPr>
            <w:tcW w:w="82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1"/>
              </w:rPr>
              <w:t>the new</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880" w:type="dxa"/>
            <w:vAlign w:val="bottom"/>
            <w:gridSpan w:val="5"/>
          </w:tcPr>
          <w:p>
            <w:pPr>
              <w:jc w:val="center"/>
              <w:ind w:right="60"/>
              <w:spacing w:after="0" w:line="147" w:lineRule="exact"/>
              <w:rPr>
                <w:sz w:val="20"/>
                <w:szCs w:val="20"/>
                <w:color w:val="auto"/>
              </w:rPr>
            </w:pPr>
            <w:r>
              <w:rPr>
                <w:rFonts w:ascii="Arial" w:cs="Arial" w:eastAsia="Arial" w:hAnsi="Arial"/>
                <w:sz w:val="14"/>
                <w:szCs w:val="14"/>
                <w:b w:val="1"/>
                <w:bCs w:val="1"/>
                <w:color w:val="auto"/>
                <w:w w:val="85"/>
              </w:rPr>
              <w:t>assets and</w:t>
            </w:r>
          </w:p>
        </w:tc>
        <w:tc>
          <w:tcPr>
            <w:tcW w:w="220" w:type="dxa"/>
            <w:vAlign w:val="bottom"/>
          </w:tcPr>
          <w:p>
            <w:pPr>
              <w:spacing w:after="0"/>
              <w:rPr>
                <w:sz w:val="12"/>
                <w:szCs w:val="12"/>
                <w:color w:val="auto"/>
              </w:rPr>
            </w:pPr>
          </w:p>
        </w:tc>
        <w:tc>
          <w:tcPr>
            <w:tcW w:w="94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w w:val="96"/>
              </w:rPr>
              <w:t>compensation</w:t>
            </w:r>
          </w:p>
        </w:tc>
        <w:tc>
          <w:tcPr>
            <w:tcW w:w="180" w:type="dxa"/>
            <w:vAlign w:val="bottom"/>
          </w:tcPr>
          <w:p>
            <w:pPr>
              <w:spacing w:after="0"/>
              <w:rPr>
                <w:sz w:val="12"/>
                <w:szCs w:val="12"/>
                <w:color w:val="auto"/>
              </w:rPr>
            </w:pPr>
          </w:p>
        </w:tc>
        <w:tc>
          <w:tcPr>
            <w:tcW w:w="1320" w:type="dxa"/>
            <w:vAlign w:val="bottom"/>
            <w:gridSpan w:val="5"/>
          </w:tcPr>
          <w:p>
            <w:pPr>
              <w:jc w:val="center"/>
              <w:ind w:right="89"/>
              <w:spacing w:after="0" w:line="147" w:lineRule="exact"/>
              <w:rPr>
                <w:sz w:val="20"/>
                <w:szCs w:val="20"/>
                <w:color w:val="auto"/>
              </w:rPr>
            </w:pPr>
            <w:r>
              <w:rPr>
                <w:rFonts w:ascii="Arial" w:cs="Arial" w:eastAsia="Arial" w:hAnsi="Arial"/>
                <w:sz w:val="14"/>
                <w:szCs w:val="14"/>
                <w:b w:val="1"/>
                <w:bCs w:val="1"/>
                <w:color w:val="auto"/>
                <w:w w:val="92"/>
              </w:rPr>
              <w:t>measured at fair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2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U.S. tax</w:t>
            </w:r>
          </w:p>
        </w:tc>
        <w:tc>
          <w:tcPr>
            <w:tcW w:w="12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Non-GAAP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4"/>
                <w:szCs w:val="14"/>
                <w:color w:val="auto"/>
              </w:rPr>
            </w:pPr>
          </w:p>
        </w:tc>
        <w:tc>
          <w:tcPr>
            <w:tcW w:w="940" w:type="dxa"/>
            <w:vAlign w:val="bottom"/>
            <w:gridSpan w:val="5"/>
          </w:tcPr>
          <w:p>
            <w:pPr>
              <w:jc w:val="right"/>
              <w:ind w:right="209"/>
              <w:spacing w:after="0"/>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4"/>
                <w:szCs w:val="14"/>
                <w:color w:val="auto"/>
              </w:rPr>
            </w:pPr>
          </w:p>
        </w:tc>
        <w:tc>
          <w:tcPr>
            <w:tcW w:w="1320" w:type="dxa"/>
            <w:vAlign w:val="bottom"/>
            <w:gridSpan w:val="5"/>
          </w:tcPr>
          <w:p>
            <w:pPr>
              <w:jc w:val="center"/>
              <w:ind w:right="89"/>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effect</w:t>
            </w:r>
          </w:p>
        </w:tc>
        <w:tc>
          <w:tcPr>
            <w:tcW w:w="8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legislation</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w w:val="90"/>
              </w:rPr>
              <w:t>$643,197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(4,698)</w:t>
            </w:r>
          </w:p>
        </w:tc>
        <w:tc>
          <w:tcPr>
            <w:tcW w:w="600" w:type="dxa"/>
            <w:vAlign w:val="bottom"/>
            <w:gridSpan w:val="2"/>
          </w:tcPr>
          <w:p>
            <w:pPr>
              <w:jc w:val="right"/>
              <w:ind w:right="26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3"/>
          </w:tcPr>
          <w:p>
            <w:pPr>
              <w:jc w:val="right"/>
              <w:ind w:right="49"/>
              <w:spacing w:after="0"/>
              <w:rPr>
                <w:sz w:val="20"/>
                <w:szCs w:val="20"/>
                <w:color w:val="auto"/>
              </w:rPr>
            </w:pPr>
            <w:r>
              <w:rPr>
                <w:rFonts w:ascii="Arial" w:cs="Arial" w:eastAsia="Arial" w:hAnsi="Arial"/>
                <w:sz w:val="18"/>
                <w:szCs w:val="18"/>
                <w:color w:val="auto"/>
              </w:rPr>
              <w:t>(7,890)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$ 630,609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68,177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67,353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118,668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(7,983)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110,685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6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w w:val="97"/>
              </w:rPr>
              <w:t>Amortization of purchased intangible assets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and other</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25,526</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855,568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(25,526)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(7,890)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122,143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w w:val="87"/>
              </w:rPr>
              <w:t>13,505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169,064</w:t>
            </w: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5,391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6,078</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116,873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25,526</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w w:val="87"/>
              </w:rPr>
              <w:t>13,505</w:t>
            </w:r>
          </w:p>
        </w:tc>
        <w:tc>
          <w:tcPr>
            <w:tcW w:w="6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7,890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(6,078)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(3,250)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$ 154,466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0920"/>
          </w:cols>
          <w:pgMar w:left="660" w:top="128" w:right="660"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w w:val="96"/>
              </w:rPr>
              <w:t>December 31,</w:t>
            </w:r>
          </w:p>
        </w:tc>
        <w:tc>
          <w:tcPr>
            <w:tcW w:w="360" w:type="dxa"/>
            <w:vAlign w:val="bottom"/>
          </w:tcPr>
          <w:p>
            <w:pPr>
              <w:spacing w:after="0"/>
              <w:rPr>
                <w:sz w:val="10"/>
                <w:szCs w:val="10"/>
                <w:color w:val="auto"/>
              </w:rPr>
            </w:pPr>
          </w:p>
        </w:tc>
        <w:tc>
          <w:tcPr>
            <w:tcW w:w="86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w w:val="94"/>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458,650</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519,216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Accounts receivable, net, including unbilled of $246,409 and $263,997,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1,008,748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971,502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213,996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229,999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1,681,394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1,720,717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496,585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2,690,050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2,710,144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437,923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420,369</w:t>
            </w:r>
          </w:p>
        </w:tc>
        <w:tc>
          <w:tcPr>
            <w:tcW w:w="0" w:type="dxa"/>
            <w:vAlign w:val="bottom"/>
          </w:tcPr>
          <w:p>
            <w:pPr>
              <w:spacing w:after="0"/>
              <w:rPr>
                <w:sz w:val="1"/>
                <w:szCs w:val="1"/>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5,296,029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5,347,815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1,135,277</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1,162,543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138,420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132,414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1,273,697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1,294,957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523,172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560,816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3,452,031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3,448,879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3,499,160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3,492,042</w:t>
            </w:r>
          </w:p>
        </w:tc>
        <w:tc>
          <w:tcPr>
            <w:tcW w:w="0" w:type="dxa"/>
            <w:vAlign w:val="bottom"/>
          </w:tcPr>
          <w:p>
            <w:pPr>
              <w:spacing w:after="0"/>
              <w:rPr>
                <w:sz w:val="1"/>
                <w:szCs w:val="1"/>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5,296,029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5,347,815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0920"/>
          </w:cols>
          <w:pgMar w:left="660" w:top="128" w:right="660" w:bottom="1440" w:gutter="0" w:footer="0" w:header="0"/>
        </w:sectPr>
      </w:pPr>
    </w:p>
    <w:bookmarkStart w:id="14" w:name="page15"/>
    <w:bookmarkEnd w:id="14"/>
    <w:p>
      <w:pPr>
        <w:jc w:val="center"/>
        <w:ind w:righ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5"/>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(In thousands)</w:t>
      </w:r>
    </w:p>
    <w:p>
      <w:pPr>
        <w:spacing w:after="0" w:line="211"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Three months ended</w:t>
      </w:r>
    </w:p>
    <w:p>
      <w:pPr>
        <w:jc w:val="center"/>
        <w:ind w:left="890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6"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1"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1"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Flow from Operating Activities:</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$ 101,692</w:t>
            </w: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$ 116,873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tcPr>
          <w:p>
            <w:pPr>
              <w:jc w:val="right"/>
              <w:ind w:right="262"/>
              <w:spacing w:after="0"/>
              <w:rPr>
                <w:sz w:val="20"/>
                <w:szCs w:val="20"/>
                <w:color w:val="auto"/>
              </w:rPr>
            </w:pPr>
            <w:r>
              <w:rPr>
                <w:rFonts w:ascii="Arial" w:cs="Arial" w:eastAsia="Arial" w:hAnsi="Arial"/>
                <w:sz w:val="18"/>
                <w:szCs w:val="18"/>
                <w:color w:val="auto"/>
              </w:rPr>
              <w:t>51,477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49,237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60" w:type="dxa"/>
            <w:vAlign w:val="bottom"/>
            <w:gridSpan w:val="2"/>
          </w:tcPr>
          <w:p>
            <w:pPr>
              <w:jc w:val="right"/>
              <w:ind w:right="202"/>
              <w:spacing w:after="0"/>
              <w:rPr>
                <w:sz w:val="20"/>
                <w:szCs w:val="20"/>
                <w:color w:val="auto"/>
              </w:rPr>
            </w:pPr>
            <w:r>
              <w:rPr>
                <w:rFonts w:ascii="Arial" w:cs="Arial" w:eastAsia="Arial" w:hAnsi="Arial"/>
                <w:sz w:val="18"/>
                <w:szCs w:val="18"/>
                <w:color w:val="auto"/>
              </w:rPr>
              <w:t>(4,505)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short-term interest-bearing investments</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(26,406)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gridSpan w:val="2"/>
          </w:tcPr>
          <w:p>
            <w:pPr>
              <w:jc w:val="right"/>
              <w:ind w:right="262"/>
              <w:spacing w:after="0"/>
              <w:rPr>
                <w:sz w:val="20"/>
                <w:szCs w:val="20"/>
                <w:color w:val="auto"/>
              </w:rPr>
            </w:pPr>
            <w:r>
              <w:rPr>
                <w:rFonts w:ascii="Arial" w:cs="Arial" w:eastAsia="Arial" w:hAnsi="Arial"/>
                <w:sz w:val="18"/>
                <w:szCs w:val="18"/>
                <w:color w:val="auto"/>
              </w:rPr>
              <w:t>20,174</w:t>
            </w:r>
          </w:p>
        </w:tc>
        <w:tc>
          <w:tcPr>
            <w:tcW w:w="720" w:type="dxa"/>
            <w:vAlign w:val="bottom"/>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1060" w:type="dxa"/>
            <w:vAlign w:val="bottom"/>
            <w:gridSpan w:val="2"/>
          </w:tcPr>
          <w:p>
            <w:pPr>
              <w:jc w:val="right"/>
              <w:ind w:right="202"/>
              <w:spacing w:after="0"/>
              <w:rPr>
                <w:sz w:val="20"/>
                <w:szCs w:val="20"/>
                <w:color w:val="auto"/>
              </w:rPr>
            </w:pPr>
            <w:r>
              <w:rPr>
                <w:rFonts w:ascii="Arial" w:cs="Arial" w:eastAsia="Arial" w:hAnsi="Arial"/>
                <w:sz w:val="18"/>
                <w:szCs w:val="18"/>
                <w:color w:val="auto"/>
              </w:rPr>
              <w:t>(50,332)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70,632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(11,922)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Income taxes payable, net</w:t>
            </w:r>
          </w:p>
        </w:tc>
        <w:tc>
          <w:tcPr>
            <w:tcW w:w="1060" w:type="dxa"/>
            <w:vAlign w:val="bottom"/>
            <w:gridSpan w:val="2"/>
          </w:tcPr>
          <w:p>
            <w:pPr>
              <w:jc w:val="right"/>
              <w:ind w:right="262"/>
              <w:spacing w:after="0"/>
              <w:rPr>
                <w:sz w:val="20"/>
                <w:szCs w:val="20"/>
                <w:color w:val="auto"/>
              </w:rPr>
            </w:pPr>
            <w:r>
              <w:rPr>
                <w:rFonts w:ascii="Arial" w:cs="Arial" w:eastAsia="Arial" w:hAnsi="Arial"/>
                <w:sz w:val="18"/>
                <w:szCs w:val="18"/>
                <w:color w:val="auto"/>
              </w:rPr>
              <w:t>23,887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(9,054)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8"/>
        </w:trPr>
        <w:tc>
          <w:tcPr>
            <w:tcW w:w="90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109,650</w:t>
            </w: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Purchases of property and equipment, net (*)</w:t>
            </w:r>
          </w:p>
        </w:tc>
        <w:tc>
          <w:tcPr>
            <w:tcW w:w="1060" w:type="dxa"/>
            <w:vAlign w:val="bottom"/>
            <w:gridSpan w:val="2"/>
          </w:tcPr>
          <w:p>
            <w:pPr>
              <w:jc w:val="right"/>
              <w:ind w:right="202"/>
              <w:spacing w:after="0"/>
              <w:rPr>
                <w:sz w:val="20"/>
                <w:szCs w:val="20"/>
                <w:color w:val="auto"/>
              </w:rPr>
            </w:pPr>
            <w:r>
              <w:rPr>
                <w:rFonts w:ascii="Arial" w:cs="Arial" w:eastAsia="Arial" w:hAnsi="Arial"/>
                <w:sz w:val="18"/>
                <w:szCs w:val="18"/>
                <w:color w:val="auto"/>
              </w:rPr>
              <w:t>(37,278)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(51,779)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860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0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(52,648)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(8,331)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262"/>
              <w:spacing w:after="0"/>
              <w:rPr>
                <w:sz w:val="20"/>
                <w:szCs w:val="20"/>
                <w:color w:val="auto"/>
              </w:rPr>
            </w:pPr>
            <w:r>
              <w:rPr>
                <w:rFonts w:ascii="Arial" w:cs="Arial" w:eastAsia="Arial" w:hAnsi="Arial"/>
                <w:sz w:val="18"/>
                <w:szCs w:val="18"/>
                <w:color w:val="auto"/>
              </w:rPr>
              <w:t>857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(43,892)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(100,970)</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(99,182)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(119,898)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720" w:type="dxa"/>
            <w:vAlign w:val="bottom"/>
          </w:tcPr>
          <w:p>
            <w:pPr>
              <w:jc w:val="right"/>
              <w:spacing w:after="0"/>
              <w:rPr>
                <w:sz w:val="20"/>
                <w:szCs w:val="20"/>
                <w:color w:val="auto"/>
              </w:rPr>
            </w:pPr>
            <w:r>
              <w:rPr>
                <w:rFonts w:ascii="Arial" w:cs="Arial" w:eastAsia="Arial" w:hAnsi="Arial"/>
                <w:sz w:val="18"/>
                <w:szCs w:val="18"/>
                <w:color w:val="auto"/>
              </w:rPr>
              <w:t>8,379</w:t>
            </w: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31,053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(35,046)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 by noncontrolling interests, net</w:t>
            </w:r>
          </w:p>
        </w:tc>
        <w:tc>
          <w:tcPr>
            <w:tcW w:w="1060" w:type="dxa"/>
            <w:vAlign w:val="bottom"/>
            <w:gridSpan w:val="2"/>
          </w:tcPr>
          <w:p>
            <w:pPr>
              <w:jc w:val="right"/>
              <w:ind w:right="34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48,123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90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(125,884</w:t>
            </w:r>
          </w:p>
        </w:tc>
        <w:tc>
          <w:tcPr>
            <w:tcW w:w="340" w:type="dxa"/>
            <w:vAlign w:val="bottom"/>
          </w:tcPr>
          <w:p>
            <w:pPr>
              <w:jc w:val="right"/>
              <w:ind w:right="202"/>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(60,126)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Pr>
          <w:p>
            <w:pPr>
              <w:jc w:val="right"/>
              <w:spacing w:after="0"/>
              <w:rPr>
                <w:sz w:val="20"/>
                <w:szCs w:val="20"/>
                <w:color w:val="auto"/>
              </w:rPr>
            </w:pPr>
            <w:r>
              <w:rPr>
                <w:rFonts w:ascii="Arial" w:cs="Arial" w:eastAsia="Arial" w:hAnsi="Arial"/>
                <w:sz w:val="18"/>
                <w:szCs w:val="18"/>
                <w:color w:val="auto"/>
              </w:rPr>
              <w:t>418,783</w:t>
            </w:r>
          </w:p>
        </w:tc>
        <w:tc>
          <w:tcPr>
            <w:tcW w:w="3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649,611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$ 358,657</w:t>
            </w: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$ 640,784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934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207" w:lineRule="exact"/>
        <w:rPr>
          <w:sz w:val="20"/>
          <w:szCs w:val="20"/>
          <w:color w:val="auto"/>
        </w:rPr>
      </w:pPr>
    </w:p>
    <w:p>
      <w:pPr>
        <w:ind w:left="6" w:right="260" w:hanging="6"/>
        <w:spacing w:after="0" w:line="271"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$31 and $2, for the three months ended 31 December 2018 and 2017, respectively.</w:t>
      </w:r>
    </w:p>
    <w:p>
      <w:pPr>
        <w:sectPr>
          <w:pgSz w:w="12240" w:h="15840" w:orient="portrait"/>
          <w:cols w:equalWidth="0" w:num="1">
            <w:col w:w="10926"/>
          </w:cols>
          <w:pgMar w:left="654" w:top="128" w:right="660"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AMDOCS LIMITED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8"/>
        </w:trPr>
        <w:tc>
          <w:tcPr>
            <w:tcW w:w="5420" w:type="dxa"/>
            <w:vAlign w:val="bottom"/>
          </w:tcPr>
          <w:p>
            <w:pPr>
              <w:spacing w:after="0"/>
              <w:rPr>
                <w:sz w:val="10"/>
                <w:szCs w:val="10"/>
                <w:color w:val="auto"/>
              </w:rPr>
            </w:pPr>
          </w:p>
        </w:tc>
        <w:tc>
          <w:tcPr>
            <w:tcW w:w="1100" w:type="dxa"/>
            <w:vAlign w:val="bottom"/>
            <w:gridSpan w:val="5"/>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280" w:type="dxa"/>
            <w:vAlign w:val="bottom"/>
            <w:gridSpan w:val="5"/>
          </w:tcPr>
          <w:p>
            <w:pPr>
              <w:spacing w:after="0" w:line="118" w:lineRule="exact"/>
              <w:rPr>
                <w:sz w:val="20"/>
                <w:szCs w:val="20"/>
                <w:color w:val="auto"/>
              </w:rPr>
            </w:pPr>
            <w:r>
              <w:rPr>
                <w:rFonts w:ascii="Arial" w:cs="Arial" w:eastAsia="Arial" w:hAnsi="Arial"/>
                <w:sz w:val="13"/>
                <w:szCs w:val="13"/>
                <w:b w:val="1"/>
                <w:bCs w:val="1"/>
                <w:color w:val="auto"/>
              </w:rPr>
              <w:t>September 30,</w:t>
            </w:r>
          </w:p>
        </w:tc>
        <w:tc>
          <w:tcPr>
            <w:tcW w:w="1040" w:type="dxa"/>
            <w:vAlign w:val="bottom"/>
            <w:gridSpan w:val="3"/>
          </w:tcPr>
          <w:p>
            <w:pPr>
              <w:ind w:left="60"/>
              <w:spacing w:after="0" w:line="118" w:lineRule="exact"/>
              <w:rPr>
                <w:sz w:val="20"/>
                <w:szCs w:val="20"/>
                <w:color w:val="auto"/>
              </w:rPr>
            </w:pPr>
            <w:r>
              <w:rPr>
                <w:rFonts w:ascii="Arial" w:cs="Arial" w:eastAsia="Arial" w:hAnsi="Arial"/>
                <w:sz w:val="13"/>
                <w:szCs w:val="13"/>
                <w:b w:val="1"/>
                <w:bCs w:val="1"/>
                <w:color w:val="auto"/>
              </w:rPr>
              <w:t>June 30,</w:t>
            </w:r>
          </w:p>
        </w:tc>
        <w:tc>
          <w:tcPr>
            <w:tcW w:w="10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r>
      <w:tr>
        <w:trPr>
          <w:trHeight w:val="170"/>
        </w:trPr>
        <w:tc>
          <w:tcPr>
            <w:tcW w:w="5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0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638.2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644.8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60" w:type="dxa"/>
            <w:vAlign w:val="bottom"/>
            <w:shd w:val="clear" w:color="auto" w:fill="CCEEFF"/>
          </w:tcPr>
          <w:p>
            <w:pPr>
              <w:spacing w:after="0"/>
              <w:rPr>
                <w:sz w:val="18"/>
                <w:szCs w:val="18"/>
                <w:color w:val="auto"/>
              </w:rPr>
            </w:pPr>
          </w:p>
        </w:tc>
      </w:tr>
      <w:tr>
        <w:trPr>
          <w:trHeight w:val="214"/>
        </w:trPr>
        <w:tc>
          <w:tcPr>
            <w:tcW w:w="5420" w:type="dxa"/>
            <w:vAlign w:val="bottom"/>
          </w:tcPr>
          <w:p>
            <w:pPr>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150.6</w:t>
            </w:r>
          </w:p>
        </w:tc>
        <w:tc>
          <w:tcPr>
            <w:tcW w:w="3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148.6</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133.7</w:t>
            </w:r>
          </w:p>
        </w:tc>
      </w:tr>
      <w:tr>
        <w:trPr>
          <w:trHeight w:val="214"/>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213.8</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218.1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201.0</w:t>
            </w: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1,002.2</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992.3</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977.7</w:t>
            </w:r>
          </w:p>
        </w:tc>
        <w:tc>
          <w:tcPr>
            <w:tcW w:w="6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2"/>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8"/>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spacing w:after="0" w:line="118"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920" w:type="dxa"/>
            <w:vAlign w:val="bottom"/>
            <w:gridSpan w:val="2"/>
          </w:tcPr>
          <w:p>
            <w:pPr>
              <w:jc w:val="center"/>
              <w:ind w:right="400"/>
              <w:spacing w:after="0" w:line="118" w:lineRule="exact"/>
              <w:rPr>
                <w:sz w:val="20"/>
                <w:szCs w:val="20"/>
                <w:color w:val="auto"/>
              </w:rPr>
            </w:pPr>
            <w:r>
              <w:rPr>
                <w:rFonts w:ascii="Arial" w:cs="Arial" w:eastAsia="Arial" w:hAnsi="Arial"/>
                <w:sz w:val="13"/>
                <w:szCs w:val="13"/>
                <w:b w:val="1"/>
                <w:bCs w:val="1"/>
                <w:color w:val="auto"/>
                <w:w w:val="99"/>
              </w:rPr>
              <w:t>June 30,</w:t>
            </w:r>
          </w:p>
        </w:tc>
        <w:tc>
          <w:tcPr>
            <w:tcW w:w="10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r>
      <w:tr>
        <w:trPr>
          <w:trHeight w:val="170"/>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08"/>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515.0</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60" w:type="dxa"/>
            <w:vAlign w:val="bottom"/>
            <w:tcBorders>
              <w:top w:val="single" w:sz="8" w:color="CCEEFF"/>
            </w:tcBorders>
            <w:shd w:val="clear" w:color="auto" w:fill="CCEEFF"/>
          </w:tcPr>
          <w:p>
            <w:pPr>
              <w:spacing w:after="0"/>
              <w:rPr>
                <w:sz w:val="18"/>
                <w:szCs w:val="18"/>
                <w:color w:val="auto"/>
              </w:rPr>
            </w:pPr>
          </w:p>
        </w:tc>
      </w:tr>
      <w:tr>
        <w:trPr>
          <w:trHeight w:val="395"/>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8"/>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4"/>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spacing w:after="0" w:line="118"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920" w:type="dxa"/>
            <w:vAlign w:val="bottom"/>
            <w:gridSpan w:val="2"/>
          </w:tcPr>
          <w:p>
            <w:pPr>
              <w:jc w:val="center"/>
              <w:ind w:right="400"/>
              <w:spacing w:after="0" w:line="118" w:lineRule="exact"/>
              <w:rPr>
                <w:sz w:val="20"/>
                <w:szCs w:val="20"/>
                <w:color w:val="auto"/>
              </w:rPr>
            </w:pPr>
            <w:r>
              <w:rPr>
                <w:rFonts w:ascii="Arial" w:cs="Arial" w:eastAsia="Arial" w:hAnsi="Arial"/>
                <w:sz w:val="13"/>
                <w:szCs w:val="13"/>
                <w:b w:val="1"/>
                <w:bCs w:val="1"/>
                <w:color w:val="auto"/>
                <w:w w:val="99"/>
              </w:rPr>
              <w:t>June 30,</w:t>
            </w:r>
          </w:p>
        </w:tc>
        <w:tc>
          <w:tcPr>
            <w:tcW w:w="10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March 31,</w:t>
            </w:r>
          </w:p>
        </w:tc>
        <w:tc>
          <w:tcPr>
            <w:tcW w:w="8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r>
      <w:tr>
        <w:trPr>
          <w:trHeight w:val="170"/>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7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89"/>
              </w:rPr>
              <w:t>2018</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08"/>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3,330</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 # #</w:t>
      </w:r>
    </w:p>
    <w:sectPr>
      <w:pgSz w:w="12240" w:h="15840" w:orient="portrait"/>
      <w:cols w:equalWidth="0" w:num="1">
        <w:col w:w="10920"/>
      </w:cols>
      <w:pgMar w:left="660" w:top="128"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2019-12-14T20:08:59Z</dcterms:created>
  <dcterms:modified xsi:type="dcterms:W3CDTF">2019-12-14T20:08:59Z</dcterms:modified>
</cp:coreProperties>
</file>