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January 2005</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649" w:right="1440" w:bottom="1440" w:gutter="0" w:footer="0" w:header="0"/>
        </w:sectPr>
      </w:pPr>
    </w:p>
    <w:p>
      <w:pPr>
        <w:spacing w:after="0" w:line="208"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0" w:lineRule="exact"/>
        <w:rPr>
          <w:sz w:val="24"/>
          <w:szCs w:val="24"/>
          <w:color w:val="auto"/>
        </w:rPr>
      </w:pPr>
    </w:p>
    <w:p>
      <w:pPr>
        <w:sectPr>
          <w:pgSz w:w="11900" w:h="16838" w:orient="portrait"/>
          <w:cols w:equalWidth="0" w:num="3">
            <w:col w:w="2640" w:space="520"/>
            <w:col w:w="1500" w:space="720"/>
            <w:col w:w="4839"/>
          </w:cols>
          <w:pgMar w:left="240" w:top="649"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720" w:space="720"/>
            <w:col w:w="3779"/>
          </w:cols>
          <w:pgMar w:left="240" w:top="649"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type w:val="continuous"/>
        </w:sectPr>
      </w:pPr>
    </w:p>
    <w:p>
      <w:pPr>
        <w:spacing w:after="0" w:line="178"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860" w:space="100"/>
            <w:col w:w="1380" w:space="720"/>
            <w:col w:w="220" w:space="200"/>
            <w:col w:w="4739"/>
          </w:cols>
          <w:pgMar w:left="240" w:top="649" w:right="1440" w:bottom="1440" w:gutter="0" w:footer="0" w:header="0"/>
          <w:type w:val="continuous"/>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19, 2005, Amdocs Limited ("Amdocs") issued a press release announcing its financial results for the quarter ended December 31, 2004. A copy of the press release is furnished as Exhibit 99.1 to this Report of Foreign Private Issuer on Form 6-K.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52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Thomas G. O'Brien</w:t>
      </w:r>
    </w:p>
    <w:p>
      <w:pPr>
        <w:ind w:left="41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1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20, 2005</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January 19, 2005.</w:t>
      </w:r>
    </w:p>
    <w:p>
      <w:pPr>
        <w:sectPr>
          <w:pgSz w:w="11900" w:h="16838" w:orient="portrait"/>
          <w:cols w:equalWidth="0" w:num="2">
            <w:col w:w="2140" w:space="720"/>
            <w:col w:w="7359"/>
          </w:cols>
          <w:pgMar w:left="240" w:top="520"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 LOGO]</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AMDOCS LIMITED REPORTS STRONG GROWTH IN REVENUE AND EARNINGS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RECORD QUARTERLY REVENUE OF $469.5 MILLION REPRESENTING 3.8% SEQUENTIAL GROWTH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quarterly highlights:</w:t>
      </w:r>
    </w:p>
    <w:p>
      <w:pPr>
        <w:spacing w:after="0" w:line="201" w:lineRule="exact"/>
        <w:rPr>
          <w:sz w:val="20"/>
          <w:szCs w:val="20"/>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of $469.5 million, exceeding guidance of $457 million</w:t>
      </w:r>
    </w:p>
    <w:p>
      <w:pPr>
        <w:spacing w:after="0" w:line="206" w:lineRule="exact"/>
        <w:rPr>
          <w:rFonts w:ascii="Courier New" w:cs="Courier New" w:eastAsia="Courier New" w:hAnsi="Courier New"/>
          <w:sz w:val="18"/>
          <w:szCs w:val="18"/>
          <w:color w:val="auto"/>
        </w:rPr>
      </w:pPr>
    </w:p>
    <w:p>
      <w:pPr>
        <w:ind w:left="640" w:right="2519" w:hanging="316"/>
        <w:spacing w:after="0" w:line="290"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excluding acquisition-related costs net of related tax effects, increases 30.8% to $0.34, exceeding guidance of $0.31</w:t>
      </w:r>
    </w:p>
    <w:p>
      <w:pPr>
        <w:spacing w:after="0" w:line="164" w:lineRule="exact"/>
        <w:rPr>
          <w:rFonts w:ascii="Courier New" w:cs="Courier New" w:eastAsia="Courier New" w:hAnsi="Courier New"/>
          <w:sz w:val="16"/>
          <w:szCs w:val="16"/>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$0.32</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$63.0 million</w:t>
      </w:r>
    </w:p>
    <w:p>
      <w:pPr>
        <w:spacing w:after="0" w:line="206" w:lineRule="exact"/>
        <w:rPr>
          <w:rFonts w:ascii="Courier New" w:cs="Courier New" w:eastAsia="Courier New" w:hAnsi="Courier New"/>
          <w:sz w:val="18"/>
          <w:szCs w:val="18"/>
          <w:color w:val="auto"/>
        </w:rPr>
      </w:pPr>
    </w:p>
    <w:p>
      <w:pPr>
        <w:ind w:left="640" w:right="1879" w:hanging="316"/>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quarter fiscal 2005 guidance: Expected revenue of $488 million and diluted EPS of $0.35, excluding acquisition-related costs net of related tax effects of between $0.01-$0.02 per share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 JANUARY 19, 2005 - Amdocs Limited (NYSE: DOX) today reported that for the first quarter ended December 31, 2004, revenue was $469.5 million, representing sequential growth of 3.8% and an increase of 9.6% from last year's first quarter. Excluding acquisition-related costs net of related tax effects of $3.0 million, net income was $72.4 million, or $0.34 per diluted share, and increased by $15.4 million, or 26.9%, when compared to net income, excluding $4.0 million of acquisition-related costs net of related tax effects, of $57.0 million, or $0.26 per diluted share, in the first quarter of fiscal 2004. The Company's net income was $69.4 million, or $0.32 per diluted share, compared to net income of $53.1 million, or $0.24 per diluted share, in the first quarter of fiscal 2004.</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Dov Baharav, Chief Executive Officer of Amdocs Management Limited, said, "This was an excellent quarter for Amdocs. We exceeded expectations for revenue and earnings and accelerated our growth rate as we experienced strong momentum in our business. We are seeing now the results of our strategy of focusing on high-end companies and investing in the development of world-class products to support integrated customer management. This strategy has resulted in significant new wins across the board this quarter, especially in wireline. Our success this quarter and improving market conditions have positioned Amdocs for continued growth in the coming quarters."</w:t>
      </w:r>
    </w:p>
    <w:p>
      <w:pPr>
        <w:sectPr>
          <w:pgSz w:w="11900" w:h="16838" w:orient="portrait"/>
          <w:cols w:equalWidth="0" w:num="1">
            <w:col w:w="10219"/>
          </w:cols>
          <w:pgMar w:left="240" w:top="3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SALES HIGHLIGHTS</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During the first quarter, our new business included ten new key wins, highlighted below.</w:t>
      </w:r>
    </w:p>
    <w:p>
      <w:pPr>
        <w:spacing w:after="0" w:line="208" w:lineRule="exact"/>
        <w:rPr>
          <w:sz w:val="20"/>
          <w:szCs w:val="20"/>
          <w:color w:val="auto"/>
        </w:rPr>
      </w:pPr>
    </w:p>
    <w:p>
      <w:pPr>
        <w:ind w:left="640" w:right="1779" w:hanging="316"/>
        <w:spacing w:after="0" w:line="271"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IBM have signed contracts to modernize Svyazinvest's multiple billing and customer care systems that support more than 35 million wireline subscribers. Amdocs is working with Svyazinvest and IBM, the prime contractor, to replace 180 billing systems with a solution consisting of Amdocs Billing, Customer Management, Ordering, Self-Service, and Partner Relationship Manager Systems thus allowing Svyazinvest to pursue an integrated customer management strategy. The new solution also allows Svyazinvest to rapidly introduce new voice and data services to subscribers in the growing Russian marketplace. Amdocs and IBM will also provide ongoing maintenance services once the implementation is complete.</w:t>
      </w:r>
    </w:p>
    <w:p>
      <w:pPr>
        <w:spacing w:after="0" w:line="386" w:lineRule="exact"/>
        <w:rPr>
          <w:rFonts w:ascii="Courier New" w:cs="Courier New" w:eastAsia="Courier New" w:hAnsi="Courier New"/>
          <w:sz w:val="16"/>
          <w:szCs w:val="16"/>
          <w:color w:val="auto"/>
        </w:rPr>
      </w:pPr>
    </w:p>
    <w:p>
      <w:pPr>
        <w:ind w:left="640" w:right="18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has signed an agreement with R.H. Donnelley Corporation (RHD), a leading yellow pages publisher and directional media company, to upgrade and modernize RHD's systems with Amdocs iGen Platform, an integrated, web-based customer-centric suite of business applications. The agreement expands and extends RHD's managed services agreement with Amdocs through 2009, including day-to-day data center operations and ongoing programming support. For another directory customer, Amdocs will provide CRM functionality including sales force automation.</w:t>
      </w:r>
    </w:p>
    <w:p>
      <w:pPr>
        <w:spacing w:after="0" w:line="212" w:lineRule="exact"/>
        <w:rPr>
          <w:rFonts w:ascii="Courier New" w:cs="Courier New" w:eastAsia="Courier New" w:hAnsi="Courier New"/>
          <w:sz w:val="18"/>
          <w:szCs w:val="18"/>
          <w:color w:val="auto"/>
        </w:rPr>
      </w:pPr>
    </w:p>
    <w:p>
      <w:pPr>
        <w:ind w:left="640" w:right="18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 wireline carrier has selected Amdocs to support its project to provide customers with new Internet Protocol (IP)-based services. Amdocs will also provide implementation and systems integration services to this customer.</w:t>
      </w:r>
    </w:p>
    <w:p>
      <w:pPr>
        <w:spacing w:after="0" w:line="207" w:lineRule="exact"/>
        <w:rPr>
          <w:rFonts w:ascii="Courier New" w:cs="Courier New" w:eastAsia="Courier New" w:hAnsi="Courier New"/>
          <w:sz w:val="18"/>
          <w:szCs w:val="18"/>
          <w:color w:val="auto"/>
        </w:rPr>
      </w:pPr>
    </w:p>
    <w:p>
      <w:pPr>
        <w:ind w:left="640" w:right="18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has been selected for a systems integration project at an existing European wireless customer to assist the company as they upgrade their infrastructure and for an existing major wireless customer in North America, Amdocs is providing professional services to help this customer consolidate its operations.</w:t>
      </w:r>
    </w:p>
    <w:p>
      <w:pPr>
        <w:spacing w:after="0" w:line="208" w:lineRule="exact"/>
        <w:rPr>
          <w:rFonts w:ascii="Courier New" w:cs="Courier New" w:eastAsia="Courier New" w:hAnsi="Courier New"/>
          <w:sz w:val="18"/>
          <w:szCs w:val="18"/>
          <w:color w:val="auto"/>
        </w:rPr>
      </w:pPr>
    </w:p>
    <w:p>
      <w:pPr>
        <w:ind w:left="640" w:right="1999" w:hanging="316"/>
        <w:spacing w:after="0" w:line="236"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had success with its eCare product, with sales this quarter to an existing wireline customer in North America and to an existing wireless customer.</w:t>
      </w:r>
    </w:p>
    <w:p>
      <w:pPr>
        <w:sectPr>
          <w:pgSz w:w="11900" w:h="16838" w:orient="portrait"/>
          <w:cols w:equalWidth="0" w:num="1">
            <w:col w:w="10219"/>
          </w:cols>
          <w:pgMar w:left="240" w:top="514" w:right="1440" w:bottom="1440" w:gutter="0" w:footer="0" w:header="0"/>
        </w:sectPr>
      </w:pPr>
    </w:p>
    <w:bookmarkStart w:id="6" w:name="page7"/>
    <w:bookmarkEnd w:id="6"/>
    <w:p>
      <w:pPr>
        <w:ind w:left="640" w:right="1779" w:hanging="316"/>
        <w:spacing w:after="0" w:line="236"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South America, a wireless customer is upgrading to a new version of Amdocs ClarifyCRM product and in Europe, an existing customer has selected the Amdocs Xacct mediation product.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AND FINANCIAL HIGHLIGHTS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first quarter:</w:t>
      </w:r>
    </w:p>
    <w:p>
      <w:pPr>
        <w:spacing w:after="0" w:line="207" w:lineRule="exact"/>
        <w:rPr>
          <w:sz w:val="20"/>
          <w:szCs w:val="20"/>
          <w:color w:val="auto"/>
        </w:rPr>
      </w:pPr>
    </w:p>
    <w:p>
      <w:pPr>
        <w:ind w:left="640" w:right="1779" w:hanging="316"/>
        <w:spacing w:after="0" w:line="270"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Telefonica de Espana successfully completed the deployment of the Amdocs billing platform to support all of its wireline operations. In addition to supplying billing software, Amdocs provided Telefonica de Espana with systems integration services to support the rollout. As a result, Telefonica de Espana is now able to rapidly introduce innovative offerings, including new broadband ADSL services, while the company's operational and maintenance costs are significantly reduced. Several disparate legacy billing systems were consolidated and more than 12 million residential and commercial wireline customers with approximately 19.5 million access lines were migrated simultaneously onto the single, comprehensive Amdocs platform in what's known as a "flash-cut" conversion.</w:t>
      </w:r>
    </w:p>
    <w:p>
      <w:pPr>
        <w:spacing w:after="0" w:line="391" w:lineRule="exact"/>
        <w:rPr>
          <w:rFonts w:ascii="Courier New" w:cs="Courier New" w:eastAsia="Courier New" w:hAnsi="Courier New"/>
          <w:sz w:val="16"/>
          <w:szCs w:val="16"/>
          <w:color w:val="auto"/>
        </w:rPr>
      </w:pPr>
    </w:p>
    <w:p>
      <w:pPr>
        <w:ind w:left="640" w:right="1779" w:hanging="316"/>
        <w:spacing w:after="0" w:line="23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T-Mobile Hungary, Hungary's largest mobile service provider and the mobile division of Deutsche Telekom's subsidiary MATAV, has successfully deployed the Amdocs ClarifyCRM solution to manage all aspects of customer contacts and support for its more than 4 million customers. This deployment will help to seamlessly link front- and back-office systems throughout the organization, streamlining all customer-facing business processes for a single customer view -- a pre-requisite for outstanding customer experience.</w:t>
      </w:r>
    </w:p>
    <w:p>
      <w:pPr>
        <w:spacing w:after="0" w:line="212" w:lineRule="exact"/>
        <w:rPr>
          <w:rFonts w:ascii="Courier New" w:cs="Courier New" w:eastAsia="Courier New" w:hAnsi="Courier New"/>
          <w:sz w:val="18"/>
          <w:szCs w:val="18"/>
          <w:color w:val="auto"/>
        </w:rPr>
      </w:pPr>
    </w:p>
    <w:p>
      <w:pPr>
        <w:ind w:left="640" w:right="1999" w:hanging="316"/>
        <w:spacing w:after="0" w:line="23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announced that the United States Court of Appeals for the Eighth Circuit has affirmed per curiam the dismissal of the securities class action lawsuits that had been pending against Amdocs and certain of its directors and officers since June, 2002. The case had previously been dismissed with prejudice in December, 2003 by the United States District Court for the Eastern District of Missouri.</w:t>
      </w:r>
    </w:p>
    <w:p>
      <w:pPr>
        <w:spacing w:after="0" w:line="209" w:lineRule="exact"/>
        <w:rPr>
          <w:rFonts w:ascii="Courier New" w:cs="Courier New" w:eastAsia="Courier New" w:hAnsi="Courier New"/>
          <w:sz w:val="18"/>
          <w:szCs w:val="18"/>
          <w:color w:val="auto"/>
        </w:rPr>
      </w:pPr>
    </w:p>
    <w:p>
      <w:pPr>
        <w:jc w:val="both"/>
        <w:ind w:left="640" w:right="2319" w:hanging="316"/>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defined as cash flow from operations less net capital expenditures and payments on capital leases, was $63.0 million in the quarter.</w:t>
      </w:r>
    </w:p>
    <w:p>
      <w:pPr>
        <w:sectPr>
          <w:pgSz w:w="11900" w:h="16838" w:orient="portrait"/>
          <w:cols w:equalWidth="0" w:num="1">
            <w:col w:w="10219"/>
          </w:cols>
          <w:pgMar w:left="240" w:top="52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NEW ACCOUNTING RULE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March 2004, the Company issued $450 million principal amount of 0.50% Convertible Senior Notes (the "Notes") that are convertible into the Company's ordinary shares, subject to several contingent conversion conditions including a share price condition. According to U.S. GAAP prior to this quarter, the effect of the ordinary shares issuable upon conversion of the Notes had not been included in the computation of diluted earnings per share since none of the conditions that would permit conversion of the Notes have been satisfied. The Emerging Issues Task Force with issue 04-8 "The Effect of Contingently Convertible Instruments on Diluted Earnings per Share" (EITF 04-8) has reached a consensus to require, commencing with reporting periods ending after December 15, 2004, to include the shares issuable upon conversion of contingently convertible instruments (such as the Notes) in diluted earnings per share computations, if dilutive, regardless of whether the conversion conditions have been met. The transition rules of EITF 04-8 require that prior period earnings per share computations be restated to conform to the new rules. The change in accounting rules reduced previously reported quarterly diluted earnings per share by approximately $0.01 per share per quarter for the third and fourth quarters of fiscal 2004.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Amdocs expects that revenue for the second quarter of fiscal 2005 ending March 31, 2005, will increase to approximately $488 million. Diluted earnings per share for the quarter are expected to be $0.35 excluding acquisition-related costs net of related tax effects which are expected to reduce diluted EPS by between $0.01-$0.02 per share.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Amdocs will host a conference call on January 19, 2005 at 5 p.m. Eastern Standard Time to discuss the Company's first quarter results. The call will be carried live on the Internet via www.vcall.com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combines innovative software products and services with deep business knowledge to deliver true integrated customer management to the world's leading telecommunications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w:t>
      </w:r>
    </w:p>
    <w:p>
      <w:pPr>
        <w:sectPr>
          <w:pgSz w:w="11900" w:h="16838" w:orient="portrait"/>
          <w:cols w:equalWidth="0" w:num="1">
            <w:col w:w="10219"/>
          </w:cols>
          <w:pgMar w:left="240" w:top="514" w:right="1440" w:bottom="1440" w:gutter="0" w:footer="0" w:header="0"/>
        </w:sectPr>
      </w:pPr>
    </w:p>
    <w:bookmarkStart w:id="8" w:name="page9"/>
    <w:bookmarkEnd w:id="8"/>
    <w:p>
      <w:pPr>
        <w:jc w:val="both"/>
        <w:ind w:right="1999"/>
        <w:spacing w:after="0" w:line="236" w:lineRule="auto"/>
        <w:rPr>
          <w:sz w:val="20"/>
          <w:szCs w:val="20"/>
          <w:color w:val="auto"/>
        </w:rPr>
      </w:pPr>
      <w:r>
        <w:rPr>
          <w:rFonts w:ascii="Courier New" w:cs="Courier New" w:eastAsia="Courier New" w:hAnsi="Courier New"/>
          <w:sz w:val="18"/>
          <w:szCs w:val="18"/>
          <w:color w:val="auto"/>
        </w:rPr>
        <w:t>implement their business strategy with rapid return on investment, lower total cost of ownership and improved operational efficiencies. For more information, visit Amdocs at www.amdocs.com.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Investors are cautioned that this press release contains certain information that is not prepared in accordance with GAAP. Investors should not construe these financial measures as being superior to GAAP. The Company's management uses this financial information in its internal analysis in order to exclude the effect of acquisitions and other significant one-time events that may have a disproportionate effect in a particular period. Accordingly, management believes that isolating the effects of such events enables management and investors to consistently analyze the critical components and results of operations of the Company's business and to have a meaningful comparison to prior periods.</w:t>
      </w:r>
    </w:p>
    <w:p>
      <w:pPr>
        <w:spacing w:after="0" w:line="18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30, 2004.</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520"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INCOME (UNAUDITED)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THREE MONTHS ENDED</w:t>
      </w: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405"/>
        </w:trPr>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2004</w:t>
            </w:r>
          </w:p>
        </w:tc>
        <w:tc>
          <w:tcPr>
            <w:tcW w:w="4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License ..........................................</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$ 20,366</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$ 16,621</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Service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449,166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411,674</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469,532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428,295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Cost of license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Cost of service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294,947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272,103</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32,911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30,498</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Selling, general and administrative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54,960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52,497</w:t>
            </w:r>
          </w:p>
        </w:tc>
      </w:tr>
      <w:tr>
        <w:trPr>
          <w:trHeight w:val="203"/>
        </w:trPr>
        <w:tc>
          <w:tcPr>
            <w:tcW w:w="58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Amortization of purchased intangible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assets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5,096</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387,691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361,326</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Operating income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81,841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66,969</w:t>
            </w:r>
          </w:p>
        </w:tc>
      </w:tr>
      <w:tr>
        <w:trPr>
          <w:trHeight w:val="405"/>
        </w:trPr>
        <w:tc>
          <w:tcPr>
            <w:tcW w:w="5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Interest income and other, net .....................</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4,959</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1,067</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Income before income taxes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86,800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68,036</w:t>
            </w:r>
          </w:p>
        </w:tc>
      </w:tr>
      <w:tr>
        <w:trPr>
          <w:trHeight w:val="405"/>
        </w:trPr>
        <w:tc>
          <w:tcPr>
            <w:tcW w:w="5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Income taxes .......................................</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17,357</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14,968</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Net income .........................................</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$ 69,443</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$ 53,068</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Basic earnings per share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Diluted earnings per share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weighted average number of shares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outstanding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201,703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215,106</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 of shares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outstanding .....................................</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217,448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220,594</w:t>
            </w:r>
          </w:p>
        </w:tc>
      </w:tr>
      <w:tr>
        <w:trPr>
          <w:trHeight w:val="203"/>
        </w:trPr>
        <w:tc>
          <w:tcPr>
            <w:tcW w:w="58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14"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left="340" w:right="1380"/>
        <w:spacing w:after="0" w:line="236" w:lineRule="auto"/>
        <w:rPr>
          <w:sz w:val="20"/>
          <w:szCs w:val="20"/>
          <w:color w:val="auto"/>
        </w:rPr>
      </w:pPr>
      <w:r>
        <w:rPr>
          <w:rFonts w:ascii="Courier New" w:cs="Courier New" w:eastAsia="Courier New" w:hAnsi="Courier New"/>
          <w:sz w:val="18"/>
          <w:szCs w:val="18"/>
          <w:color w:val="auto"/>
        </w:rPr>
        <w:t>CONSOLIDATED STATEMENTS OF INCOME (UNAUDITED) EXCLUDING AMORTIZATION OF PURCHASED INTANGIBLE ASSETS AND RELATED TAX EFFECTS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28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564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w w:val="92"/>
              </w:rPr>
              <w:t>2004</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2003 (1)</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License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$ 20,366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$ 16,621</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Service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449,166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411,674</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469,532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428,295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Cost of license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1,155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Cost of service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294,947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272,103</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32,911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30,498</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Selling, general and administrative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54,960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52,497</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383,973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356,230</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Operating income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85,559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72,065</w:t>
            </w:r>
          </w:p>
        </w:tc>
      </w:tr>
      <w:tr>
        <w:trPr>
          <w:trHeight w:val="405"/>
        </w:trPr>
        <w:tc>
          <w:tcPr>
            <w:tcW w:w="56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Interest income and other, net ...................</w:t>
            </w:r>
          </w:p>
        </w:tc>
        <w:tc>
          <w:tcPr>
            <w:tcW w:w="190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4,959</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1,067</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Income before income taxes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90,518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73,132</w:t>
            </w:r>
          </w:p>
        </w:tc>
      </w:tr>
      <w:tr>
        <w:trPr>
          <w:trHeight w:val="405"/>
        </w:trPr>
        <w:tc>
          <w:tcPr>
            <w:tcW w:w="56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Income taxes .....................................</w:t>
            </w:r>
          </w:p>
        </w:tc>
        <w:tc>
          <w:tcPr>
            <w:tcW w:w="190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18,104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16,089</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Net income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$ 72,414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$ 57,043</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Diluted earnings per share .......................</w:t>
            </w:r>
          </w:p>
        </w:tc>
        <w:tc>
          <w:tcPr>
            <w:tcW w:w="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0.34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0.26</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 of</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 outstanding ............................</w:t>
            </w: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217,448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220,594</w:t>
            </w:r>
          </w:p>
        </w:tc>
      </w:tr>
      <w:tr>
        <w:trPr>
          <w:trHeight w:val="203"/>
        </w:trPr>
        <w:tc>
          <w:tcPr>
            <w:tcW w:w="56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$3,718 and $5,096 for amortization of purchased intangible assets, and related tax effects of $(747) and $(1,121) for the three months ended December 31, 2004 and 2003, respectively. Including the above items, income before income taxes was $86,800 and $68,036, and diluted earnings per share were $0.32 and $0.24 for the three months ended December 31, 2004 and 2003, respectively.</w:t>
      </w:r>
    </w:p>
    <w:p>
      <w:pPr>
        <w:sectPr>
          <w:pgSz w:w="11900" w:h="16838" w:orient="portrait"/>
          <w:cols w:equalWidth="0" w:num="1">
            <w:col w:w="10219"/>
          </w:cols>
          <w:pgMar w:left="240" w:top="514" w:right="1440" w:bottom="1440" w:gutter="0" w:footer="0" w:header="0"/>
        </w:sectPr>
      </w:pPr>
    </w:p>
    <w:bookmarkStart w:id="11" w:name="page12"/>
    <w:bookmarkEnd w:id="11"/>
    <w:p>
      <w:pPr>
        <w:jc w:val="center"/>
        <w:ind w:right="19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7280" w:type="dxa"/>
            <w:vAlign w:val="bottom"/>
          </w:tcPr>
          <w:p>
            <w:pPr>
              <w:spacing w:after="0"/>
              <w:rPr>
                <w:sz w:val="24"/>
                <w:szCs w:val="24"/>
                <w:color w:val="auto"/>
              </w:rPr>
            </w:pPr>
          </w:p>
        </w:tc>
        <w:tc>
          <w:tcPr>
            <w:tcW w:w="306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7280" w:type="dxa"/>
            <w:vAlign w:val="bottom"/>
          </w:tcPr>
          <w:p>
            <w:pPr>
              <w:spacing w:after="0"/>
              <w:rPr>
                <w:sz w:val="17"/>
                <w:szCs w:val="17"/>
                <w:color w:val="auto"/>
              </w:rPr>
            </w:pPr>
          </w:p>
        </w:tc>
        <w:tc>
          <w:tcPr>
            <w:tcW w:w="3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28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DECEMBER 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cash equivalents and short-term interest-bearing investments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$1,257,386</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$1,190,699</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including unbilled of $23,411 and</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$24,696, respectively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282,465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254,779</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receivable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70,634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62,284</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current assets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98,242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80,229</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1,708,727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1,587,991</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Equipment, vehicles and leasehold improvements, net ...............</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174,582</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181,121</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845,944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854,386</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251,984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240,386</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$2,981,237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$2,863,884</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Accounts payable and accruals .....................................</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361,006</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366,363</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Short-term portion of capital lease obligations and other financing</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arrangements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17,183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21,310</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235,923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223,122</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payable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167,989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163,648</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782,101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774,443</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0.50% Convertible notes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 and other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229,608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195,251</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1,519,528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1,444,190</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$2,981,237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$2,863,884</w:t>
            </w:r>
          </w:p>
        </w:tc>
      </w:tr>
      <w:tr>
        <w:trPr>
          <w:trHeight w:val="203"/>
        </w:trPr>
        <w:tc>
          <w:tcPr>
            <w:tcW w:w="7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340"/>
      </w:cols>
      <w:pgMar w:left="240" w:top="514"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2019-12-14T20:08:21Z</dcterms:created>
  <dcterms:modified xsi:type="dcterms:W3CDTF">2019-12-14T20:08:21Z</dcterms:modified>
</cp:coreProperties>
</file>