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WASHINGTON, D.C. 20549</w:t>
      </w:r>
    </w:p>
    <w:p>
      <w:pPr>
        <w:spacing w:after="0" w:line="26"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-144145</wp:posOffset>
            </wp:positionV>
            <wp:extent cx="13690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9060" cy="6350"/>
                    </a:xfrm>
                    <a:prstGeom prst="rect">
                      <a:avLst/>
                    </a:prstGeom>
                    <a:noFill/>
                  </pic:spPr>
                </pic:pic>
              </a:graphicData>
            </a:graphic>
          </wp:anchor>
        </w:drawing>
      </w:r>
    </w:p>
    <w:p>
      <w:pPr>
        <w:spacing w:after="0" w:line="34" w:lineRule="exact"/>
        <w:rPr>
          <w:sz w:val="20"/>
          <w:szCs w:val="20"/>
          <w:color w:val="auto"/>
        </w:rPr>
      </w:pPr>
    </w:p>
    <w:p>
      <w:pPr>
        <w:ind w:left="5680" w:right="3980" w:hanging="5336"/>
        <w:spacing w:after="0" w:line="316" w:lineRule="auto"/>
        <w:tabs>
          <w:tab w:leader="none" w:pos="569"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REGISTRATION STATEMENT PURSUANT TO SECTION 12(b) OR(g) OF THE SECURITIES EXCHANGE ACT OF 1934 or</w:t>
      </w:r>
    </w:p>
    <w:p>
      <w:pPr>
        <w:spacing w:after="0" w:line="20" w:lineRule="exact"/>
        <w:rPr>
          <w:sz w:val="20"/>
          <w:szCs w:val="20"/>
          <w:color w:val="auto"/>
        </w:rPr>
      </w:pPr>
    </w:p>
    <w:p>
      <w:pPr>
        <w:ind w:left="560" w:hanging="216"/>
        <w:spacing w:after="0"/>
        <w:tabs>
          <w:tab w:leader="none" w:pos="5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4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For the fiscal year ended September 30, 2008</w:t>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or</w:t>
      </w:r>
    </w:p>
    <w:p>
      <w:pPr>
        <w:spacing w:after="0" w:line="53" w:lineRule="exact"/>
        <w:rPr>
          <w:sz w:val="20"/>
          <w:szCs w:val="20"/>
          <w:color w:val="auto"/>
        </w:rPr>
      </w:pPr>
    </w:p>
    <w:p>
      <w:pPr>
        <w:ind w:left="5680" w:right="4380" w:hanging="5336"/>
        <w:spacing w:after="0" w:line="324" w:lineRule="auto"/>
        <w:tabs>
          <w:tab w:leader="none" w:pos="569"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 or</w:t>
      </w:r>
    </w:p>
    <w:p>
      <w:pPr>
        <w:ind w:left="560" w:right="4080" w:hanging="216"/>
        <w:spacing w:after="0" w:line="324" w:lineRule="auto"/>
        <w:tabs>
          <w:tab w:leader="none" w:pos="566"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SHELL COMPANY REPORT PURSUANT TO SECTION 13 OR 15(d) OF THE SECURITIES EXCHANGE ACT OF 1934 </w:t>
      </w:r>
      <w:r>
        <w:rPr>
          <w:rFonts w:ascii="Arial" w:cs="Arial" w:eastAsia="Arial" w:hAnsi="Arial"/>
          <w:sz w:val="12"/>
          <w:szCs w:val="12"/>
          <w:color w:val="auto"/>
        </w:rPr>
        <w:t>Date of event requiring this shell company report............</w:t>
      </w:r>
    </w:p>
    <w:p>
      <w:pPr>
        <w:ind w:left="4540"/>
        <w:spacing w:after="0"/>
        <w:tabs>
          <w:tab w:leader="none" w:pos="6440" w:val="left"/>
          <w:tab w:leader="none" w:pos="688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-3175</wp:posOffset>
            </wp:positionV>
            <wp:extent cx="4864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410" cy="6350"/>
                    </a:xfrm>
                    <a:prstGeom prst="rect">
                      <a:avLst/>
                    </a:prstGeom>
                    <a:noFill/>
                  </pic:spPr>
                </pic:pic>
              </a:graphicData>
            </a:graphic>
          </wp:anchor>
        </w:drawing>
      </w:r>
    </w:p>
    <w:p>
      <w:pPr>
        <w:spacing w:after="0" w:line="33"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 xml:space="preserve">Commission File Number </w:t>
      </w:r>
      <w:r>
        <w:rPr>
          <w:rFonts w:ascii="Arial" w:cs="Arial" w:eastAsia="Arial" w:hAnsi="Arial"/>
          <w:sz w:val="12"/>
          <w:szCs w:val="12"/>
          <w:b w:val="1"/>
          <w:bCs w:val="1"/>
          <w:u w:val="single" w:color="auto"/>
          <w:color w:val="auto"/>
        </w:rPr>
        <w:t>1-14840</w:t>
      </w:r>
    </w:p>
    <w:p>
      <w:pPr>
        <w:spacing w:after="0" w:line="31"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AMDOCS LIMITED</w:t>
      </w:r>
    </w:p>
    <w:p>
      <w:pPr>
        <w:spacing w:after="0" w:line="32"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Guernsey</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Suite 5, Tower Hill House Le Bordage</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St. Peter Port, Guernsey, GY1 3QT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Amdocs, Inc.</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u w:val="single" w:color="auto"/>
          <w:color w:val="auto"/>
        </w:rPr>
        <w:t>1390 Timberlake Manor Parkway, Chesterfield, Missouri 63017</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Thomas G. O’Brien</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Amdocs, Inc.</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Telephone: 314-212-8328</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Email: dox_info@amdocs.com</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1"/>
          <w:szCs w:val="11"/>
          <w:color w:val="auto"/>
        </w:rPr>
        <w:t>(Name, Telephone, Email and/or Facsimile number and Address of Company Contact Person)</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Securities registered or to be registered pursuant to Section 12(b) of the Act:</w:t>
      </w:r>
    </w:p>
    <w:p>
      <w:pPr>
        <w:spacing w:after="0" w:line="53"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3720" w:type="dxa"/>
            <w:vAlign w:val="bottom"/>
          </w:tcPr>
          <w:p>
            <w:pPr>
              <w:ind w:left="860"/>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 of each class</w:t>
            </w:r>
          </w:p>
        </w:tc>
        <w:tc>
          <w:tcPr>
            <w:tcW w:w="2700" w:type="dxa"/>
            <w:vAlign w:val="bottom"/>
          </w:tcPr>
          <w:p>
            <w:pPr>
              <w:spacing w:after="0"/>
              <w:rPr>
                <w:sz w:val="11"/>
                <w:szCs w:val="11"/>
                <w:color w:val="auto"/>
              </w:rPr>
            </w:pPr>
          </w:p>
        </w:tc>
        <w:tc>
          <w:tcPr>
            <w:tcW w:w="1700" w:type="dxa"/>
            <w:vAlign w:val="bottom"/>
          </w:tcPr>
          <w:p>
            <w:pPr>
              <w:spacing w:after="0"/>
              <w:rPr>
                <w:sz w:val="20"/>
                <w:szCs w:val="20"/>
                <w:color w:val="auto"/>
              </w:rPr>
            </w:pPr>
            <w:r>
              <w:rPr>
                <w:rFonts w:ascii="Arial" w:cs="Arial" w:eastAsia="Arial" w:hAnsi="Arial"/>
                <w:sz w:val="11"/>
                <w:szCs w:val="11"/>
                <w:b w:val="1"/>
                <w:bCs w:val="1"/>
                <w:color w:val="auto"/>
                <w:w w:val="82"/>
              </w:rPr>
              <w:t>Name of exchange on which registered</w:t>
            </w:r>
          </w:p>
        </w:tc>
      </w:tr>
      <w:tr>
        <w:trPr>
          <w:trHeight w:val="20"/>
        </w:trPr>
        <w:tc>
          <w:tcPr>
            <w:tcW w:w="37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1"/>
        </w:trPr>
        <w:tc>
          <w:tcPr>
            <w:tcW w:w="3720" w:type="dxa"/>
            <w:vAlign w:val="bottom"/>
          </w:tcPr>
          <w:p>
            <w:pPr>
              <w:spacing w:after="0"/>
              <w:rPr>
                <w:sz w:val="20"/>
                <w:szCs w:val="20"/>
                <w:color w:val="auto"/>
              </w:rPr>
            </w:pPr>
            <w:r>
              <w:rPr>
                <w:rFonts w:ascii="Arial" w:cs="Arial" w:eastAsia="Arial" w:hAnsi="Arial"/>
                <w:sz w:val="13"/>
                <w:szCs w:val="13"/>
                <w:color w:val="auto"/>
              </w:rPr>
              <w:t>Ordinary Shares, par value £0.01</w:t>
            </w:r>
          </w:p>
        </w:tc>
        <w:tc>
          <w:tcPr>
            <w:tcW w:w="4400" w:type="dxa"/>
            <w:vAlign w:val="bottom"/>
            <w:gridSpan w:val="2"/>
          </w:tcPr>
          <w:p>
            <w:pPr>
              <w:ind w:left="1940"/>
              <w:spacing w:after="0"/>
              <w:rPr>
                <w:sz w:val="20"/>
                <w:szCs w:val="20"/>
                <w:color w:val="auto"/>
              </w:rPr>
            </w:pPr>
            <w:r>
              <w:rPr>
                <w:rFonts w:ascii="Arial" w:cs="Arial" w:eastAsia="Arial" w:hAnsi="Arial"/>
                <w:sz w:val="13"/>
                <w:szCs w:val="13"/>
                <w:color w:val="auto"/>
              </w:rPr>
              <w:t>New York Stock Exchange</w:t>
            </w:r>
          </w:p>
        </w:tc>
      </w:tr>
    </w:tbl>
    <w:p>
      <w:pPr>
        <w:spacing w:after="0" w:line="4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Securities registered or to be registered pursuant to Section 12(g) of the Act:</w:t>
      </w:r>
    </w:p>
    <w:p>
      <w:pPr>
        <w:spacing w:after="0" w:line="7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15240</wp:posOffset>
            </wp:positionV>
            <wp:extent cx="31483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Securities for which there is a reporting obligation pursuant to Section 15(d) of the Act:</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15240</wp:posOffset>
            </wp:positionV>
            <wp:extent cx="31483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00"/>
          </w:cols>
          <w:pgMar w:left="220" w:top="127" w:right="579" w:bottom="1440" w:gutter="0" w:footer="0" w:header="0"/>
        </w:sectPr>
      </w:pPr>
    </w:p>
    <w:p>
      <w:pPr>
        <w:spacing w:after="0" w:line="114" w:lineRule="exact"/>
        <w:rPr>
          <w:sz w:val="20"/>
          <w:szCs w:val="20"/>
          <w:color w:val="auto"/>
        </w:rPr>
      </w:pPr>
    </w:p>
    <w:p>
      <w:pPr>
        <w:jc w:val="center"/>
        <w:ind w:right="1220"/>
        <w:spacing w:after="0"/>
        <w:rPr>
          <w:sz w:val="20"/>
          <w:szCs w:val="20"/>
          <w:color w:val="auto"/>
        </w:rPr>
      </w:pPr>
      <w:r>
        <w:rPr>
          <w:rFonts w:ascii="Arial" w:cs="Arial" w:eastAsia="Arial" w:hAnsi="Arial"/>
          <w:sz w:val="10"/>
          <w:szCs w:val="10"/>
          <w:color w:val="auto"/>
        </w:rPr>
        <w:t>Ordinary Shares, par value £0.01</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(Title of class)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2140"/>
        <w:spacing w:after="0"/>
        <w:rPr>
          <w:sz w:val="20"/>
          <w:szCs w:val="20"/>
          <w:color w:val="auto"/>
        </w:rPr>
      </w:pPr>
      <w:r>
        <w:rPr>
          <w:rFonts w:ascii="Arial" w:cs="Arial" w:eastAsia="Arial" w:hAnsi="Arial"/>
          <w:sz w:val="12"/>
          <w:szCs w:val="12"/>
          <w:color w:val="auto"/>
        </w:rPr>
        <w:t>203,915,726(1)</w:t>
      </w:r>
    </w:p>
    <w:p>
      <w:pPr>
        <w:spacing w:after="0" w:line="16" w:lineRule="exact"/>
        <w:rPr>
          <w:sz w:val="20"/>
          <w:szCs w:val="20"/>
          <w:color w:val="auto"/>
        </w:rPr>
      </w:pPr>
    </w:p>
    <w:p>
      <w:pPr>
        <w:jc w:val="center"/>
        <w:ind w:right="2140"/>
        <w:spacing w:after="0"/>
        <w:rPr>
          <w:sz w:val="20"/>
          <w:szCs w:val="20"/>
          <w:color w:val="auto"/>
        </w:rPr>
      </w:pPr>
      <w:r>
        <w:rPr>
          <w:rFonts w:ascii="Arial" w:cs="Arial" w:eastAsia="Arial" w:hAnsi="Arial"/>
          <w:sz w:val="10"/>
          <w:szCs w:val="10"/>
          <w:color w:val="auto"/>
        </w:rPr>
        <w:t>(Number of shares)</w:t>
      </w:r>
    </w:p>
    <w:p>
      <w:pPr>
        <w:spacing w:after="0" w:line="123" w:lineRule="exact"/>
        <w:rPr>
          <w:sz w:val="20"/>
          <w:szCs w:val="20"/>
          <w:color w:val="auto"/>
        </w:rPr>
      </w:pPr>
    </w:p>
    <w:p>
      <w:pPr>
        <w:sectPr>
          <w:pgSz w:w="11900" w:h="16838" w:orient="portrait"/>
          <w:cols w:equalWidth="0" w:num="2">
            <w:col w:w="7300" w:space="720"/>
            <w:col w:w="3080"/>
          </w:cols>
          <w:pgMar w:left="220" w:top="127" w:right="579" w:bottom="1440" w:gutter="0" w:footer="0" w:header="0"/>
          <w:type w:val="continuous"/>
        </w:sectPr>
      </w:pPr>
    </w:p>
    <w:p>
      <w:pPr>
        <w:ind w:left="660"/>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ectPr>
          <w:pgSz w:w="11900" w:h="16838" w:orient="portrait"/>
          <w:cols w:equalWidth="0" w:num="1">
            <w:col w:w="11100"/>
          </w:cols>
          <w:pgMar w:left="220" w:top="127" w:right="579" w:bottom="1440" w:gutter="0" w:footer="0" w:header="0"/>
          <w:type w:val="continuous"/>
        </w:sectPr>
      </w:pPr>
    </w:p>
    <w:p>
      <w:pPr>
        <w:spacing w:after="0" w:line="104" w:lineRule="exact"/>
        <w:rPr>
          <w:sz w:val="20"/>
          <w:szCs w:val="20"/>
          <w:color w:val="auto"/>
        </w:rPr>
      </w:pPr>
    </w:p>
    <w:p>
      <w:pPr>
        <w:ind w:left="5400"/>
        <w:spacing w:after="0" w:line="138" w:lineRule="exact"/>
        <w:tabs>
          <w:tab w:leader="none" w:pos="61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86" w:lineRule="exact"/>
        <w:rPr>
          <w:sz w:val="20"/>
          <w:szCs w:val="20"/>
          <w:color w:val="auto"/>
        </w:rPr>
      </w:pPr>
    </w:p>
    <w:p>
      <w:pPr>
        <w:ind w:left="5380" w:right="1420" w:hanging="4712"/>
        <w:spacing w:after="0" w:line="160"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o No </w:t>
      </w:r>
      <w:r>
        <w:rPr>
          <w:rFonts w:ascii="MS PGothic" w:cs="MS PGothic" w:eastAsia="MS PGothic" w:hAnsi="MS PGothic"/>
          <w:sz w:val="12"/>
          <w:szCs w:val="12"/>
          <w:color w:val="auto"/>
        </w:rPr>
        <w:t>☑</w:t>
      </w:r>
    </w:p>
    <w:p>
      <w:pPr>
        <w:spacing w:after="0" w:line="34" w:lineRule="exact"/>
        <w:rPr>
          <w:sz w:val="20"/>
          <w:szCs w:val="20"/>
          <w:color w:val="auto"/>
        </w:rPr>
      </w:pPr>
    </w:p>
    <w:p>
      <w:pPr>
        <w:ind w:left="340" w:firstLine="323"/>
        <w:spacing w:after="0" w:line="26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359"/>
        <w:spacing w:after="0" w:line="138" w:lineRule="exact"/>
        <w:tabs>
          <w:tab w:leader="none" w:pos="12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61" w:lineRule="exact"/>
        <w:rPr>
          <w:sz w:val="20"/>
          <w:szCs w:val="20"/>
          <w:color w:val="auto"/>
        </w:rPr>
      </w:pPr>
    </w:p>
    <w:p>
      <w:pPr>
        <w:jc w:val="center"/>
        <w:ind w:right="-539"/>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Act.:</w:t>
      </w:r>
    </w:p>
    <w:p>
      <w:pPr>
        <w:spacing w:after="0" w:line="38" w:lineRule="exact"/>
        <w:rPr>
          <w:sz w:val="20"/>
          <w:szCs w:val="20"/>
          <w:color w:val="auto"/>
        </w:rPr>
      </w:pPr>
    </w:p>
    <w:p>
      <w:pPr>
        <w:ind w:left="4120"/>
        <w:spacing w:after="0" w:line="138" w:lineRule="exact"/>
        <w:tabs>
          <w:tab w:leader="none" w:pos="5480" w:val="left"/>
          <w:tab w:leader="none" w:pos="652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ab/>
        <w:t>Accelerated filer o</w:t>
      </w:r>
      <w:r>
        <w:rPr>
          <w:sz w:val="20"/>
          <w:szCs w:val="20"/>
          <w:color w:val="auto"/>
        </w:rPr>
        <w:tab/>
      </w:r>
      <w:r>
        <w:rPr>
          <w:rFonts w:ascii="Arial" w:cs="Arial" w:eastAsia="Arial" w:hAnsi="Arial"/>
          <w:sz w:val="11"/>
          <w:szCs w:val="11"/>
          <w:color w:val="auto"/>
        </w:rPr>
        <w:t>Non-accelerated filer o</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pacing w:after="0" w:line="91" w:lineRule="exact"/>
        <w:rPr>
          <w:sz w:val="20"/>
          <w:szCs w:val="20"/>
          <w:color w:val="auto"/>
        </w:rPr>
      </w:pPr>
    </w:p>
    <w:p>
      <w:pPr>
        <w:ind w:left="4840" w:right="180" w:hanging="4188"/>
        <w:spacing w:after="0" w:line="191" w:lineRule="exact"/>
        <w:tabs>
          <w:tab w:leader="none" w:pos="4820" w:val="left"/>
        </w:tabs>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International Financial Reporting Standards as issued o Other o by the International Accounting Standards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16" w:lineRule="exact"/>
        <w:rPr>
          <w:sz w:val="20"/>
          <w:szCs w:val="20"/>
          <w:color w:val="auto"/>
        </w:rPr>
      </w:pPr>
    </w:p>
    <w:p>
      <w:pPr>
        <w:ind w:left="5380"/>
        <w:spacing w:after="0" w:line="138" w:lineRule="exact"/>
        <w:tabs>
          <w:tab w:leader="none" w:pos="578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7550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45" w:lineRule="exact"/>
        <w:rPr>
          <w:sz w:val="20"/>
          <w:szCs w:val="20"/>
          <w:color w:val="auto"/>
        </w:rPr>
      </w:pPr>
    </w:p>
    <w:p>
      <w:pPr>
        <w:ind w:left="560" w:right="40" w:hanging="210"/>
        <w:spacing w:after="0" w:line="233" w:lineRule="auto"/>
        <w:tabs>
          <w:tab w:leader="none" w:pos="560" w:val="left"/>
        </w:tabs>
        <w:numPr>
          <w:ilvl w:val="0"/>
          <w:numId w:val="4"/>
        </w:numPr>
        <w:rPr>
          <w:rFonts w:ascii="Arial" w:cs="Arial" w:eastAsia="Arial" w:hAnsi="Arial"/>
          <w:sz w:val="11"/>
          <w:szCs w:val="11"/>
          <w:color w:val="auto"/>
        </w:rPr>
      </w:pPr>
      <w:r>
        <w:rPr>
          <w:rFonts w:ascii="Arial" w:cs="Arial" w:eastAsia="Arial" w:hAnsi="Arial"/>
          <w:sz w:val="11"/>
          <w:szCs w:val="11"/>
          <w:color w:val="auto"/>
        </w:rPr>
        <w:t>Net of 36,919,790 shares held in treasury. Does not include (a) 22,387,689 ordinary shares reserved for issuance upon exercise of stock options granted under our stock option plan or by companies we have acquired, and (b) 10,435,995 ordinary shares reserved for issuance upon conversion of outstanding 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80" w:type="dxa"/>
            <w:vAlign w:val="bottom"/>
            <w:gridSpan w:val="14"/>
          </w:tcPr>
          <w:p>
            <w:pPr>
              <w:jc w:val="center"/>
              <w:ind w:right="2860"/>
              <w:spacing w:after="0"/>
              <w:rPr>
                <w:sz w:val="20"/>
                <w:szCs w:val="20"/>
                <w:color w:val="auto"/>
              </w:rPr>
            </w:pPr>
            <w:r>
              <w:rPr>
                <w:rFonts w:ascii="Arial" w:cs="Arial" w:eastAsia="Arial" w:hAnsi="Arial"/>
                <w:sz w:val="13"/>
                <w:szCs w:val="13"/>
                <w:b w:val="1"/>
                <w:bCs w:val="1"/>
                <w:color w:val="auto"/>
              </w:rPr>
              <w:t>AMDOCS LIMITED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60" w:type="dxa"/>
            <w:vAlign w:val="bottom"/>
            <w:gridSpan w:val="12"/>
            <w:vMerge w:val="restart"/>
          </w:tcPr>
          <w:p>
            <w:pPr>
              <w:jc w:val="center"/>
              <w:ind w:right="3100"/>
              <w:spacing w:after="0"/>
              <w:rPr>
                <w:sz w:val="20"/>
                <w:szCs w:val="20"/>
                <w:color w:val="auto"/>
              </w:rPr>
            </w:pPr>
            <w:r>
              <w:rPr>
                <w:rFonts w:ascii="Arial" w:cs="Arial" w:eastAsia="Arial" w:hAnsi="Arial"/>
                <w:sz w:val="13"/>
                <w:szCs w:val="13"/>
                <w:b w:val="1"/>
                <w:bCs w:val="1"/>
                <w:color w:val="auto"/>
              </w:rPr>
              <w:t>FORM 20-F</w:t>
            </w: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gridSpan w:val="12"/>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960" w:type="dxa"/>
            <w:vAlign w:val="bottom"/>
            <w:gridSpan w:val="24"/>
          </w:tcPr>
          <w:p>
            <w:pPr>
              <w:jc w:val="center"/>
              <w:ind w:right="1080"/>
              <w:spacing w:after="0"/>
              <w:rPr>
                <w:sz w:val="20"/>
                <w:szCs w:val="20"/>
                <w:color w:val="auto"/>
              </w:rPr>
            </w:pPr>
            <w:r>
              <w:rPr>
                <w:rFonts w:ascii="Arial" w:cs="Arial" w:eastAsia="Arial" w:hAnsi="Arial"/>
                <w:sz w:val="13"/>
                <w:szCs w:val="13"/>
                <w:b w:val="1"/>
                <w:bCs w:val="1"/>
                <w:color w:val="auto"/>
              </w:rPr>
              <w:t>ANNUAL REPORT FOR THE FISCAL YEAR ENDED SEPTEMBER 30, 2008</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740" w:type="dxa"/>
            <w:vAlign w:val="bottom"/>
            <w:gridSpan w:val="8"/>
            <w:vMerge w:val="restart"/>
          </w:tcPr>
          <w:p>
            <w:pPr>
              <w:jc w:val="center"/>
              <w:ind w:right="3300"/>
              <w:spacing w:after="0"/>
              <w:rPr>
                <w:sz w:val="20"/>
                <w:szCs w:val="20"/>
                <w:color w:val="auto"/>
              </w:rPr>
            </w:pPr>
            <w:r>
              <w:rPr>
                <w:rFonts w:ascii="Arial" w:cs="Arial" w:eastAsia="Arial" w:hAnsi="Arial"/>
                <w:sz w:val="13"/>
                <w:szCs w:val="13"/>
                <w:b w:val="1"/>
                <w:bCs w:val="1"/>
                <w:color w:val="auto"/>
              </w:rPr>
              <w:t>INDEX</w:t>
            </w: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8"/>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9"/>
          </w:tcPr>
          <w:p>
            <w:pPr>
              <w:jc w:val="center"/>
              <w:ind w:right="3280"/>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w:t>
              </w:r>
            </w:hyperlink>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120" w:type="dxa"/>
            <w:vAlign w:val="bottom"/>
            <w:gridSpan w:val="19"/>
          </w:tcPr>
          <w:p>
            <w:pPr>
              <w:spacing w:after="0" w:line="141" w:lineRule="exact"/>
              <w:rPr>
                <w:rFonts w:ascii="Arial" w:cs="Arial" w:eastAsia="Arial" w:hAnsi="Arial"/>
                <w:sz w:val="13"/>
                <w:szCs w:val="13"/>
                <w:color w:val="0000EE"/>
                <w:w w:val="98"/>
              </w:rPr>
            </w:pPr>
            <w:hyperlink w:anchor="page5">
              <w:r>
                <w:rPr>
                  <w:rFonts w:ascii="Arial" w:cs="Arial" w:eastAsia="Arial" w:hAnsi="Arial"/>
                  <w:sz w:val="13"/>
                  <w:szCs w:val="13"/>
                  <w:color w:val="0000EE"/>
                  <w:w w:val="98"/>
                </w:rPr>
                <w:t>Identity of Directors, Senior Management and Advisors</w:t>
              </w:r>
            </w:hyperlink>
          </w:p>
        </w:tc>
        <w:tc>
          <w:tcPr>
            <w:tcW w:w="440" w:type="dxa"/>
            <w:vAlign w:val="bottom"/>
            <w:tcBorders>
              <w:top w:val="single" w:sz="8" w:color="0000EE"/>
            </w:tcBorders>
            <w:gridSpan w:val="3"/>
          </w:tcPr>
          <w:p>
            <w:pPr>
              <w:spacing w:after="0"/>
              <w:rPr>
                <w:sz w:val="12"/>
                <w:szCs w:val="12"/>
                <w:color w:val="auto"/>
              </w:rPr>
            </w:pPr>
          </w:p>
        </w:tc>
        <w:tc>
          <w:tcPr>
            <w:tcW w:w="3300" w:type="dxa"/>
            <w:vAlign w:val="bottom"/>
            <w:gridSpan w:val="5"/>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2.</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Offer Statistics and Expected Timetable</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3.</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Key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Information on the Company</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Item 5.</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Operating and Financial Review and Prospects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Item 6.</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Directors, Senior Management and Employees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6">
              <w:r>
                <w:rPr>
                  <w:rFonts w:ascii="Arial" w:cs="Arial" w:eastAsia="Arial" w:hAnsi="Arial"/>
                  <w:sz w:val="13"/>
                  <w:szCs w:val="13"/>
                  <w:color w:val="0000EE"/>
                </w:rPr>
                <w:t>Item 7.</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6">
              <w:r>
                <w:rPr>
                  <w:rFonts w:ascii="Arial" w:cs="Arial" w:eastAsia="Arial" w:hAnsi="Arial"/>
                  <w:sz w:val="13"/>
                  <w:szCs w:val="13"/>
                  <w:color w:val="0000EE"/>
                </w:rPr>
                <w:t>Major Shareholders and Related Party Transactions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7">
              <w:r>
                <w:rPr>
                  <w:rFonts w:ascii="Arial" w:cs="Arial" w:eastAsia="Arial" w:hAnsi="Arial"/>
                  <w:sz w:val="13"/>
                  <w:szCs w:val="13"/>
                  <w:color w:val="0000EE"/>
                </w:rPr>
                <w:t>Item 8.</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7">
              <w:r>
                <w:rPr>
                  <w:rFonts w:ascii="Arial" w:cs="Arial" w:eastAsia="Arial" w:hAnsi="Arial"/>
                  <w:sz w:val="13"/>
                  <w:szCs w:val="13"/>
                  <w:color w:val="0000EE"/>
                </w:rPr>
                <w:t>Financial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Item 9.</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The Offer and Listing</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Item 10.</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Additional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Item 11.</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Quantitative and Qualitative Disclosure about Market Risk</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Item 12.</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Description of Securities Other than Equity Securities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II</w:t>
              </w:r>
            </w:hyperlink>
          </w:p>
        </w:tc>
        <w:tc>
          <w:tcPr>
            <w:tcW w:w="3280" w:type="dxa"/>
            <w:vAlign w:val="bottom"/>
            <w:gridSpan w:val="4"/>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Item 13.</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Defaults, Dividend Arrearages and Delinquencies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Item 14.</w:t>
              </w:r>
            </w:hyperlink>
          </w:p>
        </w:tc>
        <w:tc>
          <w:tcPr>
            <w:tcW w:w="660" w:type="dxa"/>
            <w:vAlign w:val="bottom"/>
            <w:gridSpan w:val="3"/>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Material Modifications to the Rights of Security Holders and Use of Proceeds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top w:val="single" w:sz="8" w:color="0000EE"/>
            </w:tcBorders>
            <w:gridSpan w:val="3"/>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Item 15.</w:t>
              </w:r>
            </w:hyperlink>
          </w:p>
        </w:tc>
        <w:tc>
          <w:tcPr>
            <w:tcW w:w="660" w:type="dxa"/>
            <w:vAlign w:val="bottom"/>
            <w:gridSpan w:val="3"/>
          </w:tcPr>
          <w:p>
            <w:pPr>
              <w:spacing w:after="0"/>
              <w:rPr>
                <w:sz w:val="12"/>
                <w:szCs w:val="12"/>
                <w:color w:val="auto"/>
              </w:rPr>
            </w:pPr>
          </w:p>
        </w:tc>
        <w:tc>
          <w:tcPr>
            <w:tcW w:w="4180" w:type="dxa"/>
            <w:vAlign w:val="bottom"/>
            <w:tcBorders>
              <w:top w:val="single" w:sz="8" w:color="0000EE"/>
            </w:tcBorders>
            <w:gridSpan w:val="26"/>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Controls and Procedures</w:t>
              </w:r>
            </w:hyperlink>
          </w:p>
        </w:tc>
        <w:tc>
          <w:tcPr>
            <w:tcW w:w="2680" w:type="dxa"/>
            <w:vAlign w:val="bottom"/>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Item 16A.</w:t>
              </w:r>
            </w:hyperlink>
          </w:p>
        </w:tc>
        <w:tc>
          <w:tcPr>
            <w:tcW w:w="660" w:type="dxa"/>
            <w:vAlign w:val="bottom"/>
            <w:gridSpan w:val="3"/>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Audit Committee Financial Expert</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Item 16B.</w:t>
              </w:r>
            </w:hyperlink>
          </w:p>
        </w:tc>
        <w:tc>
          <w:tcPr>
            <w:tcW w:w="660" w:type="dxa"/>
            <w:vAlign w:val="bottom"/>
            <w:gridSpan w:val="3"/>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Code of Ethics and Business Conduct</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bottom w:val="single" w:sz="8" w:color="0000EE"/>
            </w:tcBorders>
            <w:gridSpan w:val="3"/>
          </w:tcPr>
          <w:p>
            <w:pPr>
              <w:spacing w:after="0" w:line="141" w:lineRule="exact"/>
              <w:rPr>
                <w:rFonts w:ascii="Arial" w:cs="Arial" w:eastAsia="Arial" w:hAnsi="Arial"/>
                <w:sz w:val="13"/>
                <w:szCs w:val="13"/>
                <w:color w:val="0000EE"/>
                <w:w w:val="85"/>
              </w:rPr>
            </w:pPr>
            <w:hyperlink w:anchor="page71">
              <w:r>
                <w:rPr>
                  <w:rFonts w:ascii="Arial" w:cs="Arial" w:eastAsia="Arial" w:hAnsi="Arial"/>
                  <w:sz w:val="13"/>
                  <w:szCs w:val="13"/>
                  <w:color w:val="0000EE"/>
                  <w:w w:val="85"/>
                </w:rPr>
                <w:t>Item 16C.</w:t>
              </w:r>
            </w:hyperlink>
          </w:p>
        </w:tc>
        <w:tc>
          <w:tcPr>
            <w:tcW w:w="660" w:type="dxa"/>
            <w:vAlign w:val="bottom"/>
            <w:gridSpan w:val="3"/>
          </w:tcPr>
          <w:p>
            <w:pPr>
              <w:spacing w:after="0"/>
              <w:rPr>
                <w:sz w:val="12"/>
                <w:szCs w:val="12"/>
                <w:color w:val="auto"/>
              </w:rPr>
            </w:pPr>
          </w:p>
        </w:tc>
        <w:tc>
          <w:tcPr>
            <w:tcW w:w="2160" w:type="dxa"/>
            <w:vAlign w:val="bottom"/>
            <w:tcBorders>
              <w:bottom w:val="single" w:sz="8" w:color="0000EE"/>
            </w:tcBorders>
            <w:gridSpan w:val="11"/>
          </w:tcPr>
          <w:p>
            <w:pPr>
              <w:spacing w:after="0" w:line="141" w:lineRule="exact"/>
              <w:rPr>
                <w:rFonts w:ascii="Arial" w:cs="Arial" w:eastAsia="Arial" w:hAnsi="Arial"/>
                <w:sz w:val="13"/>
                <w:szCs w:val="13"/>
                <w:color w:val="0000EE"/>
                <w:w w:val="92"/>
              </w:rPr>
            </w:pPr>
            <w:hyperlink w:anchor="page71">
              <w:r>
                <w:rPr>
                  <w:rFonts w:ascii="Arial" w:cs="Arial" w:eastAsia="Arial" w:hAnsi="Arial"/>
                  <w:sz w:val="13"/>
                  <w:szCs w:val="13"/>
                  <w:color w:val="0000EE"/>
                  <w:w w:val="92"/>
                </w:rPr>
                <w:t>Principal Accountant Fees and Services</w:t>
              </w:r>
            </w:hyperlink>
          </w:p>
        </w:tc>
        <w:tc>
          <w:tcPr>
            <w:tcW w:w="4700" w:type="dxa"/>
            <w:vAlign w:val="bottom"/>
            <w:gridSpan w:val="16"/>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5"/>
              </w:rPr>
            </w:pPr>
            <w:hyperlink w:anchor="page71">
              <w:r>
                <w:rPr>
                  <w:rFonts w:ascii="Arial" w:cs="Arial" w:eastAsia="Arial" w:hAnsi="Arial"/>
                  <w:sz w:val="13"/>
                  <w:szCs w:val="13"/>
                  <w:color w:val="0000EE"/>
                  <w:w w:val="85"/>
                </w:rPr>
                <w:t>Item 16D.</w:t>
              </w:r>
            </w:hyperlink>
          </w:p>
        </w:tc>
        <w:tc>
          <w:tcPr>
            <w:tcW w:w="660" w:type="dxa"/>
            <w:vAlign w:val="bottom"/>
            <w:gridSpan w:val="3"/>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71">
              <w:r>
                <w:rPr>
                  <w:rFonts w:ascii="Arial" w:cs="Arial" w:eastAsia="Arial" w:hAnsi="Arial"/>
                  <w:sz w:val="13"/>
                  <w:szCs w:val="13"/>
                  <w:color w:val="0000EE"/>
                </w:rPr>
                <w:t>Exemption From the Listing Standards for Audit Committees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940" w:type="dxa"/>
            <w:vAlign w:val="bottom"/>
            <w:tcBorders>
              <w:left w:val="single" w:sz="8" w:color="0000EE"/>
            </w:tcBorders>
            <w:gridSpan w:val="1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Item 16E.</w:t>
              </w:r>
            </w:hyperlink>
          </w:p>
        </w:tc>
        <w:tc>
          <w:tcPr>
            <w:tcW w:w="660" w:type="dxa"/>
            <w:vAlign w:val="bottom"/>
            <w:gridSpan w:val="3"/>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72">
              <w:r>
                <w:rPr>
                  <w:rFonts w:ascii="Arial" w:cs="Arial" w:eastAsia="Arial" w:hAnsi="Arial"/>
                  <w:sz w:val="13"/>
                  <w:szCs w:val="13"/>
                  <w:color w:val="0000EE"/>
                </w:rPr>
                <w:t>Purchases of Equity Securities by the Issuer and Affiliated Purchasers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gridSpan w:val="8"/>
          </w:tcPr>
          <w:p>
            <w:pPr>
              <w:jc w:val="center"/>
              <w:ind w:right="160"/>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PART III</w:t>
              </w:r>
            </w:hyperlink>
          </w:p>
        </w:tc>
        <w:tc>
          <w:tcPr>
            <w:tcW w:w="3100" w:type="dxa"/>
            <w:vAlign w:val="bottom"/>
            <w:gridSpan w:val="2"/>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17.</w:t>
              </w:r>
            </w:hyperlink>
          </w:p>
        </w:tc>
        <w:tc>
          <w:tcPr>
            <w:tcW w:w="3060" w:type="dxa"/>
            <w:vAlign w:val="bottom"/>
            <w:gridSpan w:val="17"/>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Financial Statements</w:t>
              </w:r>
            </w:hyperlink>
          </w:p>
        </w:tc>
        <w:tc>
          <w:tcPr>
            <w:tcW w:w="540" w:type="dxa"/>
            <w:vAlign w:val="bottom"/>
            <w:tcBorders>
              <w:top w:val="single" w:sz="8" w:color="0000EE"/>
            </w:tcBorders>
            <w:gridSpan w:val="7"/>
          </w:tcPr>
          <w:p>
            <w:pPr>
              <w:spacing w:after="0"/>
              <w:rPr>
                <w:sz w:val="12"/>
                <w:szCs w:val="12"/>
                <w:color w:val="auto"/>
              </w:rPr>
            </w:pPr>
          </w:p>
        </w:tc>
        <w:tc>
          <w:tcPr>
            <w:tcW w:w="3260" w:type="dxa"/>
            <w:vAlign w:val="bottom"/>
            <w:gridSpan w:val="3"/>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5740" w:type="dxa"/>
            <w:vAlign w:val="bottom"/>
            <w:gridSpan w:val="2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18.</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5740" w:type="dxa"/>
            <w:vAlign w:val="bottom"/>
            <w:gridSpan w:val="2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6"/>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19.</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Exhibits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740" w:type="dxa"/>
            <w:vAlign w:val="bottom"/>
            <w:gridSpan w:val="2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80" w:type="dxa"/>
            <w:vAlign w:val="bottom"/>
          </w:tcPr>
          <w:p>
            <w:pPr>
              <w:spacing w:after="0"/>
              <w:rPr>
                <w:sz w:val="22"/>
                <w:szCs w:val="22"/>
                <w:color w:val="auto"/>
              </w:rPr>
            </w:pPr>
          </w:p>
        </w:tc>
        <w:tc>
          <w:tcPr>
            <w:tcW w:w="8520" w:type="dxa"/>
            <w:vAlign w:val="bottom"/>
            <w:gridSpan w:val="35"/>
          </w:tcPr>
          <w:p>
            <w:pPr>
              <w:spacing w:after="0"/>
              <w:rPr>
                <w:rFonts w:ascii="Arial" w:cs="Arial" w:eastAsia="Arial" w:hAnsi="Arial"/>
                <w:sz w:val="13"/>
                <w:szCs w:val="13"/>
                <w:color w:val="0000EE"/>
              </w:rPr>
            </w:pPr>
            <w:hyperlink w:anchor="page77">
              <w:r>
                <w:rPr>
                  <w:rFonts w:ascii="Arial" w:cs="Arial" w:eastAsia="Arial" w:hAnsi="Arial"/>
                  <w:sz w:val="13"/>
                  <w:szCs w:val="13"/>
                  <w:color w:val="0000EE"/>
                </w:rPr>
                <w:t>Index to Consolidated Financial Statements</w:t>
              </w:r>
            </w:hyperlink>
          </w:p>
        </w:tc>
        <w:tc>
          <w:tcPr>
            <w:tcW w:w="2260" w:type="dxa"/>
            <w:vAlign w:val="bottom"/>
          </w:tcPr>
          <w:p>
            <w:pPr>
              <w:jc w:val="right"/>
              <w:ind w:right="773"/>
              <w:spacing w:after="0"/>
              <w:rPr>
                <w:sz w:val="20"/>
                <w:szCs w:val="20"/>
                <w:color w:val="auto"/>
              </w:rPr>
            </w:pPr>
            <w:r>
              <w:rPr>
                <w:rFonts w:ascii="Arial" w:cs="Arial" w:eastAsia="Arial" w:hAnsi="Arial"/>
                <w:sz w:val="13"/>
                <w:szCs w:val="13"/>
                <w:color w:val="auto"/>
              </w:rPr>
              <w:t>F-1</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20" w:type="dxa"/>
            <w:vAlign w:val="bottom"/>
            <w:tcBorders>
              <w:top w:val="single" w:sz="8" w:color="0000EE"/>
            </w:tcBorders>
            <w:gridSpan w:val="7"/>
          </w:tcPr>
          <w:p>
            <w:pPr>
              <w:spacing w:after="0" w:line="141" w:lineRule="exact"/>
              <w:rPr>
                <w:sz w:val="20"/>
                <w:szCs w:val="20"/>
                <w:color w:val="auto"/>
              </w:rPr>
            </w:pPr>
            <w:r>
              <w:rPr>
                <w:rFonts w:ascii="Arial" w:cs="Arial" w:eastAsia="Arial" w:hAnsi="Arial"/>
                <w:sz w:val="13"/>
                <w:szCs w:val="13"/>
                <w:color w:val="0000EE"/>
              </w:rPr>
              <w:t>EX-8: SUBSIDIARIES</w:t>
            </w:r>
          </w:p>
        </w:tc>
        <w:tc>
          <w:tcPr>
            <w:tcW w:w="44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7"/>
          </w:tcPr>
          <w:p>
            <w:pPr>
              <w:spacing w:after="0" w:line="141" w:lineRule="exact"/>
              <w:rPr>
                <w:sz w:val="20"/>
                <w:szCs w:val="20"/>
                <w:color w:val="auto"/>
              </w:rPr>
            </w:pPr>
            <w:r>
              <w:rPr>
                <w:rFonts w:ascii="Arial" w:cs="Arial" w:eastAsia="Arial" w:hAnsi="Arial"/>
                <w:sz w:val="13"/>
                <w:szCs w:val="13"/>
                <w:color w:val="0000EE"/>
              </w:rPr>
              <w:t>EX-12.1: CERTIFICATION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7"/>
          </w:tcPr>
          <w:p>
            <w:pPr>
              <w:spacing w:after="0" w:line="141" w:lineRule="exact"/>
              <w:rPr>
                <w:sz w:val="20"/>
                <w:szCs w:val="20"/>
                <w:color w:val="auto"/>
              </w:rPr>
            </w:pPr>
            <w:r>
              <w:rPr>
                <w:rFonts w:ascii="Arial" w:cs="Arial" w:eastAsia="Arial" w:hAnsi="Arial"/>
                <w:sz w:val="13"/>
                <w:szCs w:val="13"/>
                <w:color w:val="0000EE"/>
              </w:rPr>
              <w:t>EX-12.2: CERTIFICATION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7"/>
          </w:tcPr>
          <w:p>
            <w:pPr>
              <w:spacing w:after="0" w:line="141" w:lineRule="exact"/>
              <w:rPr>
                <w:sz w:val="20"/>
                <w:szCs w:val="20"/>
                <w:color w:val="auto"/>
              </w:rPr>
            </w:pPr>
            <w:r>
              <w:rPr>
                <w:rFonts w:ascii="Arial" w:cs="Arial" w:eastAsia="Arial" w:hAnsi="Arial"/>
                <w:sz w:val="13"/>
                <w:szCs w:val="13"/>
                <w:color w:val="0000EE"/>
              </w:rPr>
              <w:t>EX-13.1: CERTIFICATION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7"/>
          </w:tcPr>
          <w:p>
            <w:pPr>
              <w:spacing w:after="0" w:line="141" w:lineRule="exact"/>
              <w:rPr>
                <w:sz w:val="20"/>
                <w:szCs w:val="20"/>
                <w:color w:val="auto"/>
              </w:rPr>
            </w:pPr>
            <w:r>
              <w:rPr>
                <w:rFonts w:ascii="Arial" w:cs="Arial" w:eastAsia="Arial" w:hAnsi="Arial"/>
                <w:sz w:val="13"/>
                <w:szCs w:val="13"/>
                <w:color w:val="0000EE"/>
              </w:rPr>
              <w:t>EX-13.2: CERTIFICATION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740" w:type="dxa"/>
            <w:vAlign w:val="bottom"/>
            <w:gridSpan w:val="2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Borders>
              <w:bottom w:val="single" w:sz="8" w:color="0000EE"/>
            </w:tcBorders>
            <w:gridSpan w:val="11"/>
          </w:tcPr>
          <w:p>
            <w:pPr>
              <w:spacing w:after="0" w:line="141" w:lineRule="exact"/>
              <w:rPr>
                <w:sz w:val="20"/>
                <w:szCs w:val="20"/>
                <w:color w:val="auto"/>
              </w:rPr>
            </w:pPr>
            <w:r>
              <w:rPr>
                <w:rFonts w:ascii="Arial" w:cs="Arial" w:eastAsia="Arial" w:hAnsi="Arial"/>
                <w:sz w:val="13"/>
                <w:szCs w:val="13"/>
                <w:color w:val="0000EE"/>
                <w:w w:val="97"/>
              </w:rPr>
              <w:t>EX-14.1: CONSENT OF ERNST &amp; YOUNG LLP</w:t>
            </w:r>
          </w:p>
        </w:tc>
        <w:tc>
          <w:tcPr>
            <w:tcW w:w="5740" w:type="dxa"/>
            <w:vAlign w:val="bottom"/>
            <w:gridSpan w:val="23"/>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22"/>
          </w:tcPr>
          <w:p>
            <w:pPr>
              <w:jc w:val="center"/>
              <w:ind w:left="3053"/>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own, have rights to or use trademarks or trade names in conjunction with the sale of our products and services, including, without limitation, each of the following:</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w:t>
      </w:r>
      <w:r>
        <w:rPr>
          <w:rFonts w:ascii="Arial" w:cs="Arial" w:eastAsia="Arial" w:hAnsi="Arial"/>
          <w:sz w:val="8"/>
          <w:szCs w:val="8"/>
          <w:color w:val="auto"/>
        </w:rPr>
        <w:t>TM</w:t>
      </w:r>
      <w:r>
        <w:rPr>
          <w:rFonts w:ascii="Arial" w:cs="Arial" w:eastAsia="Arial" w:hAnsi="Arial"/>
          <w:sz w:val="13"/>
          <w:szCs w:val="13"/>
          <w:color w:val="auto"/>
        </w:rPr>
        <w:t>, Clarify</w:t>
      </w:r>
      <w:r>
        <w:rPr>
          <w:rFonts w:ascii="Arial" w:cs="Arial" w:eastAsia="Arial" w:hAnsi="Arial"/>
          <w:sz w:val="8"/>
          <w:szCs w:val="8"/>
          <w:color w:val="auto"/>
        </w:rPr>
        <w:t>TM</w:t>
      </w:r>
      <w:r>
        <w:rPr>
          <w:rFonts w:ascii="Arial" w:cs="Arial" w:eastAsia="Arial" w:hAnsi="Arial"/>
          <w:sz w:val="13"/>
          <w:szCs w:val="13"/>
          <w:color w:val="auto"/>
        </w:rPr>
        <w:t>, Cramer</w:t>
      </w:r>
      <w:r>
        <w:rPr>
          <w:rFonts w:ascii="Arial" w:cs="Arial" w:eastAsia="Arial" w:hAnsi="Arial"/>
          <w:sz w:val="8"/>
          <w:szCs w:val="8"/>
          <w:color w:val="auto"/>
        </w:rPr>
        <w:t>TM</w:t>
      </w:r>
      <w:r>
        <w:rPr>
          <w:rFonts w:ascii="Arial" w:cs="Arial" w:eastAsia="Arial" w:hAnsi="Arial"/>
          <w:sz w:val="13"/>
          <w:szCs w:val="13"/>
          <w:color w:val="auto"/>
        </w:rPr>
        <w:t>, CES</w:t>
      </w:r>
      <w:r>
        <w:rPr>
          <w:rFonts w:ascii="Arial" w:cs="Arial" w:eastAsia="Arial" w:hAnsi="Arial"/>
          <w:sz w:val="8"/>
          <w:szCs w:val="8"/>
          <w:color w:val="auto"/>
        </w:rPr>
        <w:t>TM</w:t>
      </w:r>
      <w:r>
        <w:rPr>
          <w:rFonts w:ascii="Arial" w:cs="Arial" w:eastAsia="Arial" w:hAnsi="Arial"/>
          <w:sz w:val="13"/>
          <w:szCs w:val="13"/>
          <w:color w:val="auto"/>
        </w:rPr>
        <w:t>, Intentional Customer Experience</w:t>
      </w:r>
      <w:r>
        <w:rPr>
          <w:rFonts w:ascii="Arial" w:cs="Arial" w:eastAsia="Arial" w:hAnsi="Arial"/>
          <w:sz w:val="8"/>
          <w:szCs w:val="8"/>
          <w:color w:val="auto"/>
        </w:rPr>
        <w:t>TM</w:t>
      </w:r>
      <w:r>
        <w:rPr>
          <w:rFonts w:ascii="Arial" w:cs="Arial" w:eastAsia="Arial" w:hAnsi="Arial"/>
          <w:sz w:val="13"/>
          <w:szCs w:val="13"/>
          <w:color w:val="auto"/>
        </w:rPr>
        <w:t>, OpenMarket</w:t>
      </w:r>
      <w:r>
        <w:rPr>
          <w:rFonts w:ascii="Arial" w:cs="Arial" w:eastAsia="Arial" w:hAnsi="Arial"/>
          <w:sz w:val="8"/>
          <w:szCs w:val="8"/>
          <w:color w:val="auto"/>
        </w:rPr>
        <w:t>TM</w:t>
      </w:r>
      <w:r>
        <w:rPr>
          <w:rFonts w:ascii="Arial" w:cs="Arial" w:eastAsia="Arial" w:hAnsi="Arial"/>
          <w:sz w:val="13"/>
          <w:szCs w:val="13"/>
          <w:color w:val="auto"/>
        </w:rPr>
        <w:t>, Qpass</w:t>
      </w:r>
      <w:r>
        <w:rPr>
          <w:rFonts w:ascii="Arial" w:cs="Arial" w:eastAsia="Arial" w:hAnsi="Arial"/>
          <w:sz w:val="8"/>
          <w:szCs w:val="8"/>
          <w:color w:val="auto"/>
        </w:rPr>
        <w:t>TM</w:t>
      </w:r>
      <w:r>
        <w:rPr>
          <w:rFonts w:ascii="Arial" w:cs="Arial" w:eastAsia="Arial" w:hAnsi="Arial"/>
          <w:sz w:val="13"/>
          <w:szCs w:val="13"/>
          <w:color w:val="auto"/>
        </w:rPr>
        <w:t xml:space="preserve"> and JacobsRimell </w:t>
      </w:r>
      <w:r>
        <w:rPr>
          <w:rFonts w:ascii="Arial" w:cs="Arial" w:eastAsia="Arial" w:hAnsi="Arial"/>
          <w:sz w:val="8"/>
          <w:szCs w:val="8"/>
          <w:color w:val="auto"/>
        </w:rPr>
        <w:t>TM</w:t>
      </w:r>
      <w:r>
        <w:rPr>
          <w:rFonts w:ascii="Arial" w:cs="Arial" w:eastAsia="Arial" w:hAnsi="Arial"/>
          <w:sz w:val="13"/>
          <w:szCs w:val="13"/>
          <w:color w:val="auto"/>
        </w:rPr>
        <w:t>.</w:t>
      </w:r>
    </w:p>
    <w:p>
      <w:pPr>
        <w:spacing w:after="0" w:line="25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Forward Looking Statements</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color w:val="auto"/>
        </w:rPr>
        <w:t>IDENTITY OF DIRECTORS, SENIOR MANAGEMENT AND ADVISORS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color w:val="auto"/>
        </w:rPr>
        <w:t>OFFER STATISTICS AND EXPECTED TIMETABLE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KEY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Financial Data</w:t>
      </w:r>
    </w:p>
    <w:p>
      <w:pPr>
        <w:spacing w:after="0" w:line="104" w:lineRule="exact"/>
        <w:rPr>
          <w:sz w:val="20"/>
          <w:szCs w:val="20"/>
          <w:color w:val="auto"/>
        </w:rPr>
      </w:pPr>
    </w:p>
    <w:p>
      <w:pPr>
        <w:ind w:left="680" w:right="1100" w:firstLine="399"/>
        <w:spacing w:after="0" w:line="270" w:lineRule="auto"/>
        <w:rPr>
          <w:sz w:val="20"/>
          <w:szCs w:val="20"/>
          <w:color w:val="auto"/>
        </w:rPr>
      </w:pPr>
      <w:r>
        <w:rPr>
          <w:rFonts w:ascii="Arial" w:cs="Arial" w:eastAsia="Arial" w:hAnsi="Arial"/>
          <w:sz w:val="13"/>
          <w:szCs w:val="13"/>
          <w:color w:val="auto"/>
        </w:rPr>
        <w:t>Our historical consolidated financial statements are prepared in accordance with U.S. generally accepted accounting principles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2008 is derived from our consolidated financial statements, which have been audited by Ernst &amp; Young LLP, our independent registered public accounting firm. You should read the information presented below in conjunction with those statements.</w:t>
      </w:r>
    </w:p>
    <w:p>
      <w:pPr>
        <w:spacing w:after="0" w:line="63" w:lineRule="exact"/>
        <w:rPr>
          <w:sz w:val="20"/>
          <w:szCs w:val="20"/>
          <w:color w:val="auto"/>
        </w:rPr>
      </w:pPr>
    </w:p>
    <w:p>
      <w:pPr>
        <w:ind w:left="680" w:right="1300" w:firstLine="399"/>
        <w:spacing w:after="0" w:line="294" w:lineRule="auto"/>
        <w:rPr>
          <w:sz w:val="20"/>
          <w:szCs w:val="20"/>
          <w:color w:val="auto"/>
        </w:rPr>
      </w:pPr>
      <w:r>
        <w:rPr>
          <w:rFonts w:ascii="Arial" w:cs="Arial" w:eastAsia="Arial" w:hAnsi="Arial"/>
          <w:sz w:val="13"/>
          <w:szCs w:val="13"/>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2005</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6"/>
          </w:tcPr>
          <w:p>
            <w:pPr>
              <w:jc w:val="right"/>
              <w:ind w:right="93"/>
              <w:spacing w:after="0"/>
              <w:rPr>
                <w:sz w:val="20"/>
                <w:szCs w:val="20"/>
                <w:color w:val="auto"/>
              </w:rPr>
            </w:pPr>
            <w:r>
              <w:rPr>
                <w:rFonts w:ascii="Arial" w:cs="Arial" w:eastAsia="Arial" w:hAnsi="Arial"/>
                <w:sz w:val="11"/>
                <w:szCs w:val="11"/>
                <w:b w:val="1"/>
                <w:bCs w:val="1"/>
                <w:color w:val="auto"/>
              </w:rPr>
              <w:t>(in thousands, except per share data)</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Revenue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3,162,096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2,836,173</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2,480,050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2,038,621</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1,773,732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405,596</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357,433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332,132</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338,492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296,200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378,906</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364,937</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318,636</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288,636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234,860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1.74</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1.48</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1.35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292"/>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2005</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Total assets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4,579,063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4,344,599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3,962,828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3,202,468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2,863,884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Long-term obligations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2% Convertible Notes due June 1, 2008</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272</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272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0.50% Convertible Senior Notes due 2024(1)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Long-term portion of capital lease obligations</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356</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4,112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2,805,191</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2,600,243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2,154,165</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1,656,452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1,444,190</w:t>
            </w:r>
          </w:p>
        </w:tc>
        <w:tc>
          <w:tcPr>
            <w:tcW w:w="800" w:type="dxa"/>
            <w:vAlign w:val="bottom"/>
          </w:tcPr>
          <w:p>
            <w:pPr>
              <w:spacing w:after="0"/>
              <w:rPr>
                <w:sz w:val="14"/>
                <w:szCs w:val="14"/>
                <w:color w:val="auto"/>
              </w:rPr>
            </w:pPr>
          </w:p>
        </w:tc>
      </w:tr>
      <w:tr>
        <w:trPr>
          <w:trHeight w:val="554"/>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500" w:type="dxa"/>
            <w:vAlign w:val="bottom"/>
          </w:tcPr>
          <w:p>
            <w:pPr>
              <w:spacing w:after="0"/>
              <w:rPr>
                <w:sz w:val="10"/>
                <w:szCs w:val="10"/>
                <w:color w:val="auto"/>
              </w:rPr>
            </w:pPr>
          </w:p>
        </w:tc>
        <w:tc>
          <w:tcPr>
            <w:tcW w:w="1300" w:type="dxa"/>
            <w:vAlign w:val="bottom"/>
            <w:gridSpan w:val="4"/>
            <w:vMerge w:val="restart"/>
          </w:tcPr>
          <w:p>
            <w:pPr>
              <w:ind w:left="220"/>
              <w:spacing w:after="0"/>
              <w:rPr>
                <w:sz w:val="20"/>
                <w:szCs w:val="20"/>
                <w:color w:val="auto"/>
              </w:rPr>
            </w:pPr>
            <w:r>
              <w:rPr>
                <w:rFonts w:ascii="Arial" w:cs="Arial" w:eastAsia="Arial" w:hAnsi="Arial"/>
                <w:sz w:val="11"/>
                <w:szCs w:val="11"/>
                <w:b w:val="1"/>
                <w:bCs w:val="1"/>
                <w:color w:val="auto"/>
              </w:rPr>
              <w:t>Ordinary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00"/>
              <w:spacing w:after="0" w:line="118"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50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74"/>
              <w:spacing w:after="0" w:line="101" w:lineRule="exact"/>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54"/>
              <w:spacing w:after="0" w:line="101" w:lineRule="exact"/>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93"/>
              <w:spacing w:after="0" w:line="101" w:lineRule="exact"/>
              <w:rPr>
                <w:sz w:val="20"/>
                <w:szCs w:val="20"/>
                <w:color w:val="auto"/>
              </w:rPr>
            </w:pPr>
            <w:r>
              <w:rPr>
                <w:rFonts w:ascii="Arial" w:cs="Arial" w:eastAsia="Arial" w:hAnsi="Arial"/>
                <w:sz w:val="11"/>
                <w:szCs w:val="11"/>
                <w:b w:val="1"/>
                <w:bCs w:val="1"/>
                <w:color w:val="auto"/>
                <w:w w:val="88"/>
              </w:rPr>
              <w:t>Treasury Stock</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134"/>
              <w:spacing w:after="0"/>
              <w:rPr>
                <w:sz w:val="20"/>
                <w:szCs w:val="20"/>
                <w:color w:val="auto"/>
              </w:rPr>
            </w:pPr>
            <w:r>
              <w:rPr>
                <w:rFonts w:ascii="Arial" w:cs="Arial" w:eastAsia="Arial" w:hAnsi="Arial"/>
                <w:sz w:val="11"/>
                <w:szCs w:val="11"/>
                <w:b w:val="1"/>
                <w:bCs w:val="1"/>
                <w:color w:val="auto"/>
                <w:w w:val="92"/>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Changes in Shareholders’ Equity Data:</w:t>
            </w: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Balance as of September 30, 2004</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201,334</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$ 3,601</w:t>
            </w:r>
          </w:p>
        </w:tc>
        <w:tc>
          <w:tcPr>
            <w:tcW w:w="24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1,837,608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(502,416)</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 and stock options related to acquisitions,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6,034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Employee stock options exercised</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2,229</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23,983</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benefit of stock options exercised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3,147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Repurchase of shares</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(3,525)</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(99,976)</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 related to vesting of stock options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Balance as of September 30, 2005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200,182</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$ 3,644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1,870,922</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(602,392)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5,869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106,853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Tax benefit of stock options exercised</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7,619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 net of cancellations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Issuance of restricted stock and stock options related to acquisitions, net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4,634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46,178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Reclassification of unearned compensation to additional paid in capital</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(962)</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non employee stock options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Balance as of September 30, 2006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206,793</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$ 3,763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2,035,309</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(602,392)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3,970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74,576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Tax benefit of stock options exercised</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3,965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(1,411)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(49,837)</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Issuance of restricted stock, net of cancellations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410</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 and stock options related to acquisitions,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53,587</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non employee stock options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Balance as of September 30, 2007</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209,762</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2,168,234</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(652,229)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2,052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37,527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Tax benefit of stock options exercised</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(8,370)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(255,051)</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Issuance of restricted stock, net of cancellations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472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57,490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3"/>
                <w:szCs w:val="13"/>
                <w:color w:val="auto"/>
              </w:rPr>
              <w:t>Balance as of September 30, 2008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203,916</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$ 3,900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2,264,800</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(907,280)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63500</wp:posOffset>
            </wp:positionV>
            <wp:extent cx="8255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right="20" w:hanging="266"/>
        <w:spacing w:after="0" w:line="265"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November 2008, our Board of Directors authorized us to repurchase up to $100 million aggregate principal amount of our 0.50% Convertible Senior Notes due 2024, which we refer to as our notes, in such amounts, at such prices and at such times that we deem appropriate. During the first quarter of fiscal 2009, we purchased $100 million aggregate principal amount of our notes at an average price of 98% of the principal amount, excluding accrued interest and transaction fees. In March 2009, the remaining notes are redeemable by us, and if we do not elect to redeem the notes, then the holders of the notes may require us to repurchase the notes, in each case at a purchase price equal to 100% of the principal amount of the notes plus accrued and unpaid interest. We anticipate that a substantial portion of the outstanding notes will be put to us in March 2009 if we do not elect to redeem them. As of November 30, 2008, $350,000 aggregate principal amount of our notes was outstanding.</w:t>
      </w:r>
    </w:p>
    <w:p>
      <w:pPr>
        <w:spacing w:after="0" w:line="10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general global economic and market conditions, particularly those impacting the communications industry.</w:t>
      </w:r>
    </w:p>
    <w:p>
      <w:pPr>
        <w:spacing w:after="0" w:line="10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Developments in the communications industry, such as the impact of general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Although we are unable to determine what the full effects of the current economic turmoil will be, the forecasted worldwide recession may lead to significant adverse consequences for our customers and our business.</w:t>
      </w:r>
    </w:p>
    <w:p>
      <w:pPr>
        <w:spacing w:after="0" w:line="68"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During adverse conditions in the business environment for communications companies, service providers need to control operating expenses and capital investment budgets which may result in slowed customer buying decisions and price pressures that can adversely affect our revenue.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reoccurrence of the slowdown in the buying decisions of service providers could extend our sales cycle period and limit our ability to forecast our flow of new contracts.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adapt to changing market conditions and cannot compete successfully with existing or new competitors, our business could be harmed.</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datacenter operations and IT infrastructure, application management and ongoing support, systems modernization and consolidation and management of end-to-end business processes for billing and customer care operations.</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companies that offer software systems in combination with the sale of network equipment. Since our 2006 acquisition of Qpass Inc., which we refer to as Qpass, we also compete with companies that provide digital commerce software and solutions.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ability to compete depends on a number of factors, including:</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development by others of software that is competitive with our products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price at which others offer competitive software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ability of competitors to deliver projects at a level of quality that rivals our own,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responsiveness of our competitors to customer needs,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ability of our competitors to hire, retain and motivate key personnel.</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220" w:firstLine="399"/>
        <w:spacing w:after="0" w:line="290" w:lineRule="auto"/>
        <w:rPr>
          <w:sz w:val="20"/>
          <w:szCs w:val="20"/>
          <w:color w:val="auto"/>
        </w:rPr>
      </w:pPr>
      <w:r>
        <w:rPr>
          <w:rFonts w:ascii="Arial" w:cs="Arial" w:eastAsia="Arial" w:hAnsi="Arial"/>
          <w:sz w:val="12"/>
          <w:szCs w:val="12"/>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continually enhance our products and service offerings, we may have difficulty retaining existing customers and attracting new customers.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is dependent on a limited number of significant customers, and the loss of any one of our significant customers could harm our results of operations.</w:t>
      </w:r>
    </w:p>
    <w:p>
      <w:pPr>
        <w:spacing w:after="0" w:line="11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business is dependent on a limited number of significant customers, of which AT&amp;T was our largest in fiscal 2008, accounting for 28% of our revenue. In fiscal 2008, our three largest groups of customers were AT&amp;T, Bell Canada and Sprint Nextel, and certain of their subsidiaries, each of which accounted for more than 10% of our revenue in fiscal 2008. Together, these three customer groups accounted for approximately 51% of our revenue in fiscal 2008. Aggregate revenue derived from the multiple business arrangements we have with our ten largest customer groups accounted for approximately 75% of our revenue in fiscal 2008 and 73% of our revenue in fiscal 2007. AT&amp;T has historically been one of our largest shareholders, and, as of November 24, 2008, it beneficially owned approximately 5.1% of our outstanding ordinary shares. The loss of any significant customer or a significant decrease in business from any such customer could harm our results of operations and financial condition. Revenue from individual customers may fluctuate from time to time based on the commencement and completion of projects, the timing of which may be affected by market conditions.</w:t>
      </w:r>
    </w:p>
    <w:p>
      <w:pPr>
        <w:spacing w:after="0" w:line="68"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 and profits.</w:t>
      </w:r>
    </w:p>
    <w:p>
      <w:pPr>
        <w:spacing w:after="0" w:line="143" w:lineRule="exact"/>
        <w:rPr>
          <w:sz w:val="20"/>
          <w:szCs w:val="20"/>
          <w:color w:val="auto"/>
        </w:rPr>
      </w:pPr>
    </w:p>
    <w:p>
      <w:pPr>
        <w:ind w:left="880" w:right="460"/>
        <w:spacing w:after="0" w:line="294" w:lineRule="auto"/>
        <w:rPr>
          <w:sz w:val="20"/>
          <w:szCs w:val="20"/>
          <w:color w:val="auto"/>
        </w:rPr>
      </w:pPr>
      <w:r>
        <w:rPr>
          <w:rFonts w:ascii="Arial" w:cs="Arial" w:eastAsia="Arial" w:hAnsi="Arial"/>
          <w:sz w:val="13"/>
          <w:szCs w:val="13"/>
          <w:b w:val="1"/>
          <w:bCs w:val="1"/>
          <w:i w:val="1"/>
          <w:iCs w:val="1"/>
          <w:color w:val="auto"/>
        </w:rPr>
        <w:t>Our future success will depend on our ability to develop long-term relationships with our customers and to meet their expectations in providing products and performing services.</w:t>
      </w:r>
    </w:p>
    <w:p>
      <w:pPr>
        <w:spacing w:after="0" w:line="47"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products. If we are unable to meet customers’ expectations in providing products or performing services, our business and results of operations could be harmed.</w:t>
      </w:r>
    </w:p>
    <w:p>
      <w:pPr>
        <w:spacing w:after="0" w:line="183" w:lineRule="exact"/>
        <w:rPr>
          <w:sz w:val="20"/>
          <w:szCs w:val="20"/>
          <w:color w:val="auto"/>
        </w:rPr>
      </w:pPr>
    </w:p>
    <w:p>
      <w:pPr>
        <w:ind w:left="880" w:right="540"/>
        <w:spacing w:after="0" w:line="294" w:lineRule="auto"/>
        <w:rPr>
          <w:sz w:val="20"/>
          <w:szCs w:val="20"/>
          <w:color w:val="auto"/>
        </w:rPr>
      </w:pPr>
      <w:r>
        <w:rPr>
          <w:rFonts w:ascii="Arial" w:cs="Arial" w:eastAsia="Arial" w:hAnsi="Arial"/>
          <w:sz w:val="13"/>
          <w:szCs w:val="13"/>
          <w:b w:val="1"/>
          <w:bCs w:val="1"/>
          <w:i w:val="1"/>
          <w:iCs w:val="1"/>
          <w:color w:val="auto"/>
        </w:rPr>
        <w:t>We may seek to acquire companies or technologies that could disrupt our ongoing business, distract our management and employees and adversely affect our results of operations.</w:t>
      </w:r>
    </w:p>
    <w:p>
      <w:pPr>
        <w:spacing w:after="0" w:line="47"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It is a part of our business strategy to pursue acquisitions and other initiatives in order to offer new products or services or otherwise enhance our market position or strategic strengths. Since 1999, we have completed numerous acquisitions, which, among other things, have expanded our business into customer care and billing solutions for broadband media cable and satellite companies and into digital commerce software and solutions, enhanced our offerings in the operational support systems, or OSS, market and added expertise in providing integrated billing and customer care systems in high-growth emerging markets. In the future, we may acquire other companies that we believe will advance our business strategy.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68"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cannot assure you that the acquisitions we have completed, or any future acquisitions that we may make, will enhance our products or strengthen our competitive position. We also cannot guarantee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48" w:lineRule="exact"/>
        <w:rPr>
          <w:sz w:val="20"/>
          <w:szCs w:val="20"/>
          <w:color w:val="auto"/>
        </w:rPr>
      </w:pPr>
    </w:p>
    <w:p>
      <w:pPr>
        <w:ind w:left="880" w:right="80"/>
        <w:spacing w:after="0" w:line="294" w:lineRule="auto"/>
        <w:rPr>
          <w:sz w:val="20"/>
          <w:szCs w:val="20"/>
          <w:color w:val="auto"/>
        </w:rPr>
      </w:pPr>
      <w:r>
        <w:rPr>
          <w:rFonts w:ascii="Arial" w:cs="Arial" w:eastAsia="Arial" w:hAnsi="Arial"/>
          <w:sz w:val="13"/>
          <w:szCs w:val="13"/>
          <w:b w:val="1"/>
          <w:bCs w:val="1"/>
          <w:i w:val="1"/>
          <w:iCs w:val="1"/>
          <w:color w:val="auto"/>
        </w:rPr>
        <w:t>The skilled and highly qualified workforce that we need to develop, implement and modify our solutions may be difficult to hire and retain, and we could face increased costs to attract and retain our skilled workforce.</w:t>
      </w:r>
    </w:p>
    <w:p>
      <w:pPr>
        <w:spacing w:after="0" w:line="47"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IT professionals at a rapid rate. We may face difficulties identifying and hiring qualified personnel. Our inability to hire and retain the appropriate personnel could increase our costs of retaining a skilled workforce and make it difficult for us to manage our operations, to meet our commitments and to compete for new customer contracts. In particular, wage costs in some of the countries in which we maintain development centers, such as Cyprus and India, have historically been significantly lower than wage costs in the United States and Europe for comparably-skilled professionals, although such costs are increasing. We may need to increase the levels of our employee compensation more rapidly than in the past to remain competitive.</w:t>
      </w:r>
    </w:p>
    <w:p>
      <w:pPr>
        <w:spacing w:after="0" w:line="71"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100"/>
        <w:spacing w:after="0" w:line="294" w:lineRule="auto"/>
        <w:rPr>
          <w:sz w:val="20"/>
          <w:szCs w:val="20"/>
          <w:color w:val="auto"/>
        </w:rPr>
      </w:pPr>
      <w:r>
        <w:rPr>
          <w:rFonts w:ascii="Arial" w:cs="Arial" w:eastAsia="Arial" w:hAnsi="Arial"/>
          <w:sz w:val="13"/>
          <w:szCs w:val="13"/>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47"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have experienced fluctuations in our quarterly operating results and anticipate that such movements may continue and could intensify. Fluctuations may result from many factors, including:</w:t>
      </w:r>
    </w:p>
    <w:p>
      <w:pPr>
        <w:spacing w:after="0" w:line="47" w:lineRule="exact"/>
        <w:rPr>
          <w:sz w:val="20"/>
          <w:szCs w:val="20"/>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size and timing of significant customer projects and license and service fees,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delays in or cancellations of significant projects by customers,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changes in operating expenses,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increased competition,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changes in our strategy,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personnel changes,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foreign currency exchange rate fluctuations,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59" w:lineRule="exact"/>
        <w:rPr>
          <w:sz w:val="20"/>
          <w:szCs w:val="20"/>
          <w:color w:val="auto"/>
        </w:rPr>
      </w:pPr>
    </w:p>
    <w:p>
      <w:pPr>
        <w:jc w:val="both"/>
        <w:ind w:left="680" w:right="200" w:firstLine="399"/>
        <w:spacing w:after="0" w:line="299" w:lineRule="auto"/>
        <w:rPr>
          <w:sz w:val="20"/>
          <w:szCs w:val="20"/>
          <w:color w:val="auto"/>
        </w:rPr>
      </w:pPr>
      <w:r>
        <w:rPr>
          <w:rFonts w:ascii="Arial" w:cs="Arial" w:eastAsia="Arial" w:hAnsi="Arial"/>
          <w:sz w:val="12"/>
          <w:szCs w:val="12"/>
          <w:color w:val="auto"/>
        </w:rPr>
        <w:t>We believe that the placement of customer orders may be concentrated in specific quarterly periods due to the time requirements and budgetary constraints of our customers. Although we recognize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29" w:lineRule="exact"/>
        <w:rPr>
          <w:sz w:val="20"/>
          <w:szCs w:val="20"/>
          <w:color w:val="auto"/>
        </w:rPr>
      </w:pPr>
    </w:p>
    <w:p>
      <w:pPr>
        <w:ind w:left="880" w:right="400"/>
        <w:spacing w:after="0" w:line="294" w:lineRule="auto"/>
        <w:rPr>
          <w:sz w:val="20"/>
          <w:szCs w:val="20"/>
          <w:color w:val="auto"/>
        </w:rPr>
      </w:pPr>
      <w:r>
        <w:rPr>
          <w:rFonts w:ascii="Arial" w:cs="Arial" w:eastAsia="Arial" w:hAnsi="Arial"/>
          <w:sz w:val="13"/>
          <w:szCs w:val="13"/>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4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which may recur in the current economic climate, our typical sales cycle lengthens, which means that the average time between our initial contact with a prospective customer and the signing of a sales contract increases. The lengthening of our sales cycle could reduce growth in our revenue in the future. In addition, the lengthening of our sales cycle contributes to an increased cost of sales, thereby reducing our profitability.</w:t>
      </w:r>
    </w:p>
    <w:p>
      <w:pPr>
        <w:spacing w:after="0" w:line="149" w:lineRule="exact"/>
        <w:rPr>
          <w:sz w:val="20"/>
          <w:szCs w:val="20"/>
          <w:color w:val="auto"/>
        </w:rPr>
      </w:pPr>
    </w:p>
    <w:p>
      <w:pPr>
        <w:ind w:left="880" w:right="140"/>
        <w:spacing w:after="0" w:line="294" w:lineRule="auto"/>
        <w:rPr>
          <w:sz w:val="20"/>
          <w:szCs w:val="20"/>
          <w:color w:val="auto"/>
        </w:rPr>
      </w:pPr>
      <w:r>
        <w:rPr>
          <w:rFonts w:ascii="Arial" w:cs="Arial" w:eastAsia="Arial" w:hAnsi="Arial"/>
          <w:sz w:val="13"/>
          <w:szCs w:val="13"/>
          <w:b w:val="1"/>
          <w:bCs w:val="1"/>
          <w:i w:val="1"/>
          <w:iCs w:val="1"/>
          <w:color w:val="auto"/>
        </w:rPr>
        <w:t>If the market for our products deteriorates, we may be required to reduce the scope of our operations, and if we fail to successfully plan and manage changes in the size of our operations, our business will suffer.</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For example, in the fourth quarter of fiscal 2008 and in the second quarter of fiscal 2007, we commenced several measures designed to align our operational structure to our expected future growth and to improve efficiency. As part of these plans, we recorded expenses of $6.0 million in fiscal 2007 and $12.1 in fiscal 2008, consisting primarily of employee separation costs in connection with the termination of the employment of software and information technology specialists and administrative professionals at various locations around the world and, in fiscal 2007, for rent obligations. From time to time in the past, we have undertaken similar cost reduction measures.</w:t>
      </w:r>
    </w:p>
    <w:p>
      <w:pPr>
        <w:spacing w:after="0" w:line="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Restructurings and cost reduction measures that we have implemented from time to time have reduced the size of our operations and headcount, and acquisitions and organic growth have from time to time increased our headcount. Reductions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and retaining our base of skilled professionals. It is our policy to accrue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current credit crisis may adversely affect our investment portfolio, other financial assets and our ability to secure additional credit availability.</w:t>
      </w:r>
    </w:p>
    <w:p>
      <w:pPr>
        <w:spacing w:after="0" w:line="6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Our cash, cash equivalents and short-term interest-bearing investments totaled $1,244.4 million as of September 30, 2008. Our policy is to retain substantial cash balances in order to support our growth. Our short-term investments consist primarily of U.S. government treasuries, U.S. agency securities, corporate bonds, commercial paper, certificates of deposit, asset-backed obligations and mortgages. Although we believe that we generally adhere to conservative investment guidelines, the continuing turmoil in the markets may result in impairments of the carrying value of our investment assets. Realized or unrealized losses in our investments or in our other financial assets may adversely affect our financial condition.</w:t>
      </w:r>
    </w:p>
    <w:p>
      <w:pPr>
        <w:spacing w:after="0" w:line="2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Bank failures or closings or further declines in the financial condition of U.S. and European banks and other financial institutions may adversely affect our normal financial operations, as well as our ability to secure additional credit facilities, if needed. The unavailability of additional credit may prevent us from executing our future business plans, including potential acquisitions.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exposed to the credit risk of customers that have been adversely affected by weakened markets.</w:t>
      </w:r>
    </w:p>
    <w:p>
      <w:pPr>
        <w:spacing w:after="0" w:line="62"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typically sell our software and related services as part of long-term projects. During the life of a project, a customer’s budgeting constraints can impact the scope of a project and the customer’s ability to make required payments. In addition, due to adverse general business conditions, such as the recent turmoil in the financial markets, the creditworthiness of our customers may deteriorate over time, and we can be adversely affected by bankruptcies or other business failures.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presence exposes us to risks associated with varied and changing political, cultural, legal and economic conditions worldwide.</w:t>
      </w:r>
    </w:p>
    <w:p>
      <w:pPr>
        <w:spacing w:after="0" w:line="6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We are affected by risks associated with conducting business internationally. We maintain development facilities in China, Cyprus, India, Ireland, Israel and the United States, operate a support center in Brazil and have operations in North America, Europe, Latin America and the Asia-Pacific region. Although a substantial</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majority of our revenue is derived from customers in North America and Europe, we obtain significant revenue from customers in the Asia-Pacific region and Latin America. Our strategy is to continue to broaden our North American and European customer bases and to expand into new international markets. Conducting business internationally exposes us to certain risks inherent in doing business in international markets, including:</w:t>
      </w:r>
    </w:p>
    <w:p>
      <w:pPr>
        <w:spacing w:after="0" w:line="18"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lack of acceptance of non-localized products,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legal and cultural differences in the conduct of business,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difficulties in collecting accounts receivable and withholding taxes that limit the repatriation of earnings,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trade barriers,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difficulties in complying with varied legal and regulatory requirements across jurisdictions,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immigration regulations that limit our ability to deploy our employees,</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political instability and threats of terrorism, and</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variations in effective income tax rates among countries where we conduct business.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or more of these factors could have a material adverse effect on our international operations, which could harm our results of operations and financial condition.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expose us to risks associated with fluctuations in foreign currency exchange rates that could adversely affect our business.</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Although we have operations throughout the world, approximately 70% of our revenue and approximately 50% to 60% of our operating costs are denominated in, or linked to, the U.S. dollar. Accordingly, we consider the U.S. dollar to be our functional currency. However, approximately 40% to 50% of our operating costs in fiscal 2008 were incurred outside the United States in other currencies. Therefore, fluctuations in exchange rates between the currencies in which such costs are incurred and the dollar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6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For example, during fiscal 2008, we recognized $18.9 million in foreign exchange losses under interest income and other, net, mainly due to the revaluation of assets and liabilities denominated in other currencies resulting from the rapid and significant foreign exchange rate changes associated with global economic turbulence in the fourth quarter of fiscal 2008. We believe that foreign exchange rates will continue to present challenges in fiscal 2009.</w:t>
      </w:r>
    </w:p>
    <w:p>
      <w:pPr>
        <w:spacing w:after="0" w:line="59"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In addition, a portion of our revenue (approximately 30% in fiscal 2008)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do not hedge all of our exposure in currencies other than the U.S. dollar, but rather our policy is to hedge significant net exposures in the major foreign currencies in which we operate, and we generally hedge our net currency exposure with respect to expected revenue and operating costs and certain balance sheet items. However, we cannot assure you that we will be able to effectively limit all of our exposure to currency exchange rate fluctuations.</w:t>
      </w:r>
    </w:p>
    <w:p>
      <w:pPr>
        <w:spacing w:after="0" w:line="59"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 imposition of exchange or price controls or other restrictions on the conversion of foreign currencies could also have a material adverse effect on our business, results of operations and financial condition.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Political and economic conditions in the Middle East and other countries may adversely affect our business.</w:t>
      </w:r>
    </w:p>
    <w:p>
      <w:pPr>
        <w:spacing w:after="0" w:line="102"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Of the development centers we maintain worldwide, our largest development center is located in four different sites throughout Israel. Approximately 27% of our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68"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 permanent solution. Continued violence between the Palestinian community and Israel may have a material adverse effect on our business. Further deterioration of relations with the Palestinian Authority might require more military reserve service by some of our workforce, which may have a material adverse effect on our business.</w:t>
      </w:r>
    </w:p>
    <w:p>
      <w:pPr>
        <w:spacing w:after="0" w:line="6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2004, we established a development center in India, and since 2005, we have expanded our operations in India, China and the Commonwealth of Independent States (including Russia). Conducting business in each of these countries involves unique challenges, including political instability, threats of terrorism,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had over 3,700 software and information technology employees in India as of the end of fiscal 2008. Recent terrorist activity in India has led to tensions between India and Pakistan and our operations in India may be adversely affected by future political and other events in the region.</w:t>
      </w:r>
    </w:p>
    <w:p>
      <w:pPr>
        <w:spacing w:after="0" w:line="68"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Despite the admission of Cypress into the European Union and recent improvements in the relations between the parties, discussions facilitated by the United Nations, the European Union and the United States have not resulted in a plan of reunification for Cyprus. Major hostilities between Cyprus and Turkey could have a material adverse effect on our development facility in Cyprus.</w:t>
      </w:r>
    </w:p>
    <w:p>
      <w:pPr>
        <w:spacing w:after="0" w:line="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technology from misappropriation, our business may be harmed.</w:t>
      </w:r>
    </w:p>
    <w:p>
      <w:pPr>
        <w:spacing w:after="0" w:line="6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49" w:lineRule="exact"/>
        <w:rPr>
          <w:sz w:val="20"/>
          <w:szCs w:val="20"/>
          <w:color w:val="auto"/>
        </w:rPr>
      </w:pPr>
    </w:p>
    <w:p>
      <w:pPr>
        <w:jc w:val="both"/>
        <w:ind w:left="680" w:right="440" w:firstLine="399"/>
        <w:spacing w:after="0" w:line="276" w:lineRule="auto"/>
        <w:rPr>
          <w:sz w:val="20"/>
          <w:szCs w:val="20"/>
          <w:color w:val="auto"/>
        </w:rPr>
      </w:pPr>
      <w:r>
        <w:rPr>
          <w:rFonts w:ascii="Arial" w:cs="Arial" w:eastAsia="Arial" w:hAnsi="Arial"/>
          <w:sz w:val="13"/>
          <w:szCs w:val="13"/>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If we have to resort to legal proceedings to enforce our intellectual property rights, the proceedings could be burdensome, protracted and expensive and could involve a high degree of risk.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since our 2006 acquisition of Qpass, we support service providers and media companies with respect to digital content services, which could subject us to claims related to such services.</w:t>
      </w:r>
    </w:p>
    <w:p>
      <w:pPr>
        <w:spacing w:after="0" w:line="68" w:lineRule="exact"/>
        <w:rPr>
          <w:sz w:val="20"/>
          <w:szCs w:val="20"/>
          <w:color w:val="auto"/>
        </w:rPr>
      </w:pPr>
    </w:p>
    <w:p>
      <w:pPr>
        <w:ind w:left="680" w:right="340" w:firstLine="399"/>
        <w:spacing w:after="0" w:line="309" w:lineRule="auto"/>
        <w:rPr>
          <w:sz w:val="20"/>
          <w:szCs w:val="20"/>
          <w:color w:val="auto"/>
        </w:rPr>
      </w:pPr>
      <w:r>
        <w:rPr>
          <w:rFonts w:ascii="Arial" w:cs="Arial" w:eastAsia="Arial" w:hAnsi="Arial"/>
          <w:sz w:val="12"/>
          <w:szCs w:val="12"/>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defects or software errors could adversely affect our business.</w:t>
      </w:r>
    </w:p>
    <w:p>
      <w:pPr>
        <w:spacing w:after="0" w:line="102"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System disruptions and failures may result in customer dissatisfaction, customer loss or both, which could materially and adversely affect our reputation and business.</w:t>
      </w:r>
    </w:p>
    <w:p>
      <w:pPr>
        <w:spacing w:after="0" w:line="11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failures would reduce the attractiveness of our services significantly and could result in decreased demand for our products and services.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63"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termination or reduction of certain government programs and tax benefits could adversely affect our overall effective tax rate.</w:t>
      </w:r>
    </w:p>
    <w:p>
      <w:pPr>
        <w:spacing w:after="0" w:line="102"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There can be no assurance that our effective tax rate of 9.3% for the year ended September 30, 2008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 For example, through subsidiaries, we operate development centers and a business processing operations center in India. In 2008, the corporation tax rate applicable in India on trading activities was 33.99%. Our subsidiaries in India operate under specific favorable tax entitlements that are based upon pre-approved information technology related services activity. As a result, our subsidiaries in Pune are entitled to considerable corporate income tax reductions that reduce their applicable tax rate to 11.33%, and our newly-established subsidiary in Delhi is currently entitled to a tax exemption. Such favorable tax treatment is applied, where applicable, on all income derived from such pre-approved information technology activity, provided the subsidiaries continue to meet the conditions required for such tax benefits. The benefits applicable to our subsidiaries based in Pune are scheduled to expire on April 1, 2010 and the benefits applicable to our Delhi subsidiary are scheduled to phase out over 15 years from the subsidiary’s establishment. Please see “Item 10 — Additional Information — Taxation — Certain Indian Tax Considerations” for more information.</w:t>
      </w:r>
    </w:p>
    <w:p>
      <w:pPr>
        <w:spacing w:after="0" w:line="57"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7"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some tax benefit programs may be limited in duration or may be discontinued,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be unable to meet the requirements for continuing to qualify for some programs,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these programs and tax benefits may be unavailable at their current levels, or</w:t>
      </w:r>
    </w:p>
    <w:p>
      <w:pPr>
        <w:spacing w:after="0" w:line="92" w:lineRule="exact"/>
        <w:rPr>
          <w:rFonts w:ascii="Arial" w:cs="Arial" w:eastAsia="Arial" w:hAnsi="Arial"/>
          <w:sz w:val="13"/>
          <w:szCs w:val="13"/>
          <w:color w:val="auto"/>
        </w:rPr>
      </w:pPr>
    </w:p>
    <w:p>
      <w:pPr>
        <w:ind w:left="1300" w:right="220" w:hanging="208"/>
        <w:spacing w:after="0" w:line="294"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upon expiration of a particular benefit, we may not be eligible to participate in a new program or qualify for a new tax benefit that would offset the loss of the expiring tax benefit.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 price of our ordinary shares has and may continue to fluctuate widely.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market price of our ordinary shares has fluctuated widely and may continue to do so. Since September 30, 2007, our ordinary shares have traded as high as $38.03 and as low as $16.19 per share. As of November 24, 2008, the closing price of our ordinary shares was $19.12 per share. Many factors could cause the market price of our ordinary shares to rise and fall, including:</w:t>
      </w:r>
    </w:p>
    <w:p>
      <w:pPr>
        <w:spacing w:after="0" w:line="59"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market conditions in the industry and the economy as a whole,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variations in our quarterly operating results,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introductions of new products or new pricing policies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trends in the communications or software industries, including industry consolidation,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acquisitions or strategic alliances by us or others in our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estimates of our performance or recommendations by financial analysts,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our shareholder base,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our backlog levels,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political developments in the Middle East or other areas of the world.</w:t>
      </w:r>
    </w:p>
    <w:p>
      <w:pPr>
        <w:spacing w:after="0" w:line="10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in recent years, the stock market has experienced significant price and volume fluctuations, including particularly significant fluctuations in recent months in connection with the credit crisis.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for our shareholders to enforce any judgment obtained in the United States against us or our affiliates.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INFORMATION ON THE COMPANY</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 Development and Organizational Structure of Amdocs</w:t>
      </w:r>
    </w:p>
    <w:p>
      <w:pPr>
        <w:spacing w:after="0" w:line="104"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communications companies that are major services providers in North America, Europe and the rest of the world to move toward an integrated approach to customer management. Our registered office is Suite 5, Tower Hill House Le Bordage, St. Peter Port, Guernsey, GY1 3QT, and the telephone number at that location is +44-1481-728444.</w:t>
      </w:r>
    </w:p>
    <w:p>
      <w:pPr>
        <w:spacing w:after="0" w:line="63"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In the United States, our main sales and development center is in St. Louis, Missouri. The executive offices of our principal subsidiary in the United States are located at 1390 Timberlake Manor Parkway, Chesterfield, Missouri 63017, and the telephone number at that location is +1-314-212-8328.</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subsidiaries are organized under and subject to the laws of several countries. Our principal operating subsidiaries are in Cyprus, India, Ireland, Israel and the United States.</w:t>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We have pursued acquisitions in order to offer new products or services or otherwise enhance our market position or strategic strengths. Since fiscal 2000, we have completed numerous acquisitions, the principal ones since fiscal 2006 are summarized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1780" w:type="dxa"/>
            <w:vAlign w:val="bottom"/>
          </w:tcPr>
          <w:p>
            <w:pPr>
              <w:spacing w:after="0"/>
              <w:rPr>
                <w:sz w:val="20"/>
                <w:szCs w:val="20"/>
                <w:color w:val="auto"/>
              </w:rPr>
            </w:pPr>
            <w:r>
              <w:rPr>
                <w:rFonts w:ascii="Arial" w:cs="Arial" w:eastAsia="Arial" w:hAnsi="Arial"/>
                <w:sz w:val="11"/>
                <w:szCs w:val="11"/>
                <w:b w:val="1"/>
                <w:bCs w:val="1"/>
                <w:color w:val="auto"/>
              </w:rPr>
              <w:t>Fiscal Year</w:t>
            </w:r>
          </w:p>
        </w:tc>
        <w:tc>
          <w:tcPr>
            <w:tcW w:w="3420" w:type="dxa"/>
            <w:vAlign w:val="bottom"/>
          </w:tcPr>
          <w:p>
            <w:pPr>
              <w:ind w:left="1700"/>
              <w:spacing w:after="0"/>
              <w:rPr>
                <w:sz w:val="20"/>
                <w:szCs w:val="20"/>
                <w:color w:val="auto"/>
              </w:rPr>
            </w:pPr>
            <w:r>
              <w:rPr>
                <w:rFonts w:ascii="Arial" w:cs="Arial" w:eastAsia="Arial" w:hAnsi="Arial"/>
                <w:sz w:val="11"/>
                <w:szCs w:val="11"/>
                <w:b w:val="1"/>
                <w:bCs w:val="1"/>
                <w:u w:val="single" w:color="auto"/>
                <w:color w:val="auto"/>
              </w:rPr>
              <w:t>A</w:t>
            </w:r>
            <w:r>
              <w:rPr>
                <w:rFonts w:ascii="Arial" w:cs="Arial" w:eastAsia="Arial" w:hAnsi="Arial"/>
                <w:sz w:val="11"/>
                <w:szCs w:val="11"/>
                <w:b w:val="1"/>
                <w:bCs w:val="1"/>
                <w:color w:val="auto"/>
              </w:rPr>
              <w:t>cquired Business</w:t>
            </w:r>
          </w:p>
        </w:tc>
        <w:tc>
          <w:tcPr>
            <w:tcW w:w="4680" w:type="dxa"/>
            <w:vAlign w:val="bottom"/>
          </w:tcPr>
          <w:p>
            <w:pPr>
              <w:ind w:left="280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escription of Business</w:t>
            </w:r>
          </w:p>
        </w:tc>
      </w:tr>
      <w:tr>
        <w:trPr>
          <w:trHeight w:val="199"/>
        </w:trPr>
        <w:tc>
          <w:tcPr>
            <w:tcW w:w="1780" w:type="dxa"/>
            <w:vAlign w:val="bottom"/>
          </w:tcPr>
          <w:p>
            <w:pPr>
              <w:spacing w:after="0"/>
              <w:rPr>
                <w:sz w:val="20"/>
                <w:szCs w:val="20"/>
                <w:color w:val="auto"/>
              </w:rPr>
            </w:pPr>
            <w:r>
              <w:rPr>
                <w:rFonts w:ascii="Arial" w:cs="Arial" w:eastAsia="Arial" w:hAnsi="Arial"/>
                <w:sz w:val="13"/>
                <w:szCs w:val="13"/>
                <w:color w:val="auto"/>
              </w:rPr>
              <w:t>2006</w:t>
            </w:r>
          </w:p>
        </w:tc>
        <w:tc>
          <w:tcPr>
            <w:tcW w:w="3420" w:type="dxa"/>
            <w:vAlign w:val="bottom"/>
          </w:tcPr>
          <w:p>
            <w:pPr>
              <w:ind w:left="1280"/>
              <w:spacing w:after="0"/>
              <w:rPr>
                <w:sz w:val="20"/>
                <w:szCs w:val="20"/>
                <w:color w:val="auto"/>
              </w:rPr>
            </w:pPr>
            <w:r>
              <w:rPr>
                <w:rFonts w:ascii="Arial" w:cs="Arial" w:eastAsia="Arial" w:hAnsi="Arial"/>
                <w:sz w:val="13"/>
                <w:szCs w:val="13"/>
                <w:color w:val="auto"/>
              </w:rPr>
              <w:t>Qpass</w:t>
            </w:r>
          </w:p>
        </w:tc>
        <w:tc>
          <w:tcPr>
            <w:tcW w:w="4680" w:type="dxa"/>
            <w:vAlign w:val="bottom"/>
          </w:tcPr>
          <w:p>
            <w:pPr>
              <w:ind w:left="860"/>
              <w:spacing w:after="0"/>
              <w:rPr>
                <w:sz w:val="20"/>
                <w:szCs w:val="20"/>
                <w:color w:val="auto"/>
              </w:rPr>
            </w:pPr>
            <w:r>
              <w:rPr>
                <w:rFonts w:ascii="Arial" w:cs="Arial" w:eastAsia="Arial" w:hAnsi="Arial"/>
                <w:sz w:val="13"/>
                <w:szCs w:val="13"/>
                <w:color w:val="auto"/>
              </w:rPr>
              <w:t>Software systems for digital commerce</w:t>
            </w:r>
          </w:p>
        </w:tc>
      </w:tr>
      <w:tr>
        <w:trPr>
          <w:trHeight w:val="161"/>
        </w:trPr>
        <w:tc>
          <w:tcPr>
            <w:tcW w:w="1780" w:type="dxa"/>
            <w:vAlign w:val="bottom"/>
          </w:tcPr>
          <w:p>
            <w:pPr>
              <w:spacing w:after="0"/>
              <w:rPr>
                <w:sz w:val="20"/>
                <w:szCs w:val="20"/>
                <w:color w:val="auto"/>
              </w:rPr>
            </w:pPr>
            <w:r>
              <w:rPr>
                <w:rFonts w:ascii="Arial" w:cs="Arial" w:eastAsia="Arial" w:hAnsi="Arial"/>
                <w:sz w:val="13"/>
                <w:szCs w:val="13"/>
                <w:color w:val="auto"/>
              </w:rPr>
              <w:t>2006</w:t>
            </w:r>
          </w:p>
        </w:tc>
        <w:tc>
          <w:tcPr>
            <w:tcW w:w="3420" w:type="dxa"/>
            <w:vAlign w:val="bottom"/>
          </w:tcPr>
          <w:p>
            <w:pPr>
              <w:ind w:left="1280"/>
              <w:spacing w:after="0"/>
              <w:rPr>
                <w:sz w:val="20"/>
                <w:szCs w:val="20"/>
                <w:color w:val="auto"/>
              </w:rPr>
            </w:pPr>
            <w:r>
              <w:rPr>
                <w:rFonts w:ascii="Arial" w:cs="Arial" w:eastAsia="Arial" w:hAnsi="Arial"/>
                <w:sz w:val="13"/>
                <w:szCs w:val="13"/>
                <w:color w:val="auto"/>
              </w:rPr>
              <w:t>Cramer</w:t>
            </w:r>
          </w:p>
        </w:tc>
        <w:tc>
          <w:tcPr>
            <w:tcW w:w="4680" w:type="dxa"/>
            <w:vAlign w:val="bottom"/>
          </w:tcPr>
          <w:p>
            <w:pPr>
              <w:ind w:left="860"/>
              <w:spacing w:after="0"/>
              <w:rPr>
                <w:sz w:val="20"/>
                <w:szCs w:val="20"/>
                <w:color w:val="auto"/>
              </w:rPr>
            </w:pPr>
            <w:r>
              <w:rPr>
                <w:rFonts w:ascii="Arial" w:cs="Arial" w:eastAsia="Arial" w:hAnsi="Arial"/>
                <w:sz w:val="13"/>
                <w:szCs w:val="13"/>
                <w:color w:val="auto"/>
              </w:rPr>
              <w:t>Operation support software systems</w:t>
            </w:r>
          </w:p>
        </w:tc>
      </w:tr>
      <w:tr>
        <w:trPr>
          <w:trHeight w:val="161"/>
        </w:trPr>
        <w:tc>
          <w:tcPr>
            <w:tcW w:w="1780" w:type="dxa"/>
            <w:vAlign w:val="bottom"/>
          </w:tcPr>
          <w:p>
            <w:pPr>
              <w:spacing w:after="0"/>
              <w:rPr>
                <w:sz w:val="20"/>
                <w:szCs w:val="20"/>
                <w:color w:val="auto"/>
              </w:rPr>
            </w:pPr>
            <w:r>
              <w:rPr>
                <w:rFonts w:ascii="Arial" w:cs="Arial" w:eastAsia="Arial" w:hAnsi="Arial"/>
                <w:sz w:val="13"/>
                <w:szCs w:val="13"/>
                <w:color w:val="auto"/>
              </w:rPr>
              <w:t>2007</w:t>
            </w:r>
          </w:p>
        </w:tc>
        <w:tc>
          <w:tcPr>
            <w:tcW w:w="3420" w:type="dxa"/>
            <w:vAlign w:val="bottom"/>
          </w:tcPr>
          <w:p>
            <w:pPr>
              <w:ind w:left="1280"/>
              <w:spacing w:after="0"/>
              <w:rPr>
                <w:sz w:val="20"/>
                <w:szCs w:val="20"/>
                <w:color w:val="auto"/>
              </w:rPr>
            </w:pPr>
            <w:r>
              <w:rPr>
                <w:rFonts w:ascii="Arial" w:cs="Arial" w:eastAsia="Arial" w:hAnsi="Arial"/>
                <w:sz w:val="13"/>
                <w:szCs w:val="13"/>
                <w:color w:val="auto"/>
              </w:rPr>
              <w:t>SigValue</w:t>
            </w:r>
          </w:p>
        </w:tc>
        <w:tc>
          <w:tcPr>
            <w:tcW w:w="4680" w:type="dxa"/>
            <w:vAlign w:val="bottom"/>
          </w:tcPr>
          <w:p>
            <w:pPr>
              <w:ind w:left="860"/>
              <w:spacing w:after="0"/>
              <w:rPr>
                <w:sz w:val="20"/>
                <w:szCs w:val="20"/>
                <w:color w:val="auto"/>
              </w:rPr>
            </w:pPr>
            <w:r>
              <w:rPr>
                <w:rFonts w:ascii="Arial" w:cs="Arial" w:eastAsia="Arial" w:hAnsi="Arial"/>
                <w:sz w:val="13"/>
                <w:szCs w:val="13"/>
                <w:color w:val="auto"/>
                <w:w w:val="93"/>
              </w:rPr>
              <w:t>Customer care, billing and service control systems for communications</w:t>
            </w:r>
          </w:p>
        </w:tc>
      </w:tr>
      <w:tr>
        <w:trPr>
          <w:trHeight w:val="161"/>
        </w:trPr>
        <w:tc>
          <w:tcPr>
            <w:tcW w:w="1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80" w:type="dxa"/>
            <w:vAlign w:val="bottom"/>
          </w:tcPr>
          <w:p>
            <w:pPr>
              <w:ind w:left="860"/>
              <w:spacing w:after="0"/>
              <w:rPr>
                <w:sz w:val="20"/>
                <w:szCs w:val="20"/>
                <w:color w:val="auto"/>
              </w:rPr>
            </w:pPr>
            <w:r>
              <w:rPr>
                <w:rFonts w:ascii="Arial" w:cs="Arial" w:eastAsia="Arial" w:hAnsi="Arial"/>
                <w:sz w:val="13"/>
                <w:szCs w:val="13"/>
                <w:color w:val="auto"/>
              </w:rPr>
              <w:t>providers in high-growth emerging markets</w:t>
            </w:r>
          </w:p>
        </w:tc>
      </w:tr>
      <w:tr>
        <w:trPr>
          <w:trHeight w:val="161"/>
        </w:trPr>
        <w:tc>
          <w:tcPr>
            <w:tcW w:w="1780" w:type="dxa"/>
            <w:vAlign w:val="bottom"/>
          </w:tcPr>
          <w:p>
            <w:pPr>
              <w:spacing w:after="0"/>
              <w:rPr>
                <w:sz w:val="20"/>
                <w:szCs w:val="20"/>
                <w:color w:val="auto"/>
              </w:rPr>
            </w:pPr>
            <w:r>
              <w:rPr>
                <w:rFonts w:ascii="Arial" w:cs="Arial" w:eastAsia="Arial" w:hAnsi="Arial"/>
                <w:sz w:val="13"/>
                <w:szCs w:val="13"/>
                <w:color w:val="auto"/>
              </w:rPr>
              <w:t>2008</w:t>
            </w:r>
          </w:p>
        </w:tc>
        <w:tc>
          <w:tcPr>
            <w:tcW w:w="3420" w:type="dxa"/>
            <w:vAlign w:val="bottom"/>
          </w:tcPr>
          <w:p>
            <w:pPr>
              <w:ind w:left="1280"/>
              <w:spacing w:after="0"/>
              <w:rPr>
                <w:sz w:val="20"/>
                <w:szCs w:val="20"/>
                <w:color w:val="auto"/>
              </w:rPr>
            </w:pPr>
            <w:r>
              <w:rPr>
                <w:rFonts w:ascii="Arial" w:cs="Arial" w:eastAsia="Arial" w:hAnsi="Arial"/>
                <w:sz w:val="13"/>
                <w:szCs w:val="13"/>
                <w:color w:val="auto"/>
              </w:rPr>
              <w:t>JacobsRimell</w:t>
            </w:r>
          </w:p>
        </w:tc>
        <w:tc>
          <w:tcPr>
            <w:tcW w:w="4680" w:type="dxa"/>
            <w:vAlign w:val="bottom"/>
          </w:tcPr>
          <w:p>
            <w:pPr>
              <w:ind w:left="860"/>
              <w:spacing w:after="0"/>
              <w:rPr>
                <w:sz w:val="20"/>
                <w:szCs w:val="20"/>
                <w:color w:val="auto"/>
              </w:rPr>
            </w:pPr>
            <w:r>
              <w:rPr>
                <w:rFonts w:ascii="Arial" w:cs="Arial" w:eastAsia="Arial" w:hAnsi="Arial"/>
                <w:sz w:val="13"/>
                <w:szCs w:val="13"/>
                <w:color w:val="auto"/>
              </w:rPr>
              <w:t>Fulfillment software for the broadband cable industry</w:t>
            </w:r>
          </w:p>
        </w:tc>
      </w:tr>
      <w:tr>
        <w:trPr>
          <w:trHeight w:val="172"/>
        </w:trPr>
        <w:tc>
          <w:tcPr>
            <w:tcW w:w="1780" w:type="dxa"/>
            <w:vAlign w:val="bottom"/>
          </w:tcPr>
          <w:p>
            <w:pPr>
              <w:spacing w:after="0"/>
              <w:rPr>
                <w:sz w:val="20"/>
                <w:szCs w:val="20"/>
                <w:color w:val="auto"/>
              </w:rPr>
            </w:pPr>
            <w:r>
              <w:rPr>
                <w:rFonts w:ascii="Arial" w:cs="Arial" w:eastAsia="Arial" w:hAnsi="Arial"/>
                <w:sz w:val="13"/>
                <w:szCs w:val="13"/>
                <w:color w:val="auto"/>
              </w:rPr>
              <w:t>2009</w:t>
            </w:r>
          </w:p>
        </w:tc>
        <w:tc>
          <w:tcPr>
            <w:tcW w:w="3420" w:type="dxa"/>
            <w:vAlign w:val="bottom"/>
          </w:tcPr>
          <w:p>
            <w:pPr>
              <w:ind w:left="1280"/>
              <w:spacing w:after="0"/>
              <w:rPr>
                <w:sz w:val="20"/>
                <w:szCs w:val="20"/>
                <w:color w:val="auto"/>
              </w:rPr>
            </w:pPr>
            <w:r>
              <w:rPr>
                <w:rFonts w:ascii="Arial" w:cs="Arial" w:eastAsia="Arial" w:hAnsi="Arial"/>
                <w:sz w:val="13"/>
                <w:szCs w:val="13"/>
                <w:color w:val="auto"/>
              </w:rPr>
              <w:t>ChangingWorlds</w:t>
            </w:r>
          </w:p>
        </w:tc>
        <w:tc>
          <w:tcPr>
            <w:tcW w:w="4680" w:type="dxa"/>
            <w:vAlign w:val="bottom"/>
          </w:tcPr>
          <w:p>
            <w:pPr>
              <w:ind w:left="860"/>
              <w:spacing w:after="0"/>
              <w:rPr>
                <w:sz w:val="20"/>
                <w:szCs w:val="20"/>
                <w:color w:val="auto"/>
              </w:rPr>
            </w:pPr>
            <w:r>
              <w:rPr>
                <w:rFonts w:ascii="Arial" w:cs="Arial" w:eastAsia="Arial" w:hAnsi="Arial"/>
                <w:sz w:val="13"/>
                <w:szCs w:val="13"/>
                <w:color w:val="auto"/>
              </w:rPr>
              <w:t>Mobile device personalization 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-645160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Our acquisitions have enabled us to expand our service offerings and our customer base and to enhance our ability to provide managed services solutions to our customers. Through acquisitions, we have also expanded our presence in growing geographical and emerging communications markets reinforcing our leadership in delivering a comprehensive portfolio of business software applications. In the future, we may consider, as part of our strategy, additional acquisitions and other initiatives in order to offer new products or services or otherwise enhance our market position or strategic strengths.</w:t>
      </w:r>
    </w:p>
    <w:p>
      <w:pPr>
        <w:spacing w:after="0" w:line="63"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Our software and information technology workforce has increased from 14,826 as of September 30, 2006 to 15,978 as of the end of fiscal 2007 and to 17,100 as of the end of fiscal 2008. The increases in our workforce are attributable to our acquisitions, as well as to organic growth in the size of our operations.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principal capital expenditures for fiscal 2008, 2007 and 2006 have been for computer equipment, for which we spent approximately $113.2 million, $117.3 million, and $66.6 million, respectively. Capital expenditures in fiscal 2008 reflect investments in managed services projects and the continued support of the overall growth of our business. We anticipate our principal capital expenditures in fiscal 2009 will consist of additional computer equipment, with the bulk of these expenditures for computer equipment to be located at our facilities in North America, India and Israel.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Overview</w:t>
      </w:r>
    </w:p>
    <w:p>
      <w:pPr>
        <w:spacing w:after="0" w:line="104"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 1 and Tier 2 service providers in developed markets, we have begun to focus on Tier 3 and 4 providers in these markets and on providers in emerging markets, such as China, the Commonwealth of Independent States, India and Latin America.</w:t>
      </w:r>
    </w:p>
    <w:p>
      <w:pPr>
        <w:spacing w:after="0" w:line="59"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We develop, implement and manage software and services associated with the business support systems and operational support systems (BSS and OSS) that enable service providers to deliver a better customer experience, by, for example, introducing products quickly, understanding their customers more deeply, processing orders efficiently and solving problems productively. We refer to these systems collectively as customer experience systems because of the crucial impact and increasing importance that these systems have on the service providers’ end-user experience.</w:t>
      </w:r>
    </w:p>
    <w:p>
      <w:pPr>
        <w:spacing w:after="0" w:line="63"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We believe the demand for our customer experience systems is driven by the need of service providers to anticipate and respond to market demands. In established markets, service providers are transforming their businesses as they attempt to derive revenue and profit from IP-based digital content and commerce services, while confronting increased competition from non-traditional competitors, including major Internet companies, handset manufacturers and network equipment providers.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by</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0" w:lineRule="auto"/>
        <w:rPr>
          <w:sz w:val="20"/>
          <w:szCs w:val="20"/>
          <w:color w:val="auto"/>
        </w:rPr>
      </w:pPr>
      <w:r>
        <w:rPr>
          <w:rFonts w:ascii="Arial" w:cs="Arial" w:eastAsia="Arial" w:hAnsi="Arial"/>
          <w:sz w:val="13"/>
          <w:szCs w:val="13"/>
          <w:color w:val="auto"/>
        </w:rPr>
        <w:t>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software products and services that provide functionality and flexibility to service providers as they — and their markets — grow and change.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Communications Industry</w:t>
      </w:r>
    </w:p>
    <w:p>
      <w:pPr>
        <w:spacing w:after="0" w:line="102"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Over the more than two decades that Amdocs has been in business, the global communications industry has changed — and continues to change — dramatically. Competition has increased as a result of deregulation in the United States, which effectively commenced with the historic break-up of AT&amp;T in 1984, and the privatization of formerly government owned or controlled communications providers in many other countries. Consolidation has swept the world’s mature markets and continues in emerging markets. The emergence of technologies, such as Internet Protocol (IP), IP Multimedia Subsystem (IMS), worldwide interoperability for microwave access (WiMax) and others, has enabled and accelerated the introduction of new products and services, which has led to the new, “open Internet,” enabling new, non-traditional players to emerge. In turn, these relatively new services, including content and IP-based services, have created an expectation of immediacy, personal relevance and ubiquity, and expanded the universe of participants involved in delivering them. The bundling and blending of wireline and wireless voice, video and data services continues, and the evolution of directory systems has ushered in new technologies and distribution platforms, making possible digital advertising, search applications and location-based services — components of what we call the “digital lifestyle.” We believe that, as a result of all these forces, industry players are seeking to compete by operating at lower cost, offering competitive prices, rapidly introducing to market new features and services and being more responsive to customer needs as they evolve in real time, across different networks and geographies.</w:t>
      </w:r>
    </w:p>
    <w:p>
      <w:pPr>
        <w:spacing w:after="0" w:line="58"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business- and operational-support systems — or customer experience systems — upon which service providers depend are considered vital to achieving competitive advantage. We find that our customers are seeking to upgrade existing systems and install new systems to enable them to transform their businesses in order to deliver new, next-generation, convergent or bundled services in the context of a differentiating, intentional customer experience. We believe that service providers are looking for systems and services that reduce IT and operational costs and transformation risk, enhance customer management to increase average revenue and profitability per user, support customer retention, and enable rapid rollout of new marketing packages and advanced data services. In addition, these systems must have the ability to orchestrate end-to-end business processes and provide customers with single-contact, single-invoice solutions for their services. We believe these needs are driven by the move toward convergence and the demand from consumers for simplicity and ubiquitous connectivity: access to any service anytime, anywhere, through any device as part of their digital lifestyle.</w:t>
      </w:r>
    </w:p>
    <w:p>
      <w:pPr>
        <w:spacing w:after="0" w:line="5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As a result, we believe service providers require modular, yet integrated, customer experience systems that provide the level of integration, flexibility and scalability they need to improve operational efficiency and to differentiate themselves from their competitors in an increasingly crowded marketplace. We recognize that some providers may choose to rely on their own internal resources to serve their customers and expand their service offerings. However, in order to implement efficient, flexible, cost-effective information systems on a timely basis, we find that many providers are looking to acquire customer experience systems from external vendors. To further save scarce capital and operating expenditure resources, many of these providers are investing in pre-configured open-architecture software products, which require limited customization, rather than highly-customized solutions. Additionally, some providers may choose to outsource the management of these systems as a way to reduce costs and focus internal resources on corporate competencies — delivering communication, media and entertainment services, rather than managing software systems. We believe these factors create significant opportunities for vendors of information technology software products and providers of managed services, such as Amdocs.</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Amdocs Offerings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that our product-driven approach, commitment to and support of quality personnel and deep industry knowledge and expertise permit us to create and deliver effective offerings that are highly innovative, reliable and cost-effective. In addition, we offer software products that address the specific business needs of service providers. We believe that our success derives from a combination of the following factors that differentiate us from most of our competitors.</w:t>
      </w:r>
    </w:p>
    <w:p>
      <w:pPr>
        <w:spacing w:after="0" w:line="59" w:lineRule="exact"/>
        <w:rPr>
          <w:sz w:val="20"/>
          <w:szCs w:val="20"/>
          <w:color w:val="auto"/>
        </w:rPr>
      </w:pPr>
    </w:p>
    <w:p>
      <w:pPr>
        <w:ind w:left="1300" w:hanging="208"/>
        <w:spacing w:after="0" w:line="26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Software Products. </w:t>
      </w:r>
      <w:r>
        <w:rPr>
          <w:rFonts w:ascii="Arial" w:cs="Arial" w:eastAsia="Arial" w:hAnsi="Arial"/>
          <w:sz w:val="13"/>
          <w:szCs w:val="13"/>
          <w:color w:val="auto"/>
        </w:rPr>
        <w:t>In fiscal 2008, we released the Amdocs CES (customer experience systems) 7.5 portfolio of software products. Building on Amdocs 6 and Amdocs 7,</w:t>
      </w:r>
      <w:r>
        <w:rPr>
          <w:rFonts w:ascii="Arial" w:cs="Arial" w:eastAsia="Arial" w:hAnsi="Arial"/>
          <w:sz w:val="13"/>
          <w:szCs w:val="13"/>
          <w:i w:val="1"/>
          <w:iCs w:val="1"/>
          <w:color w:val="auto"/>
        </w:rPr>
        <w:t xml:space="preserve"> </w:t>
      </w:r>
      <w:r>
        <w:rPr>
          <w:rFonts w:ascii="Arial" w:cs="Arial" w:eastAsia="Arial" w:hAnsi="Arial"/>
          <w:sz w:val="13"/>
          <w:szCs w:val="13"/>
          <w:color w:val="auto"/>
        </w:rPr>
        <w:t>Amdocs CES 7.5 provides the fourth generation of integration between our post-paid and pre-paid billing, customer relationship management (CRM) and ordering applications that are designed to enable our customers to achieve integrated customer management and deliver an intentional customer experience. Our portfolio of pre-integrated software products was built to span the entire customer lifecycle across business support systems (BSS) and operational support systems (OSS), and enable service providers to centralize common information assets, such as customer, product and network resource data, align their business processes around the end customer, and link subscriber-facing business processes and touch points across back-office and front-office systems. Our products are designed to allow modular extension as a service provider evolves, to ensure fast and reduced-cost, reduced-risk implementations.</w:t>
      </w:r>
    </w:p>
    <w:p>
      <w:pPr>
        <w:spacing w:after="0" w:line="68" w:lineRule="exact"/>
        <w:rPr>
          <w:rFonts w:ascii="Arial" w:cs="Arial" w:eastAsia="Arial" w:hAnsi="Arial"/>
          <w:sz w:val="13"/>
          <w:szCs w:val="13"/>
          <w:color w:val="auto"/>
        </w:rPr>
      </w:pPr>
    </w:p>
    <w:p>
      <w:pPr>
        <w:ind w:left="1280" w:right="100"/>
        <w:spacing w:after="0" w:line="265" w:lineRule="auto"/>
        <w:rPr>
          <w:rFonts w:ascii="Arial" w:cs="Arial" w:eastAsia="Arial" w:hAnsi="Arial"/>
          <w:sz w:val="13"/>
          <w:szCs w:val="13"/>
          <w:color w:val="auto"/>
        </w:rPr>
      </w:pPr>
      <w:r>
        <w:rPr>
          <w:rFonts w:ascii="Arial" w:cs="Arial" w:eastAsia="Arial" w:hAnsi="Arial"/>
          <w:sz w:val="13"/>
          <w:szCs w:val="13"/>
          <w:color w:val="auto"/>
        </w:rPr>
        <w:t>The Amdocs CES 7.5 product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our products operate together or as stand-alone applications within existing environments. We believe this flexibility enables our customers to achieve significant time-to-market advantages and reduce their dependence on technical and other staff. In addition, our products are designed to uphold the prevailing industry standards set by standards bodies such as the TeleManagement (TM) Forum. Amdocs is an active, board-level member in the TM Forum and other industry forums.</w:t>
      </w:r>
    </w:p>
    <w:p>
      <w:pPr>
        <w:spacing w:after="0" w:line="67" w:lineRule="exact"/>
        <w:rPr>
          <w:rFonts w:ascii="Arial" w:cs="Arial" w:eastAsia="Arial" w:hAnsi="Arial"/>
          <w:sz w:val="13"/>
          <w:szCs w:val="13"/>
          <w:color w:val="auto"/>
        </w:rPr>
      </w:pPr>
    </w:p>
    <w:p>
      <w:pPr>
        <w:ind w:left="1300" w:right="60" w:hanging="208"/>
        <w:spacing w:after="0" w:line="276"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Amdocs’ services include consulting and systems integration and delivery services, product support and managed services to support the deployment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our products. We combine deep industry knowledge, advanced methodologies, industry best practices and pre-configured tools to deliver consistent results and minimize our customers’ risks.</w:t>
      </w:r>
    </w:p>
    <w:p>
      <w:pPr>
        <w:spacing w:after="0" w:line="48" w:lineRule="exact"/>
        <w:rPr>
          <w:rFonts w:ascii="Arial" w:cs="Arial" w:eastAsia="Arial" w:hAnsi="Arial"/>
          <w:sz w:val="13"/>
          <w:szCs w:val="13"/>
          <w:color w:val="auto"/>
        </w:rPr>
      </w:pPr>
    </w:p>
    <w:p>
      <w:pPr>
        <w:ind w:left="1300" w:hanging="208"/>
        <w:spacing w:after="0" w:line="267"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Solution Bundles and Packs. </w:t>
      </w:r>
      <w:r>
        <w:rPr>
          <w:rFonts w:ascii="Arial" w:cs="Arial" w:eastAsia="Arial" w:hAnsi="Arial"/>
          <w:sz w:val="13"/>
          <w:szCs w:val="13"/>
          <w:color w:val="auto"/>
        </w:rPr>
        <w:t>Building on the products included in the Amdocs CES 7.5 portfolio, we offer bundled solutions of products (including those of Amdocs and</w:t>
      </w:r>
      <w:r>
        <w:rPr>
          <w:rFonts w:ascii="Arial" w:cs="Arial" w:eastAsia="Arial" w:hAnsi="Arial"/>
          <w:sz w:val="13"/>
          <w:szCs w:val="13"/>
          <w:i w:val="1"/>
          <w:iCs w:val="1"/>
          <w:color w:val="auto"/>
        </w:rPr>
        <w:t xml:space="preserve"> </w:t>
      </w:r>
      <w:r>
        <w:rPr>
          <w:rFonts w:ascii="Arial" w:cs="Arial" w:eastAsia="Arial" w:hAnsi="Arial"/>
          <w:sz w:val="13"/>
          <w:szCs w:val="13"/>
          <w:color w:val="auto"/>
        </w:rPr>
        <w:t>third parties) and/or services that address specific business issues, such as subscriber profitability and segmentation, or the identification of consumer segments to be targeted, or system strengths to be enhanced. “Packs” are turnkey versions of our products, designed for fast, lower-cost implementation, often deployed in emerging markets or by new market entrants in developed markets. We believe that these bundled and packaged offerings provide our customers with timely, cost-effective, relatively low-risk solutions to specific business issues at a consistent level of quality.</w:t>
      </w:r>
    </w:p>
    <w:p>
      <w:pPr>
        <w:spacing w:after="0" w:line="55" w:lineRule="exact"/>
        <w:rPr>
          <w:rFonts w:ascii="Arial" w:cs="Arial" w:eastAsia="Arial" w:hAnsi="Arial"/>
          <w:sz w:val="13"/>
          <w:szCs w:val="13"/>
          <w:color w:val="auto"/>
        </w:rPr>
      </w:pPr>
    </w:p>
    <w:p>
      <w:pPr>
        <w:ind w:left="1300" w:right="60" w:hanging="208"/>
        <w:spacing w:after="0" w:line="267"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Experience. </w:t>
      </w:r>
      <w:r>
        <w:rPr>
          <w:rFonts w:ascii="Arial" w:cs="Arial" w:eastAsia="Arial" w:hAnsi="Arial"/>
          <w:sz w:val="13"/>
          <w:szCs w:val="13"/>
          <w:color w:val="auto"/>
        </w:rPr>
        <w:t>We are able to offer our customers superior products and services on a worldwide basis in large part because of our highly qualified and trained technical, sales,</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and management personnel. We invest significantly in the ongoing training of our personnel in key areas such as industry knowledge, software technologies and management capabilities. Leveraging this training and experience, we have developed a field-proven set of business processes, tools and methodologies that we apply to all ongoing product development and delivery activities. Significantly based on the skills and knowledge of our workforce, we believe that we have developed a reputation for reliably delivering quality solutions within agreed time frames and budgets.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Strategy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goal is to provide products, services and support to the world’s leading service providers, as they transform from voice or video utilities to purveyors of the digital lifestyle.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seek to accomplish our goal by pursuing the strategies described below.</w:t>
      </w:r>
    </w:p>
    <w:p>
      <w:pPr>
        <w:spacing w:after="0" w:line="92" w:lineRule="exact"/>
        <w:rPr>
          <w:sz w:val="20"/>
          <w:szCs w:val="20"/>
          <w:color w:val="auto"/>
        </w:rPr>
      </w:pPr>
    </w:p>
    <w:p>
      <w:pPr>
        <w:ind w:left="1300" w:right="20" w:hanging="208"/>
        <w:spacing w:after="0" w:line="299" w:lineRule="auto"/>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Continued Focus on the Communications, Media and Entertainment Industry. </w:t>
      </w:r>
      <w:r>
        <w:rPr>
          <w:rFonts w:ascii="Arial" w:cs="Arial" w:eastAsia="Arial" w:hAnsi="Arial"/>
          <w:sz w:val="12"/>
          <w:szCs w:val="12"/>
          <w:color w:val="auto"/>
        </w:rPr>
        <w:t>We intend to continue to concentrate our main resources and efforts on providing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systems to 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37" w:lineRule="exact"/>
        <w:rPr>
          <w:rFonts w:ascii="Arial" w:cs="Arial" w:eastAsia="Arial" w:hAnsi="Arial"/>
          <w:sz w:val="12"/>
          <w:szCs w:val="12"/>
          <w:color w:val="auto"/>
        </w:rPr>
      </w:pPr>
    </w:p>
    <w:p>
      <w:pPr>
        <w:ind w:left="1300" w:hanging="208"/>
        <w:spacing w:after="0" w:line="270"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Target Industry Leaders. </w:t>
      </w:r>
      <w:r>
        <w:rPr>
          <w:rFonts w:ascii="Arial" w:cs="Arial" w:eastAsia="Arial" w:hAnsi="Arial"/>
          <w:sz w:val="13"/>
          <w:szCs w:val="13"/>
          <w:color w:val="auto"/>
        </w:rPr>
        <w:t>We intend to continue to direct our marketing efforts principally toward the major service providers in established markets. We derive a substantial</w:t>
      </w:r>
      <w:r>
        <w:rPr>
          <w:rFonts w:ascii="Arial" w:cs="Arial" w:eastAsia="Arial" w:hAnsi="Arial"/>
          <w:sz w:val="13"/>
          <w:szCs w:val="13"/>
          <w:i w:val="1"/>
          <w:iCs w:val="1"/>
          <w:color w:val="auto"/>
        </w:rPr>
        <w:t xml:space="preserve"> </w:t>
      </w:r>
      <w:r>
        <w:rPr>
          <w:rFonts w:ascii="Arial" w:cs="Arial" w:eastAsia="Arial" w:hAnsi="Arial"/>
          <w:sz w:val="13"/>
          <w:szCs w:val="13"/>
          <w:color w:val="auto"/>
        </w:rPr>
        <w:t>majority of our revenues from our customer base of major service providers in North America and Europe. We believe that the development of this premier customer base has helped position us as a market leader, while contributing to the core strength of our business. By targeting industry leaders that require the most sophisticated customer experience systems, we believe that we are better able to remain at the forefront of developments in the industry.</w:t>
      </w:r>
    </w:p>
    <w:p>
      <w:pPr>
        <w:spacing w:after="0" w:line="52" w:lineRule="exact"/>
        <w:rPr>
          <w:rFonts w:ascii="Arial" w:cs="Arial" w:eastAsia="Arial" w:hAnsi="Arial"/>
          <w:sz w:val="13"/>
          <w:szCs w:val="13"/>
          <w:color w:val="auto"/>
        </w:rPr>
      </w:pPr>
    </w:p>
    <w:p>
      <w:pPr>
        <w:ind w:left="1300" w:right="40" w:hanging="208"/>
        <w:spacing w:after="0" w:line="265"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Expand into Emerging Markets. </w:t>
      </w:r>
      <w:r>
        <w:rPr>
          <w:rFonts w:ascii="Arial" w:cs="Arial" w:eastAsia="Arial" w:hAnsi="Arial"/>
          <w:sz w:val="13"/>
          <w:szCs w:val="13"/>
          <w:color w:val="auto"/>
        </w:rPr>
        <w:t>Through our acquisition of SigValue in fiscal 2007 and our own development efforts, we believe we have improved our ability to serve the</w:t>
      </w:r>
      <w:r>
        <w:rPr>
          <w:rFonts w:ascii="Arial" w:cs="Arial" w:eastAsia="Arial" w:hAnsi="Arial"/>
          <w:sz w:val="13"/>
          <w:szCs w:val="13"/>
          <w:i w:val="1"/>
          <w:iCs w:val="1"/>
          <w:color w:val="auto"/>
        </w:rPr>
        <w:t xml:space="preserve"> </w:t>
      </w:r>
      <w:r>
        <w:rPr>
          <w:rFonts w:ascii="Arial" w:cs="Arial" w:eastAsia="Arial" w:hAnsi="Arial"/>
          <w:sz w:val="13"/>
          <w:szCs w:val="13"/>
          <w:color w:val="auto"/>
        </w:rPr>
        <w:t>needs of service providers operating in emerging markets where subscriber growth, principally prepaid wireless service, is far greater than in more developed Western markets, but where average revenue per user is relatively low. Our prospective customers in these markets vary dramatically, with some service providers serving subscriber bases already numbering in the hundreds of millions and others introducing communications services to communities for the first time. We believe this spectrum of emerging market providers requires offerings ranging from relatively low-cost systems with pre-packaged services that can be implemented rapidly, to more robust service delivery offerings, to complete customer experience systems.</w:t>
      </w:r>
    </w:p>
    <w:p>
      <w:pPr>
        <w:spacing w:after="0" w:line="57" w:lineRule="exact"/>
        <w:rPr>
          <w:rFonts w:ascii="Arial" w:cs="Arial" w:eastAsia="Arial" w:hAnsi="Arial"/>
          <w:sz w:val="13"/>
          <w:szCs w:val="13"/>
          <w:color w:val="auto"/>
        </w:rPr>
      </w:pPr>
    </w:p>
    <w:p>
      <w:pPr>
        <w:ind w:left="1300" w:right="120" w:hanging="208"/>
        <w:spacing w:after="0" w:line="265"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Provide Customers with a Broad, Deep Portfolio of Integrated Products. </w:t>
      </w:r>
      <w:r>
        <w:rPr>
          <w:rFonts w:ascii="Arial" w:cs="Arial" w:eastAsia="Arial" w:hAnsi="Arial"/>
          <w:sz w:val="13"/>
          <w:szCs w:val="13"/>
          <w:color w:val="auto"/>
        </w:rPr>
        <w:t>We seek to provide our customers with a broad, yet vertically-integrated portfolio of products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them deliver an intentional customer experience. We seek to provide customer experience systems across the BSS and OSS domains and across multiple lines of business, often including wireline, wireless, broadband cable and satellite services. Integration is achieved through an open, service-oriented architecture, allowing our products to work well together and with third-party products. This holistic approach serves to support the world’s largest service providers throughout their various, often international operations. We believe that our ability to provide a broad, deep suite of products helps position us as a strategic partner for our customers, and also provides us with multiple avenues for strengthening and expanding our ongoing customer relationships.</w:t>
      </w:r>
    </w:p>
    <w:p>
      <w:pPr>
        <w:spacing w:after="0" w:line="57" w:lineRule="exact"/>
        <w:rPr>
          <w:rFonts w:ascii="Arial" w:cs="Arial" w:eastAsia="Arial" w:hAnsi="Arial"/>
          <w:sz w:val="13"/>
          <w:szCs w:val="13"/>
          <w:color w:val="auto"/>
        </w:rPr>
      </w:pPr>
    </w:p>
    <w:p>
      <w:pPr>
        <w:ind w:left="1300" w:right="40" w:hanging="208"/>
        <w:spacing w:after="0" w:line="290" w:lineRule="auto"/>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Leverage our Managed Services and Consulting Capabilities. </w:t>
      </w:r>
      <w:r>
        <w:rPr>
          <w:rFonts w:ascii="Arial" w:cs="Arial" w:eastAsia="Arial" w:hAnsi="Arial"/>
          <w:sz w:val="12"/>
          <w:szCs w:val="12"/>
          <w:color w:val="auto"/>
        </w:rPr>
        <w:t>Managed services enable Amdocs to assume responsibility for the operation and management our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Amdocs systems, as well as systems developed by in-house IT departments or by other vendors. Managed services benefit our customers by affording them improved efficiencies and long-term savings over the day-to-day costs of operating and maintaining these systems, and by enabling them to focus on their own internal strengths, leaving systems concerns to us. Managed services also benefit Amdocs, as they can be a source of predictable revenue and long-term relationships for us. Similarly, Amdocs’ consulting services are mutually beneficial for Amdocs and our customers. Consulting engagements can lead to the sale of new licenses and additional services projects. In addition, our consultants’ experience in the field is channeled into our product development process, applying the best-practices and business processes we have accumulated over more than 25 years to enhance the performance of our products and improve the success of future projects for our customers.</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60" w:hanging="208"/>
        <w:spacing w:after="0" w:line="295" w:lineRule="auto"/>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Maintain and Develop Long-Term Customer Relationships. </w:t>
      </w:r>
      <w:r>
        <w:rPr>
          <w:rFonts w:ascii="Arial" w:cs="Arial" w:eastAsia="Arial" w:hAnsi="Arial"/>
          <w:sz w:val="12"/>
          <w:szCs w:val="12"/>
          <w:color w:val="auto"/>
        </w:rPr>
        <w:t>We seek to maintain and develop long-term, mutually beneficial relationships with our customers, and have</w:t>
      </w:r>
      <w:r>
        <w:rPr>
          <w:rFonts w:ascii="Arial" w:cs="Arial" w:eastAsia="Arial" w:hAnsi="Arial"/>
          <w:sz w:val="12"/>
          <w:szCs w:val="12"/>
          <w:i w:val="1"/>
          <w:iCs w:val="1"/>
          <w:color w:val="auto"/>
        </w:rPr>
        <w:t xml:space="preserve"> </w:t>
      </w:r>
      <w:r>
        <w:rPr>
          <w:rFonts w:ascii="Arial" w:cs="Arial" w:eastAsia="Arial" w:hAnsi="Arial"/>
          <w:sz w:val="12"/>
          <w:szCs w:val="12"/>
          <w:color w:val="auto"/>
        </w:rPr>
        <w:t>organized our internal operations to better anticipate and respond to their needs. We find that our most positive, productive customer relationships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our strong customer relationships, and the recurring revenue that they produce, are a competitive advantage for us, especially in times of economic stress.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product offerings include an extensive software portfolio that we have developed to provide comprehensive customer experience systems functionality for service providers. Our software systems cover the full range of revenue management, customer management, service and resource management, digital commerce and service delivery and information management.</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configure individual customer experience systems into families of offerings oriented to the service provider needs that they are designed to address. Our products focus on the five main business challenges of our customers:</w:t>
      </w:r>
    </w:p>
    <w:p>
      <w:pPr>
        <w:spacing w:after="0" w:line="47" w:lineRule="exact"/>
        <w:rPr>
          <w:sz w:val="20"/>
          <w:szCs w:val="20"/>
          <w:color w:val="auto"/>
        </w:rPr>
      </w:pPr>
    </w:p>
    <w:p>
      <w:pPr>
        <w:ind w:left="1300" w:right="380" w:hanging="208"/>
        <w:spacing w:after="0" w:line="294"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Revenue Management: </w:t>
      </w:r>
      <w:r>
        <w:rPr>
          <w:rFonts w:ascii="Arial" w:cs="Arial" w:eastAsia="Arial" w:hAnsi="Arial"/>
          <w:sz w:val="13"/>
          <w:szCs w:val="13"/>
          <w:color w:val="auto"/>
        </w:rPr>
        <w:t>Products that enable service providers to manage and track sources of revenue through any channel, from service consumption to cash in hand.</w:t>
      </w:r>
      <w:r>
        <w:rPr>
          <w:rFonts w:ascii="Arial" w:cs="Arial" w:eastAsia="Arial" w:hAnsi="Arial"/>
          <w:sz w:val="13"/>
          <w:szCs w:val="13"/>
          <w:i w:val="1"/>
          <w:iCs w:val="1"/>
          <w:color w:val="auto"/>
        </w:rPr>
        <w:t xml:space="preserve"> </w:t>
      </w:r>
      <w:r>
        <w:rPr>
          <w:rFonts w:ascii="Arial" w:cs="Arial" w:eastAsia="Arial" w:hAnsi="Arial"/>
          <w:sz w:val="13"/>
          <w:szCs w:val="13"/>
          <w:color w:val="auto"/>
        </w:rPr>
        <w:t>Amdocs’ Revenue Management offerings include:</w:t>
      </w:r>
    </w:p>
    <w:p>
      <w:pPr>
        <w:spacing w:after="0" w:line="46" w:lineRule="exact"/>
        <w:rPr>
          <w:rFonts w:ascii="Arial" w:cs="Arial" w:eastAsia="Arial" w:hAnsi="Arial"/>
          <w:sz w:val="13"/>
          <w:szCs w:val="13"/>
          <w:color w:val="auto"/>
        </w:rPr>
      </w:pPr>
    </w:p>
    <w:p>
      <w:pPr>
        <w:ind w:left="1500" w:right="80" w:hanging="207"/>
        <w:spacing w:after="0" w:line="294" w:lineRule="auto"/>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i w:val="1"/>
          <w:iCs w:val="1"/>
          <w:color w:val="auto"/>
        </w:rPr>
        <w:t>Billing and Charging</w:t>
      </w:r>
      <w:r>
        <w:rPr>
          <w:rFonts w:ascii="Arial" w:cs="Arial" w:eastAsia="Arial" w:hAnsi="Arial"/>
          <w:sz w:val="13"/>
          <w:szCs w:val="13"/>
          <w:color w:val="auto"/>
        </w:rPr>
        <w:t>: enables flexible, real-time rating and billing for all voice, data broadband, content, commerce and video services, whether pre-paid, post-paid or a</w:t>
      </w:r>
      <w:r>
        <w:rPr>
          <w:rFonts w:ascii="Arial" w:cs="Arial" w:eastAsia="Arial" w:hAnsi="Arial"/>
          <w:sz w:val="13"/>
          <w:szCs w:val="13"/>
          <w:i w:val="1"/>
          <w:iCs w:val="1"/>
          <w:color w:val="auto"/>
        </w:rPr>
        <w:t xml:space="preserve"> </w:t>
      </w:r>
      <w:r>
        <w:rPr>
          <w:rFonts w:ascii="Arial" w:cs="Arial" w:eastAsia="Arial" w:hAnsi="Arial"/>
          <w:sz w:val="13"/>
          <w:szCs w:val="13"/>
          <w:color w:val="auto"/>
        </w:rPr>
        <w:t>blend of both.</w:t>
      </w:r>
    </w:p>
    <w:p>
      <w:pPr>
        <w:spacing w:after="0" w:line="36" w:lineRule="exact"/>
        <w:rPr>
          <w:rFonts w:ascii="Arial" w:cs="Arial" w:eastAsia="Arial" w:hAnsi="Arial"/>
          <w:sz w:val="13"/>
          <w:szCs w:val="13"/>
          <w:color w:val="auto"/>
        </w:rPr>
      </w:pPr>
    </w:p>
    <w:p>
      <w:pPr>
        <w:ind w:left="1500" w:right="160" w:hanging="207"/>
        <w:spacing w:after="0" w:line="294" w:lineRule="auto"/>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i w:val="1"/>
          <w:iCs w:val="1"/>
          <w:color w:val="auto"/>
        </w:rPr>
        <w:t>Mediation</w:t>
      </w:r>
      <w:r>
        <w:rPr>
          <w:rFonts w:ascii="Arial" w:cs="Arial" w:eastAsia="Arial" w:hAnsi="Arial"/>
          <w:sz w:val="13"/>
          <w:szCs w:val="13"/>
          <w:color w:val="auto"/>
        </w:rPr>
        <w:t>: enables service providers to transform network activity in real time into a form that can be used to authorize events on the network, bill a customer or pay a</w:t>
      </w:r>
      <w:r>
        <w:rPr>
          <w:rFonts w:ascii="Arial" w:cs="Arial" w:eastAsia="Arial" w:hAnsi="Arial"/>
          <w:sz w:val="13"/>
          <w:szCs w:val="13"/>
          <w:i w:val="1"/>
          <w:iCs w:val="1"/>
          <w:color w:val="auto"/>
        </w:rPr>
        <w:t xml:space="preserve"> </w:t>
      </w:r>
      <w:r>
        <w:rPr>
          <w:rFonts w:ascii="Arial" w:cs="Arial" w:eastAsia="Arial" w:hAnsi="Arial"/>
          <w:sz w:val="13"/>
          <w:szCs w:val="13"/>
          <w:color w:val="auto"/>
        </w:rPr>
        <w:t>content provider.</w:t>
      </w:r>
    </w:p>
    <w:p>
      <w:pPr>
        <w:spacing w:after="0" w:line="36" w:lineRule="exact"/>
        <w:rPr>
          <w:rFonts w:ascii="Arial" w:cs="Arial" w:eastAsia="Arial" w:hAnsi="Arial"/>
          <w:sz w:val="13"/>
          <w:szCs w:val="13"/>
          <w:color w:val="auto"/>
        </w:rPr>
      </w:pPr>
    </w:p>
    <w:p>
      <w:pPr>
        <w:ind w:left="1500" w:right="260" w:hanging="207"/>
        <w:spacing w:after="0" w:line="338" w:lineRule="auto"/>
        <w:tabs>
          <w:tab w:leader="none" w:pos="1500" w:val="left"/>
        </w:tabs>
        <w:numPr>
          <w:ilvl w:val="1"/>
          <w:numId w:val="15"/>
        </w:numPr>
        <w:rPr>
          <w:rFonts w:ascii="Arial" w:cs="Arial" w:eastAsia="Arial" w:hAnsi="Arial"/>
          <w:sz w:val="12"/>
          <w:szCs w:val="12"/>
          <w:color w:val="auto"/>
        </w:rPr>
      </w:pPr>
      <w:r>
        <w:rPr>
          <w:rFonts w:ascii="Arial" w:cs="Arial" w:eastAsia="Arial" w:hAnsi="Arial"/>
          <w:sz w:val="12"/>
          <w:szCs w:val="12"/>
          <w:i w:val="1"/>
          <w:iCs w:val="1"/>
          <w:color w:val="auto"/>
        </w:rPr>
        <w:t>Partner Settlement</w:t>
      </w:r>
      <w:r>
        <w:rPr>
          <w:rFonts w:ascii="Arial" w:cs="Arial" w:eastAsia="Arial" w:hAnsi="Arial"/>
          <w:sz w:val="12"/>
          <w:szCs w:val="12"/>
          <w:color w:val="auto"/>
        </w:rPr>
        <w:t>: allows service providers to manage an unlimited number of partners providing services over the network across several lines of business, such as</w:t>
      </w:r>
      <w:r>
        <w:rPr>
          <w:rFonts w:ascii="Arial" w:cs="Arial" w:eastAsia="Arial" w:hAnsi="Arial"/>
          <w:sz w:val="12"/>
          <w:szCs w:val="12"/>
          <w:i w:val="1"/>
          <w:iCs w:val="1"/>
          <w:color w:val="auto"/>
        </w:rPr>
        <w:t xml:space="preserve"> </w:t>
      </w:r>
      <w:r>
        <w:rPr>
          <w:rFonts w:ascii="Arial" w:cs="Arial" w:eastAsia="Arial" w:hAnsi="Arial"/>
          <w:sz w:val="12"/>
          <w:szCs w:val="12"/>
          <w:color w:val="auto"/>
        </w:rPr>
        <w:t>interconnect, roaming and mobile virtual network operator (MVNO) operations as well as digital content, commerce and advertising and dealer incentives.</w:t>
      </w:r>
    </w:p>
    <w:p>
      <w:pPr>
        <w:spacing w:after="0" w:line="24" w:lineRule="exact"/>
        <w:rPr>
          <w:rFonts w:ascii="Arial" w:cs="Arial" w:eastAsia="Arial" w:hAnsi="Arial"/>
          <w:sz w:val="12"/>
          <w:szCs w:val="12"/>
          <w:color w:val="auto"/>
        </w:rPr>
      </w:pPr>
    </w:p>
    <w:p>
      <w:pPr>
        <w:ind w:left="1300" w:right="200" w:hanging="208"/>
        <w:spacing w:after="0" w:line="294"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Customer Management: </w:t>
      </w:r>
      <w:r>
        <w:rPr>
          <w:rFonts w:ascii="Arial" w:cs="Arial" w:eastAsia="Arial" w:hAnsi="Arial"/>
          <w:sz w:val="13"/>
          <w:szCs w:val="13"/>
          <w:color w:val="auto"/>
        </w:rPr>
        <w:t>Products that cover the critical touchpoints at which customers interact with service providers, helping to ensure consistent interactions across all</w:t>
      </w:r>
      <w:r>
        <w:rPr>
          <w:rFonts w:ascii="Arial" w:cs="Arial" w:eastAsia="Arial" w:hAnsi="Arial"/>
          <w:sz w:val="13"/>
          <w:szCs w:val="13"/>
          <w:i w:val="1"/>
          <w:iCs w:val="1"/>
          <w:color w:val="auto"/>
        </w:rPr>
        <w:t xml:space="preserve"> </w:t>
      </w:r>
      <w:r>
        <w:rPr>
          <w:rFonts w:ascii="Arial" w:cs="Arial" w:eastAsia="Arial" w:hAnsi="Arial"/>
          <w:sz w:val="13"/>
          <w:szCs w:val="13"/>
          <w:color w:val="auto"/>
        </w:rPr>
        <w:t>channels and throughout the customer lifecycle. Amdocs’ Customer Management offerings include:</w:t>
      </w:r>
    </w:p>
    <w:p>
      <w:pPr>
        <w:spacing w:after="0" w:line="46" w:lineRule="exact"/>
        <w:rPr>
          <w:rFonts w:ascii="Arial" w:cs="Arial" w:eastAsia="Arial" w:hAnsi="Arial"/>
          <w:sz w:val="13"/>
          <w:szCs w:val="13"/>
          <w:color w:val="auto"/>
        </w:rPr>
      </w:pPr>
    </w:p>
    <w:p>
      <w:pPr>
        <w:ind w:left="1500" w:right="740" w:hanging="207"/>
        <w:spacing w:after="0" w:line="294" w:lineRule="auto"/>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i w:val="1"/>
          <w:iCs w:val="1"/>
          <w:color w:val="auto"/>
        </w:rPr>
        <w:t>Contact Center and Agent Interactions</w:t>
      </w:r>
      <w:r>
        <w:rPr>
          <w:rFonts w:ascii="Arial" w:cs="Arial" w:eastAsia="Arial" w:hAnsi="Arial"/>
          <w:sz w:val="13"/>
          <w:szCs w:val="13"/>
          <w:color w:val="auto"/>
        </w:rPr>
        <w:t>: consolidates information for a customer service agent to provide real-time guidance and up-selling and cross-selling</w:t>
      </w:r>
      <w:r>
        <w:rPr>
          <w:rFonts w:ascii="Arial" w:cs="Arial" w:eastAsia="Arial" w:hAnsi="Arial"/>
          <w:sz w:val="13"/>
          <w:szCs w:val="13"/>
          <w:i w:val="1"/>
          <w:iCs w:val="1"/>
          <w:color w:val="auto"/>
        </w:rPr>
        <w:t xml:space="preserve"> </w:t>
      </w:r>
      <w:r>
        <w:rPr>
          <w:rFonts w:ascii="Arial" w:cs="Arial" w:eastAsia="Arial" w:hAnsi="Arial"/>
          <w:sz w:val="13"/>
          <w:szCs w:val="13"/>
          <w:color w:val="auto"/>
        </w:rPr>
        <w:t>recommendations, all within a single unified interface.</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15"/>
        </w:numPr>
        <w:rPr>
          <w:rFonts w:ascii="Arial" w:cs="Arial" w:eastAsia="Arial" w:hAnsi="Arial"/>
          <w:sz w:val="12"/>
          <w:szCs w:val="12"/>
          <w:color w:val="auto"/>
        </w:rPr>
      </w:pPr>
      <w:r>
        <w:rPr>
          <w:rFonts w:ascii="Arial" w:cs="Arial" w:eastAsia="Arial" w:hAnsi="Arial"/>
          <w:sz w:val="12"/>
          <w:szCs w:val="12"/>
          <w:i w:val="1"/>
          <w:iCs w:val="1"/>
          <w:color w:val="auto"/>
        </w:rPr>
        <w:t>Service and Support</w:t>
      </w:r>
      <w:r>
        <w:rPr>
          <w:rFonts w:ascii="Arial" w:cs="Arial" w:eastAsia="Arial" w:hAnsi="Arial"/>
          <w:sz w:val="12"/>
          <w:szCs w:val="12"/>
          <w:color w:val="auto"/>
        </w:rPr>
        <w:t>: prioritizes case handling, enables support and closes the loop between the initial service request and problem resolution, including field service.</w:t>
      </w:r>
    </w:p>
    <w:p>
      <w:pPr>
        <w:spacing w:after="0" w:line="103" w:lineRule="exact"/>
        <w:rPr>
          <w:rFonts w:ascii="Arial" w:cs="Arial" w:eastAsia="Arial" w:hAnsi="Arial"/>
          <w:sz w:val="12"/>
          <w:szCs w:val="12"/>
          <w:color w:val="auto"/>
        </w:rPr>
      </w:pPr>
    </w:p>
    <w:p>
      <w:pPr>
        <w:ind w:left="1500" w:right="680" w:hanging="207"/>
        <w:spacing w:after="0" w:line="294" w:lineRule="auto"/>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i w:val="1"/>
          <w:iCs w:val="1"/>
          <w:color w:val="auto"/>
        </w:rPr>
        <w:t>Online and Self-Directed Interactions</w:t>
      </w:r>
      <w:r>
        <w:rPr>
          <w:rFonts w:ascii="Arial" w:cs="Arial" w:eastAsia="Arial" w:hAnsi="Arial"/>
          <w:sz w:val="13"/>
          <w:szCs w:val="13"/>
          <w:color w:val="auto"/>
        </w:rPr>
        <w:t>: enables end-users to manage their own billing, ordering, trouble-ticketing, account maintenance and reporting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business-to-consumer and business-to-business customer portals.</w:t>
      </w:r>
    </w:p>
    <w:p>
      <w:pPr>
        <w:spacing w:after="0" w:line="36" w:lineRule="exact"/>
        <w:rPr>
          <w:rFonts w:ascii="Arial" w:cs="Arial" w:eastAsia="Arial" w:hAnsi="Arial"/>
          <w:sz w:val="13"/>
          <w:szCs w:val="13"/>
          <w:color w:val="auto"/>
        </w:rPr>
      </w:pPr>
    </w:p>
    <w:p>
      <w:pPr>
        <w:ind w:left="1500" w:right="340" w:hanging="207"/>
        <w:spacing w:after="0" w:line="294" w:lineRule="auto"/>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i w:val="1"/>
          <w:iCs w:val="1"/>
          <w:color w:val="auto"/>
        </w:rPr>
        <w:t>Sales and Ordering</w:t>
      </w:r>
      <w:r>
        <w:rPr>
          <w:rFonts w:ascii="Arial" w:cs="Arial" w:eastAsia="Arial" w:hAnsi="Arial"/>
          <w:sz w:val="13"/>
          <w:szCs w:val="13"/>
          <w:color w:val="auto"/>
        </w:rPr>
        <w:t>: captures orders initiated from any channel, including the Internet, call center and sales automation systems, then validates and breaks down the</w:t>
      </w:r>
      <w:r>
        <w:rPr>
          <w:rFonts w:ascii="Arial" w:cs="Arial" w:eastAsia="Arial" w:hAnsi="Arial"/>
          <w:sz w:val="13"/>
          <w:szCs w:val="13"/>
          <w:i w:val="1"/>
          <w:iCs w:val="1"/>
          <w:color w:val="auto"/>
        </w:rPr>
        <w:t xml:space="preserve"> </w:t>
      </w:r>
      <w:r>
        <w:rPr>
          <w:rFonts w:ascii="Arial" w:cs="Arial" w:eastAsia="Arial" w:hAnsi="Arial"/>
          <w:sz w:val="13"/>
          <w:szCs w:val="13"/>
          <w:color w:val="auto"/>
        </w:rPr>
        <w:t>orders into component actions, and triggers the request to the appropriate systems for completion.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480" w:hanging="208"/>
        <w:spacing w:after="0" w:line="294"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Service and Resource Management (OSS): </w:t>
      </w:r>
      <w:r>
        <w:rPr>
          <w:rFonts w:ascii="Arial" w:cs="Arial" w:eastAsia="Arial" w:hAnsi="Arial"/>
          <w:sz w:val="13"/>
          <w:szCs w:val="13"/>
          <w:color w:val="auto"/>
        </w:rPr>
        <w:t>Products that comprise the core operational support systems, such as network planning, service fulfillment and assurance.</w:t>
      </w:r>
      <w:r>
        <w:rPr>
          <w:rFonts w:ascii="Arial" w:cs="Arial" w:eastAsia="Arial" w:hAnsi="Arial"/>
          <w:sz w:val="13"/>
          <w:szCs w:val="13"/>
          <w:i w:val="1"/>
          <w:iCs w:val="1"/>
          <w:color w:val="auto"/>
        </w:rPr>
        <w:t xml:space="preserve"> </w:t>
      </w:r>
      <w:r>
        <w:rPr>
          <w:rFonts w:ascii="Arial" w:cs="Arial" w:eastAsia="Arial" w:hAnsi="Arial"/>
          <w:sz w:val="13"/>
          <w:szCs w:val="13"/>
          <w:color w:val="auto"/>
        </w:rPr>
        <w:t>Amdocs’ Service and Resource Management (OSS) offerings include:</w:t>
      </w:r>
    </w:p>
    <w:p>
      <w:pPr>
        <w:spacing w:after="0" w:line="6" w:lineRule="exact"/>
        <w:rPr>
          <w:rFonts w:ascii="Arial" w:cs="Arial" w:eastAsia="Arial" w:hAnsi="Arial"/>
          <w:sz w:val="13"/>
          <w:szCs w:val="13"/>
          <w:color w:val="auto"/>
        </w:rPr>
      </w:pPr>
    </w:p>
    <w:p>
      <w:pPr>
        <w:ind w:left="1500" w:right="160" w:hanging="207"/>
        <w:spacing w:after="0" w:line="291"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Network Planning</w:t>
      </w:r>
      <w:r>
        <w:rPr>
          <w:rFonts w:ascii="Arial" w:cs="Arial" w:eastAsia="Arial" w:hAnsi="Arial"/>
          <w:sz w:val="13"/>
          <w:szCs w:val="13"/>
          <w:color w:val="auto"/>
        </w:rPr>
        <w:t>: enables network planners to analyze current, short and long-term consumption trends of network resources and to plan and roll out a “service-ready</w:t>
      </w:r>
      <w:r>
        <w:rPr>
          <w:rFonts w:ascii="Arial" w:cs="Arial" w:eastAsia="Arial" w:hAnsi="Arial"/>
          <w:sz w:val="13"/>
          <w:szCs w:val="13"/>
          <w:i w:val="1"/>
          <w:iCs w:val="1"/>
          <w:color w:val="auto"/>
        </w:rPr>
        <w:t xml:space="preserve"> </w:t>
      </w:r>
      <w:r>
        <w:rPr>
          <w:rFonts w:ascii="Arial" w:cs="Arial" w:eastAsia="Arial" w:hAnsi="Arial"/>
          <w:sz w:val="13"/>
          <w:szCs w:val="13"/>
          <w:color w:val="auto"/>
        </w:rPr>
        <w:t>network.”</w:t>
      </w:r>
    </w:p>
    <w:p>
      <w:pPr>
        <w:ind w:left="1500" w:hanging="207"/>
        <w:spacing w:after="0" w:line="276"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Service Fulfillment</w:t>
      </w:r>
      <w:r>
        <w:rPr>
          <w:rFonts w:ascii="Arial" w:cs="Arial" w:eastAsia="Arial" w:hAnsi="Arial"/>
          <w:sz w:val="13"/>
          <w:szCs w:val="13"/>
          <w:color w:val="auto"/>
        </w:rPr>
        <w:t>: includes pre-packaged automation for specific services and lines of business, including broadband, satellite and cable; also supports the fulfillment of</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services, either to support a convergent services bundle, or to standardize fulfillment across the organization with a single interface to orchestrate all fulfillment processes.</w:t>
      </w:r>
    </w:p>
    <w:p>
      <w:pPr>
        <w:spacing w:after="0" w:line="8" w:lineRule="exact"/>
        <w:rPr>
          <w:rFonts w:ascii="Arial" w:cs="Arial" w:eastAsia="Arial" w:hAnsi="Arial"/>
          <w:sz w:val="13"/>
          <w:szCs w:val="13"/>
          <w:color w:val="auto"/>
        </w:rPr>
      </w:pPr>
    </w:p>
    <w:p>
      <w:pPr>
        <w:ind w:left="1500" w:right="160" w:hanging="207"/>
        <w:spacing w:after="0" w:line="291"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Service Assurance</w:t>
      </w:r>
      <w:r>
        <w:rPr>
          <w:rFonts w:ascii="Arial" w:cs="Arial" w:eastAsia="Arial" w:hAnsi="Arial"/>
          <w:sz w:val="13"/>
          <w:szCs w:val="13"/>
          <w:color w:val="auto"/>
        </w:rPr>
        <w:t>: assures services by proactively identifying and resolving network problems before outages affect customers (through integration with the inventory</w:t>
      </w:r>
      <w:r>
        <w:rPr>
          <w:rFonts w:ascii="Arial" w:cs="Arial" w:eastAsia="Arial" w:hAnsi="Arial"/>
          <w:sz w:val="13"/>
          <w:szCs w:val="13"/>
          <w:i w:val="1"/>
          <w:iCs w:val="1"/>
          <w:color w:val="auto"/>
        </w:rPr>
        <w:t xml:space="preserve"> </w:t>
      </w:r>
      <w:r>
        <w:rPr>
          <w:rFonts w:ascii="Arial" w:cs="Arial" w:eastAsia="Arial" w:hAnsi="Arial"/>
          <w:sz w:val="13"/>
          <w:szCs w:val="13"/>
          <w:color w:val="auto"/>
        </w:rPr>
        <w:t>system), and reactively with trouble ticketing functionality to enable faster resolution of service issues.</w:t>
      </w:r>
    </w:p>
    <w:p>
      <w:pPr>
        <w:ind w:left="1500" w:right="380" w:hanging="207"/>
        <w:spacing w:after="0" w:line="294"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Inventory and Discovery</w:t>
      </w:r>
      <w:r>
        <w:rPr>
          <w:rFonts w:ascii="Arial" w:cs="Arial" w:eastAsia="Arial" w:hAnsi="Arial"/>
          <w:sz w:val="13"/>
          <w:szCs w:val="13"/>
          <w:color w:val="auto"/>
        </w:rPr>
        <w:t>: provides a single source of service and network inventory and performance data, to support network planning and service fulfillment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w:t>
      </w:r>
    </w:p>
    <w:p>
      <w:pPr>
        <w:spacing w:after="0" w:line="46" w:lineRule="exact"/>
        <w:rPr>
          <w:rFonts w:ascii="Arial" w:cs="Arial" w:eastAsia="Arial" w:hAnsi="Arial"/>
          <w:sz w:val="13"/>
          <w:szCs w:val="13"/>
          <w:color w:val="auto"/>
        </w:rPr>
      </w:pPr>
    </w:p>
    <w:p>
      <w:pPr>
        <w:jc w:val="both"/>
        <w:ind w:left="1300" w:right="320" w:hanging="208"/>
        <w:spacing w:after="0" w:line="324" w:lineRule="auto"/>
        <w:tabs>
          <w:tab w:leader="none" w:pos="130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Digital Commerce and Service Delivery: </w:t>
      </w:r>
      <w:r>
        <w:rPr>
          <w:rFonts w:ascii="Arial" w:cs="Arial" w:eastAsia="Arial" w:hAnsi="Arial"/>
          <w:sz w:val="12"/>
          <w:szCs w:val="12"/>
          <w:color w:val="auto"/>
        </w:rPr>
        <w:t>Products that help service providers, entertainment and media companies realize new revenue streams by managing the digital</w:t>
      </w:r>
      <w:r>
        <w:rPr>
          <w:rFonts w:ascii="Arial" w:cs="Arial" w:eastAsia="Arial" w:hAnsi="Arial"/>
          <w:sz w:val="12"/>
          <w:szCs w:val="12"/>
          <w:i w:val="1"/>
          <w:iCs w:val="1"/>
          <w:color w:val="auto"/>
        </w:rPr>
        <w:t xml:space="preserve"> </w:t>
      </w:r>
      <w:r>
        <w:rPr>
          <w:rFonts w:ascii="Arial" w:cs="Arial" w:eastAsia="Arial" w:hAnsi="Arial"/>
          <w:sz w:val="12"/>
          <w:szCs w:val="12"/>
          <w:color w:val="auto"/>
        </w:rPr>
        <w:t>commerce lifecycle and the value chain of parties involved in delivering digital goods and services. Amdocs’ Digital Commerce and Service Delivery offerings include:</w:t>
      </w:r>
    </w:p>
    <w:p>
      <w:pPr>
        <w:ind w:left="1500" w:right="320" w:hanging="207"/>
        <w:spacing w:after="0" w:line="291"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Search and Digital Advertising</w:t>
      </w:r>
      <w:r>
        <w:rPr>
          <w:rFonts w:ascii="Arial" w:cs="Arial" w:eastAsia="Arial" w:hAnsi="Arial"/>
          <w:sz w:val="13"/>
          <w:szCs w:val="13"/>
          <w:color w:val="auto"/>
        </w:rPr>
        <w:t>: manages the entire digital advertising lifecycle, from partner management campaign inception, personalization and management, to</w:t>
      </w:r>
      <w:r>
        <w:rPr>
          <w:rFonts w:ascii="Arial" w:cs="Arial" w:eastAsia="Arial" w:hAnsi="Arial"/>
          <w:sz w:val="13"/>
          <w:szCs w:val="13"/>
          <w:i w:val="1"/>
          <w:iCs w:val="1"/>
          <w:color w:val="auto"/>
        </w:rPr>
        <w:t xml:space="preserve"> </w:t>
      </w:r>
      <w:r>
        <w:rPr>
          <w:rFonts w:ascii="Arial" w:cs="Arial" w:eastAsia="Arial" w:hAnsi="Arial"/>
          <w:sz w:val="13"/>
          <w:szCs w:val="13"/>
          <w:color w:val="auto"/>
        </w:rPr>
        <w:t>reporting and billing.</w:t>
      </w:r>
    </w:p>
    <w:p>
      <w:pPr>
        <w:ind w:left="1500" w:right="240" w:hanging="207"/>
        <w:spacing w:after="0" w:line="291"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Digital Commerce</w:t>
      </w:r>
      <w:r>
        <w:rPr>
          <w:rFonts w:ascii="Arial" w:cs="Arial" w:eastAsia="Arial" w:hAnsi="Arial"/>
          <w:sz w:val="13"/>
          <w:szCs w:val="13"/>
          <w:color w:val="auto"/>
        </w:rPr>
        <w:t>: facilitates a rich, personal shopping experience for digital content, enabling service providers to offer consumers personalized product and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recommendations across all mobile content channels and media types.</w:t>
      </w:r>
    </w:p>
    <w:p>
      <w:pPr>
        <w:ind w:left="1500" w:right="200" w:hanging="207"/>
        <w:spacing w:after="0" w:line="291"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Open Services</w:t>
      </w:r>
      <w:r>
        <w:rPr>
          <w:rFonts w:ascii="Arial" w:cs="Arial" w:eastAsia="Arial" w:hAnsi="Arial"/>
          <w:sz w:val="13"/>
          <w:szCs w:val="13"/>
          <w:color w:val="auto"/>
        </w:rPr>
        <w:t>: provides a collaboration environment in which third-party developers can develop new applications and use service providers’ systems, such as billing</w:t>
      </w:r>
      <w:r>
        <w:rPr>
          <w:rFonts w:ascii="Arial" w:cs="Arial" w:eastAsia="Arial" w:hAnsi="Arial"/>
          <w:sz w:val="13"/>
          <w:szCs w:val="13"/>
          <w:i w:val="1"/>
          <w:iCs w:val="1"/>
          <w:color w:val="auto"/>
        </w:rPr>
        <w:t xml:space="preserve"> </w:t>
      </w:r>
      <w:r>
        <w:rPr>
          <w:rFonts w:ascii="Arial" w:cs="Arial" w:eastAsia="Arial" w:hAnsi="Arial"/>
          <w:sz w:val="13"/>
          <w:szCs w:val="13"/>
          <w:color w:val="auto"/>
        </w:rPr>
        <w:t>and customer case, to support interactions with end-users.</w:t>
      </w:r>
    </w:p>
    <w:p>
      <w:pPr>
        <w:ind w:left="1500" w:right="60" w:hanging="207"/>
        <w:spacing w:after="0" w:line="294"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Service Delivery and Control</w:t>
      </w:r>
      <w:r>
        <w:rPr>
          <w:rFonts w:ascii="Arial" w:cs="Arial" w:eastAsia="Arial" w:hAnsi="Arial"/>
          <w:sz w:val="13"/>
          <w:szCs w:val="13"/>
          <w:color w:val="auto"/>
        </w:rPr>
        <w:t>: comes with dozens of pre-built value-added services, such as ringback tones and missed call notifications, and hundreds of pre-configured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building blocks to quickly bring to market an infinite number of service combinations.</w:t>
      </w:r>
    </w:p>
    <w:p>
      <w:pPr>
        <w:spacing w:after="0" w:line="46" w:lineRule="exact"/>
        <w:rPr>
          <w:rFonts w:ascii="Arial" w:cs="Arial" w:eastAsia="Arial" w:hAnsi="Arial"/>
          <w:sz w:val="13"/>
          <w:szCs w:val="13"/>
          <w:color w:val="auto"/>
        </w:rPr>
      </w:pPr>
    </w:p>
    <w:p>
      <w:pPr>
        <w:ind w:left="1300" w:right="320" w:hanging="208"/>
        <w:spacing w:after="0" w:line="294"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Information Management: </w:t>
      </w:r>
      <w:r>
        <w:rPr>
          <w:rFonts w:ascii="Arial" w:cs="Arial" w:eastAsia="Arial" w:hAnsi="Arial"/>
          <w:sz w:val="13"/>
          <w:szCs w:val="13"/>
          <w:color w:val="auto"/>
        </w:rPr>
        <w:t>Products that provide service providers a single view of each customer they serve and product they offer. Amdocs’ Information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include:</w:t>
      </w:r>
    </w:p>
    <w:p>
      <w:pPr>
        <w:spacing w:after="0" w:line="6" w:lineRule="exact"/>
        <w:rPr>
          <w:rFonts w:ascii="Arial" w:cs="Arial" w:eastAsia="Arial" w:hAnsi="Arial"/>
          <w:sz w:val="13"/>
          <w:szCs w:val="13"/>
          <w:color w:val="auto"/>
        </w:rPr>
      </w:pPr>
    </w:p>
    <w:p>
      <w:pPr>
        <w:ind w:left="1500" w:hanging="207"/>
        <w:spacing w:after="0"/>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Product Management</w:t>
      </w:r>
      <w:r>
        <w:rPr>
          <w:rFonts w:ascii="Arial" w:cs="Arial" w:eastAsia="Arial" w:hAnsi="Arial"/>
          <w:sz w:val="13"/>
          <w:szCs w:val="13"/>
          <w:color w:val="auto"/>
        </w:rPr>
        <w:t>: consolidates product information into a central location, efficiently maintains the information and maximizes the value of product assets.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Customer Data Integration</w:t>
      </w:r>
      <w:r>
        <w:rPr>
          <w:rFonts w:ascii="Arial" w:cs="Arial" w:eastAsia="Arial" w:hAnsi="Arial"/>
          <w:sz w:val="13"/>
          <w:szCs w:val="13"/>
          <w:color w:val="auto"/>
        </w:rPr>
        <w:t>: consolidates customer information from all systems and lines of business across the enterprise.</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Foundation</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We consider the products in our “foundation” layer to be critical components of our portfolio. These products are integrated with all the product areas described above and form the platform upon which our customers can implement, integrate and centralize their operating environments.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foundation products are organized into three broad frameworks, including:</w:t>
      </w:r>
    </w:p>
    <w:p>
      <w:pPr>
        <w:spacing w:after="0" w:line="102"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Application Framework: </w:t>
      </w:r>
      <w:r>
        <w:rPr>
          <w:rFonts w:ascii="Arial" w:cs="Arial" w:eastAsia="Arial" w:hAnsi="Arial"/>
          <w:sz w:val="13"/>
          <w:szCs w:val="13"/>
          <w:color w:val="auto"/>
        </w:rPr>
        <w:t>a common infrastructure designed to ease the integration of our own and third-party applications.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Operational Framework: </w:t>
      </w:r>
      <w:r>
        <w:rPr>
          <w:rFonts w:ascii="Arial" w:cs="Arial" w:eastAsia="Arial" w:hAnsi="Arial"/>
          <w:sz w:val="13"/>
          <w:szCs w:val="13"/>
          <w:color w:val="auto"/>
        </w:rPr>
        <w:t>a unified operational environment with tools, including a common interface, to manage all portfolio applications.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Delivery Framework: </w:t>
      </w:r>
      <w:r>
        <w:rPr>
          <w:rFonts w:ascii="Arial" w:cs="Arial" w:eastAsia="Arial" w:hAnsi="Arial"/>
          <w:sz w:val="13"/>
          <w:szCs w:val="13"/>
          <w:color w:val="auto"/>
        </w:rPr>
        <w:t>a set of common tools, methodologies and web services that enable customers to simplify the way they customize and deploy our products.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High-Growth and Emerging Markets Systems</w:t>
      </w:r>
    </w:p>
    <w:p>
      <w:pPr>
        <w:spacing w:after="0" w:line="102" w:lineRule="exact"/>
        <w:rPr>
          <w:sz w:val="20"/>
          <w:szCs w:val="20"/>
          <w:color w:val="auto"/>
        </w:rPr>
      </w:pPr>
    </w:p>
    <w:p>
      <w:pPr>
        <w:jc w:val="both"/>
        <w:ind w:left="680" w:right="120" w:firstLine="399"/>
        <w:spacing w:after="0" w:line="270" w:lineRule="auto"/>
        <w:rPr>
          <w:sz w:val="20"/>
          <w:szCs w:val="20"/>
          <w:color w:val="auto"/>
        </w:rPr>
      </w:pPr>
      <w:r>
        <w:rPr>
          <w:rFonts w:ascii="Arial" w:cs="Arial" w:eastAsia="Arial" w:hAnsi="Arial"/>
          <w:sz w:val="13"/>
          <w:szCs w:val="13"/>
          <w:color w:val="auto"/>
        </w:rPr>
        <w:t>The Amdocs offering designed for service providers in high-growth emerging markets is called the Amdocs Compact Convergence Solution. This “service-provider-in-a-box” solution provides the software and hardware needed to quickly and cost-effectively bring services to market and support any network or payment type. Its integrated software includes operational- and business-support systems, such as customer care and self-care, real-time charging for converged services, a service delivery platform, and value-added services. Specifically, the Amdocs Compact Convergence Solution includes:</w:t>
      </w:r>
    </w:p>
    <w:p>
      <w:pPr>
        <w:spacing w:after="0" w:line="63" w:lineRule="exact"/>
        <w:rPr>
          <w:sz w:val="20"/>
          <w:szCs w:val="20"/>
          <w:color w:val="auto"/>
        </w:rPr>
      </w:pPr>
    </w:p>
    <w:p>
      <w:pPr>
        <w:ind w:left="1300" w:right="24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Compact Business Platform: </w:t>
      </w:r>
      <w:r>
        <w:rPr>
          <w:rFonts w:ascii="Arial" w:cs="Arial" w:eastAsia="Arial" w:hAnsi="Arial"/>
          <w:sz w:val="13"/>
          <w:szCs w:val="13"/>
          <w:color w:val="auto"/>
        </w:rPr>
        <w:t>Provides out-of the-box essential business functionality, such as customer care, invoicing and provisioning, and the ability to configure and</w:t>
      </w:r>
      <w:r>
        <w:rPr>
          <w:rFonts w:ascii="Arial" w:cs="Arial" w:eastAsia="Arial" w:hAnsi="Arial"/>
          <w:sz w:val="13"/>
          <w:szCs w:val="13"/>
          <w:i w:val="1"/>
          <w:iCs w:val="1"/>
          <w:color w:val="auto"/>
        </w:rPr>
        <w:t xml:space="preserve"> </w:t>
      </w:r>
      <w:r>
        <w:rPr>
          <w:rFonts w:ascii="Arial" w:cs="Arial" w:eastAsia="Arial" w:hAnsi="Arial"/>
          <w:sz w:val="13"/>
          <w:szCs w:val="13"/>
          <w:color w:val="auto"/>
        </w:rPr>
        <w:t>apply new business processes as needed.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Compact Charging Platform: </w:t>
      </w:r>
      <w:r>
        <w:rPr>
          <w:rFonts w:ascii="Arial" w:cs="Arial" w:eastAsia="Arial" w:hAnsi="Arial"/>
          <w:sz w:val="12"/>
          <w:szCs w:val="12"/>
          <w:color w:val="auto"/>
        </w:rPr>
        <w:t>Allows service providers to implement and execute a range of tariff plans and pricing strategies, and to bill customers for service usage.</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Service Platform: </w:t>
      </w:r>
      <w:r>
        <w:rPr>
          <w:rFonts w:ascii="Arial" w:cs="Arial" w:eastAsia="Arial" w:hAnsi="Arial"/>
          <w:sz w:val="12"/>
          <w:szCs w:val="12"/>
          <w:color w:val="auto"/>
        </w:rPr>
        <w:t>Provides value-added services out of the box, and enables service providers to adjust services or create new ones using its service creation capabilities.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Directory Systems</w:t>
      </w:r>
    </w:p>
    <w:p>
      <w:pPr>
        <w:spacing w:after="0" w:line="102"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The directory systems product offering is comprised of the Integrated Advertising Management Framework, the Amdocs solution for Internet Yellow Pages (IYP) and a set of products enabling multimedia advertising via IP television (IPTV), mobile telephone and the Internet. These products enable local directory publishers to become the “destination of choice” for consumers, advertisers and distribution partners. The Directory Systems offerings include:</w:t>
      </w:r>
    </w:p>
    <w:p>
      <w:pPr>
        <w:spacing w:after="0" w:line="59" w:lineRule="exact"/>
        <w:rPr>
          <w:sz w:val="20"/>
          <w:szCs w:val="20"/>
          <w:color w:val="auto"/>
        </w:rPr>
      </w:pPr>
    </w:p>
    <w:p>
      <w:pPr>
        <w:ind w:left="1300" w:right="360" w:hanging="208"/>
        <w:spacing w:after="0" w:line="276"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Integrated Advertising Management: </w:t>
      </w:r>
      <w:r>
        <w:rPr>
          <w:rFonts w:ascii="Arial" w:cs="Arial" w:eastAsia="Arial" w:hAnsi="Arial"/>
          <w:sz w:val="13"/>
          <w:szCs w:val="13"/>
          <w:color w:val="auto"/>
        </w:rPr>
        <w:t>Comprised of pre-integrated and modular applications that support traditional yellow pages and white pages directory sales and</w:t>
      </w:r>
      <w:r>
        <w:rPr>
          <w:rFonts w:ascii="Arial" w:cs="Arial" w:eastAsia="Arial" w:hAnsi="Arial"/>
          <w:sz w:val="13"/>
          <w:szCs w:val="13"/>
          <w:i w:val="1"/>
          <w:iCs w:val="1"/>
          <w:color w:val="auto"/>
        </w:rPr>
        <w:t xml:space="preserve"> </w:t>
      </w:r>
      <w:r>
        <w:rPr>
          <w:rFonts w:ascii="Arial" w:cs="Arial" w:eastAsia="Arial" w:hAnsi="Arial"/>
          <w:sz w:val="13"/>
          <w:szCs w:val="13"/>
          <w:color w:val="auto"/>
        </w:rPr>
        <w:t>publishing operations as well as interactive advertising products, such as advertisements, directories and catalogs delivered across multiple digital media, including the Internet and mobile devices. The Integrated Advertising Management framework consists of the following key functional areas:</w:t>
      </w:r>
    </w:p>
    <w:p>
      <w:pPr>
        <w:spacing w:after="0" w:line="58" w:lineRule="exact"/>
        <w:rPr>
          <w:rFonts w:ascii="Arial" w:cs="Arial" w:eastAsia="Arial" w:hAnsi="Arial"/>
          <w:sz w:val="13"/>
          <w:szCs w:val="13"/>
          <w:color w:val="auto"/>
        </w:rPr>
      </w:pPr>
    </w:p>
    <w:p>
      <w:pPr>
        <w:ind w:left="1500" w:right="8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Target/Market </w:t>
      </w:r>
      <w:r>
        <w:rPr>
          <w:rFonts w:ascii="Arial" w:cs="Arial" w:eastAsia="Arial" w:hAnsi="Arial"/>
          <w:sz w:val="13"/>
          <w:szCs w:val="13"/>
          <w:color w:val="auto"/>
        </w:rPr>
        <w:t>— Supports all marketing functions from product design, rollout and offer development, to lead management and support for multiple advertiser segment</w:t>
      </w:r>
      <w:r>
        <w:rPr>
          <w:rFonts w:ascii="Arial" w:cs="Arial" w:eastAsia="Arial" w:hAnsi="Arial"/>
          <w:sz w:val="13"/>
          <w:szCs w:val="13"/>
          <w:i w:val="1"/>
          <w:iCs w:val="1"/>
          <w:color w:val="auto"/>
        </w:rPr>
        <w:t xml:space="preserve"> </w:t>
      </w:r>
      <w:r>
        <w:rPr>
          <w:rFonts w:ascii="Arial" w:cs="Arial" w:eastAsia="Arial" w:hAnsi="Arial"/>
          <w:sz w:val="13"/>
          <w:szCs w:val="13"/>
          <w:color w:val="auto"/>
        </w:rPr>
        <w:t>definitions.</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Sales and Ordering </w:t>
      </w:r>
      <w:r>
        <w:rPr>
          <w:rFonts w:ascii="Arial" w:cs="Arial" w:eastAsia="Arial" w:hAnsi="Arial"/>
          <w:sz w:val="13"/>
          <w:szCs w:val="13"/>
          <w:color w:val="auto"/>
        </w:rPr>
        <w:t>— Supports the definition of flexible advertising sales campaigns and the management of purchased orders.</w:t>
      </w:r>
    </w:p>
    <w:p>
      <w:pPr>
        <w:spacing w:after="0" w:line="92" w:lineRule="exact"/>
        <w:rPr>
          <w:rFonts w:ascii="Arial" w:cs="Arial" w:eastAsia="Arial" w:hAnsi="Arial"/>
          <w:sz w:val="13"/>
          <w:szCs w:val="13"/>
          <w:color w:val="auto"/>
        </w:rPr>
      </w:pPr>
    </w:p>
    <w:p>
      <w:pPr>
        <w:ind w:left="1500" w:right="10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Deliver </w:t>
      </w:r>
      <w:r>
        <w:rPr>
          <w:rFonts w:ascii="Arial" w:cs="Arial" w:eastAsia="Arial" w:hAnsi="Arial"/>
          <w:sz w:val="13"/>
          <w:szCs w:val="13"/>
          <w:color w:val="auto"/>
        </w:rPr>
        <w:t>— Supports production of advertising products across multiple media; the design is intended to allow content to be collected, verified, managed and maintained</w:t>
      </w:r>
      <w:r>
        <w:rPr>
          <w:rFonts w:ascii="Arial" w:cs="Arial" w:eastAsia="Arial" w:hAnsi="Arial"/>
          <w:sz w:val="13"/>
          <w:szCs w:val="13"/>
          <w:i w:val="1"/>
          <w:iCs w:val="1"/>
          <w:color w:val="auto"/>
        </w:rPr>
        <w:t xml:space="preserve"> </w:t>
      </w:r>
      <w:r>
        <w:rPr>
          <w:rFonts w:ascii="Arial" w:cs="Arial" w:eastAsia="Arial" w:hAnsi="Arial"/>
          <w:sz w:val="13"/>
          <w:szCs w:val="13"/>
          <w:color w:val="auto"/>
        </w:rPr>
        <w:t>using a virtual repository consisting of multiple content types from multiple sources.</w:t>
      </w:r>
    </w:p>
    <w:p>
      <w:pPr>
        <w:spacing w:after="0" w:line="36" w:lineRule="exact"/>
        <w:rPr>
          <w:rFonts w:ascii="Arial" w:cs="Arial" w:eastAsia="Arial" w:hAnsi="Arial"/>
          <w:sz w:val="13"/>
          <w:szCs w:val="13"/>
          <w:color w:val="auto"/>
        </w:rPr>
      </w:pPr>
    </w:p>
    <w:p>
      <w:pPr>
        <w:ind w:left="1500" w:hanging="207"/>
        <w:spacing w:after="0" w:line="276"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Syndication Partner Management (SPM) </w:t>
      </w:r>
      <w:r>
        <w:rPr>
          <w:rFonts w:ascii="Arial" w:cs="Arial" w:eastAsia="Arial" w:hAnsi="Arial"/>
          <w:sz w:val="13"/>
          <w:szCs w:val="13"/>
          <w:color w:val="auto"/>
        </w:rPr>
        <w:t>— Enables publishers to manage complex relationships with search and content syndication partners and affiliates. SPM defines</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revenue-sharing models in partner contracts, and automatically rates and generates payments for events accordingly. SPM also includes functionality for reporting and auditing partner activities.</w:t>
      </w:r>
    </w:p>
    <w:p>
      <w:pPr>
        <w:spacing w:after="0" w:line="48" w:lineRule="exact"/>
        <w:rPr>
          <w:rFonts w:ascii="Arial" w:cs="Arial" w:eastAsia="Arial" w:hAnsi="Arial"/>
          <w:sz w:val="13"/>
          <w:szCs w:val="13"/>
          <w:color w:val="auto"/>
        </w:rPr>
      </w:pPr>
    </w:p>
    <w:p>
      <w:pPr>
        <w:ind w:left="1500" w:right="2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Finance </w:t>
      </w:r>
      <w:r>
        <w:rPr>
          <w:rFonts w:ascii="Arial" w:cs="Arial" w:eastAsia="Arial" w:hAnsi="Arial"/>
          <w:sz w:val="13"/>
          <w:szCs w:val="13"/>
          <w:color w:val="auto"/>
        </w:rPr>
        <w:t>— Provides a robust mechanism for monetizing simple and complex advertising events. A mediation layer interacts with the network layer to capture events and</w:t>
      </w:r>
      <w:r>
        <w:rPr>
          <w:rFonts w:ascii="Arial" w:cs="Arial" w:eastAsia="Arial" w:hAnsi="Arial"/>
          <w:sz w:val="13"/>
          <w:szCs w:val="13"/>
          <w:i w:val="1"/>
          <w:iCs w:val="1"/>
          <w:color w:val="auto"/>
        </w:rPr>
        <w:t xml:space="preserve"> </w:t>
      </w:r>
      <w:r>
        <w:rPr>
          <w:rFonts w:ascii="Arial" w:cs="Arial" w:eastAsia="Arial" w:hAnsi="Arial"/>
          <w:sz w:val="13"/>
          <w:szCs w:val="13"/>
          <w:color w:val="auto"/>
        </w:rPr>
        <w:t>supports complex rating and billing functionality.</w:t>
      </w:r>
    </w:p>
    <w:p>
      <w:pPr>
        <w:spacing w:after="0" w:line="36" w:lineRule="exact"/>
        <w:rPr>
          <w:rFonts w:ascii="Arial" w:cs="Arial" w:eastAsia="Arial" w:hAnsi="Arial"/>
          <w:sz w:val="13"/>
          <w:szCs w:val="13"/>
          <w:color w:val="auto"/>
        </w:rPr>
      </w:pPr>
    </w:p>
    <w:p>
      <w:pPr>
        <w:ind w:left="1500" w:right="18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Support </w:t>
      </w:r>
      <w:r>
        <w:rPr>
          <w:rFonts w:ascii="Arial" w:cs="Arial" w:eastAsia="Arial" w:hAnsi="Arial"/>
          <w:sz w:val="13"/>
          <w:szCs w:val="13"/>
          <w:color w:val="auto"/>
        </w:rPr>
        <w:t>— Provides support for publishers’ operational activities such as the creation of new orders, billing, managing advertiser account profiles, verifying contracts,</w:t>
      </w:r>
      <w:r>
        <w:rPr>
          <w:rFonts w:ascii="Arial" w:cs="Arial" w:eastAsia="Arial" w:hAnsi="Arial"/>
          <w:sz w:val="13"/>
          <w:szCs w:val="13"/>
          <w:i w:val="1"/>
          <w:iCs w:val="1"/>
          <w:color w:val="auto"/>
        </w:rPr>
        <w:t xml:space="preserve"> </w:t>
      </w:r>
      <w:r>
        <w:rPr>
          <w:rFonts w:ascii="Arial" w:cs="Arial" w:eastAsia="Arial" w:hAnsi="Arial"/>
          <w:sz w:val="13"/>
          <w:szCs w:val="13"/>
          <w:color w:val="auto"/>
        </w:rPr>
        <w:t>and viewing advertiser promotions and campaigns.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Internet Yellow Pages Solution: </w:t>
      </w:r>
      <w:r>
        <w:rPr>
          <w:rFonts w:ascii="Arial" w:cs="Arial" w:eastAsia="Arial" w:hAnsi="Arial"/>
          <w:sz w:val="12"/>
          <w:szCs w:val="12"/>
          <w:color w:val="auto"/>
        </w:rPr>
        <w:t>Includes full support for the Internet Yellow Pages operation under the Web 2.0 paradigm, including the following key functional areas</w:t>
      </w:r>
      <w:r>
        <w:rPr>
          <w:rFonts w:ascii="Arial" w:cs="Arial" w:eastAsia="Arial" w:hAnsi="Arial"/>
          <w:sz w:val="12"/>
          <w:szCs w:val="12"/>
          <w:i w:val="1"/>
          <w:iCs w:val="1"/>
          <w:color w:val="auto"/>
        </w:rPr>
        <w:t>:</w:t>
      </w:r>
    </w:p>
    <w:p>
      <w:pPr>
        <w:spacing w:after="0" w:line="113" w:lineRule="exact"/>
        <w:rPr>
          <w:rFonts w:ascii="Arial" w:cs="Arial" w:eastAsia="Arial" w:hAnsi="Arial"/>
          <w:sz w:val="12"/>
          <w:szCs w:val="12"/>
          <w:color w:val="auto"/>
        </w:rPr>
      </w:pPr>
    </w:p>
    <w:p>
      <w:pPr>
        <w:ind w:left="1500" w:hanging="207"/>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Local Directories — </w:t>
      </w:r>
      <w:r>
        <w:rPr>
          <w:rFonts w:ascii="Arial" w:cs="Arial" w:eastAsia="Arial" w:hAnsi="Arial"/>
          <w:sz w:val="13"/>
          <w:szCs w:val="13"/>
          <w:color w:val="auto"/>
        </w:rPr>
        <w:t>Uses an online local search portal and provides business search capabilities and supports social networking.</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User Manager — </w:t>
      </w:r>
      <w:r>
        <w:rPr>
          <w:rFonts w:ascii="Arial" w:cs="Arial" w:eastAsia="Arial" w:hAnsi="Arial"/>
          <w:sz w:val="13"/>
          <w:szCs w:val="13"/>
          <w:color w:val="auto"/>
        </w:rPr>
        <w:t>Supports the collection and maintenance of users’ profiles and the tracking of users’ site activities.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User Generated Content (UGC) Manager — </w:t>
      </w:r>
      <w:r>
        <w:rPr>
          <w:rFonts w:ascii="Arial" w:cs="Arial" w:eastAsia="Arial" w:hAnsi="Arial"/>
          <w:sz w:val="13"/>
          <w:szCs w:val="13"/>
          <w:color w:val="auto"/>
        </w:rPr>
        <w:t>Supports users’ ability to contribute content to the Internet Yellow Pages 2.0 site repository.</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Local Search — </w:t>
      </w:r>
      <w:r>
        <w:rPr>
          <w:rFonts w:ascii="Arial" w:cs="Arial" w:eastAsia="Arial" w:hAnsi="Arial"/>
          <w:sz w:val="13"/>
          <w:szCs w:val="13"/>
          <w:color w:val="auto"/>
        </w:rPr>
        <w:t>Combines fuzzy logic, run-time expansion and machine learning to provide greater accuracy for online and mobile search applications.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47" w:lineRule="exact"/>
        <w:rPr>
          <w:sz w:val="20"/>
          <w:szCs w:val="20"/>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Hardware: </w:t>
      </w:r>
      <w:r>
        <w:rPr>
          <w:rFonts w:ascii="Arial" w:cs="Arial" w:eastAsia="Arial" w:hAnsi="Arial"/>
          <w:sz w:val="13"/>
          <w:szCs w:val="13"/>
          <w:color w:val="auto"/>
        </w:rPr>
        <w:t>IBM, Hewlett-Packard, Sun Microsystems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Operating Systems: </w:t>
      </w:r>
      <w:r>
        <w:rPr>
          <w:rFonts w:ascii="Arial" w:cs="Arial" w:eastAsia="Arial" w:hAnsi="Arial"/>
          <w:sz w:val="13"/>
          <w:szCs w:val="13"/>
          <w:color w:val="auto"/>
        </w:rPr>
        <w:t>IBM AIX, HP-UX, Solaris, Windows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Database Management Systems: </w:t>
      </w:r>
      <w:r>
        <w:rPr>
          <w:rFonts w:ascii="Arial" w:cs="Arial" w:eastAsia="Arial" w:hAnsi="Arial"/>
          <w:sz w:val="13"/>
          <w:szCs w:val="13"/>
          <w:color w:val="auto"/>
        </w:rPr>
        <w:t>Oracle, SQL Server, IBM UDB</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Middleware: </w:t>
      </w:r>
      <w:r>
        <w:rPr>
          <w:rFonts w:ascii="Arial" w:cs="Arial" w:eastAsia="Arial" w:hAnsi="Arial"/>
          <w:sz w:val="13"/>
          <w:szCs w:val="13"/>
          <w:color w:val="auto"/>
        </w:rPr>
        <w:t>BEA WebLogic, IBM WebSphere</w:t>
      </w:r>
    </w:p>
    <w:p>
      <w:pPr>
        <w:spacing w:after="0" w:line="102" w:lineRule="exact"/>
        <w:rPr>
          <w:sz w:val="20"/>
          <w:szCs w:val="20"/>
          <w:color w:val="auto"/>
        </w:rPr>
      </w:pPr>
    </w:p>
    <w:p>
      <w:pPr>
        <w:jc w:val="both"/>
        <w:ind w:left="680" w:right="260" w:firstLine="399"/>
        <w:spacing w:after="0" w:line="270" w:lineRule="auto"/>
        <w:rPr>
          <w:sz w:val="20"/>
          <w:szCs w:val="20"/>
          <w:color w:val="auto"/>
        </w:rPr>
      </w:pPr>
      <w:r>
        <w:rPr>
          <w:rFonts w:ascii="Arial" w:cs="Arial" w:eastAsia="Arial" w:hAnsi="Arial"/>
          <w:sz w:val="13"/>
          <w:szCs w:val="13"/>
          <w:color w:val="auto"/>
        </w:rPr>
        <w:t>We believe this ability affords our customers the freedom to choose a preferred operating environment and to maximize return on existing infrastructure investments. To help service providers respond more quickly to changes in their markets and lower their integration costs, we employ service-oriented architecture principles in our portfolio design. For example, Amdocs Integration Framework includes a central service repository for defining business services for both Amdocs and external applications allowing our applications to seamlessly integrate with each other and with third party enterprise server bus or legacy applications.</w:t>
      </w:r>
    </w:p>
    <w:p>
      <w:pPr>
        <w:spacing w:after="0" w:line="63"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Our platform-agnostic foundation layer spans our applications and helps us evolve our products towards robust service-oriented architecture (SOA)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 portfolio also includes the following key characteristics:</w:t>
      </w:r>
    </w:p>
    <w:p>
      <w:pPr>
        <w:spacing w:after="0" w:line="102" w:lineRule="exact"/>
        <w:rPr>
          <w:sz w:val="20"/>
          <w:szCs w:val="20"/>
          <w:color w:val="auto"/>
        </w:rPr>
      </w:pPr>
    </w:p>
    <w:p>
      <w:pPr>
        <w:ind w:left="1300" w:right="420" w:hanging="208"/>
        <w:spacing w:after="0" w:line="276"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t>
      </w:r>
      <w:r>
        <w:rPr>
          <w:rFonts w:ascii="Arial" w:cs="Arial" w:eastAsia="Arial" w:hAnsi="Arial"/>
          <w:sz w:val="13"/>
          <w:szCs w:val="13"/>
          <w:color w:val="auto"/>
        </w:rPr>
        <w:t>Our applications are designed to take full advantage of the scalability capabilities of the underlying platform, allowing progressive system expansion,</w:t>
      </w:r>
      <w:r>
        <w:rPr>
          <w:rFonts w:ascii="Arial" w:cs="Arial" w:eastAsia="Arial" w:hAnsi="Arial"/>
          <w:sz w:val="13"/>
          <w:szCs w:val="13"/>
          <w:i w:val="1"/>
          <w:iCs w:val="1"/>
          <w:color w:val="auto"/>
        </w:rPr>
        <w:t xml:space="preserve"> </w:t>
      </w:r>
      <w:r>
        <w:rPr>
          <w:rFonts w:ascii="Arial" w:cs="Arial" w:eastAsia="Arial" w:hAnsi="Arial"/>
          <w:sz w:val="13"/>
          <w:szCs w:val="13"/>
          <w:color w:val="auto"/>
        </w:rPr>
        <w:t>proportional with the customer’s growth in business volumes. Using the same software, our applications can support operations for small, as well as very large service providers.</w:t>
      </w:r>
    </w:p>
    <w:p>
      <w:pPr>
        <w:spacing w:after="0" w:line="48"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Modularity. </w:t>
      </w:r>
      <w:r>
        <w:rPr>
          <w:rFonts w:ascii="Arial" w:cs="Arial" w:eastAsia="Arial" w:hAnsi="Arial"/>
          <w:sz w:val="13"/>
          <w:szCs w:val="13"/>
          <w:color w:val="auto"/>
        </w:rPr>
        <w:t>Our product portfolio is comprised of sets of individual functional application products. Each of our applications can be installed on an individual stand-alone</w:t>
      </w:r>
      <w:r>
        <w:rPr>
          <w:rFonts w:ascii="Arial" w:cs="Arial" w:eastAsia="Arial" w:hAnsi="Arial"/>
          <w:sz w:val="13"/>
          <w:szCs w:val="13"/>
          <w:i w:val="1"/>
          <w:iCs w:val="1"/>
          <w:color w:val="auto"/>
        </w:rPr>
        <w:t xml:space="preserve"> </w:t>
      </w:r>
      <w:r>
        <w:rPr>
          <w:rFonts w:ascii="Arial" w:cs="Arial" w:eastAsia="Arial" w:hAnsi="Arial"/>
          <w:sz w:val="13"/>
          <w:szCs w:val="13"/>
          <w:color w:val="auto"/>
        </w:rPr>
        <w:t>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products, while minimizing future disruptions and the overall cost of system implementation.</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line="276"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Portability. </w:t>
      </w:r>
      <w:r>
        <w:rPr>
          <w:rFonts w:ascii="Arial" w:cs="Arial" w:eastAsia="Arial" w:hAnsi="Arial"/>
          <w:sz w:val="13"/>
          <w:szCs w:val="13"/>
          <w:color w:val="auto"/>
        </w:rPr>
        <w:t>Our applications support diverse hardware and operating systems to ensure that our customers can choose from a variety of vendors, including Hewlett-Packard,</w:t>
      </w:r>
      <w:r>
        <w:rPr>
          <w:rFonts w:ascii="Arial" w:cs="Arial" w:eastAsia="Arial" w:hAnsi="Arial"/>
          <w:sz w:val="13"/>
          <w:szCs w:val="13"/>
          <w:i w:val="1"/>
          <w:iCs w:val="1"/>
          <w:color w:val="auto"/>
        </w:rPr>
        <w:t xml:space="preserve"> </w:t>
      </w:r>
      <w:r>
        <w:rPr>
          <w:rFonts w:ascii="Arial" w:cs="Arial" w:eastAsia="Arial" w:hAnsi="Arial"/>
          <w:sz w:val="13"/>
          <w:szCs w:val="13"/>
          <w:color w:val="auto"/>
        </w:rPr>
        <w:t>IBM and Sun Microsystems. Certain applications can also be deployed on the Windows NT platform. Our applications utilize, where applicable, Java-based design and programming to augment cross-platform portability.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As part of our effort to provide comprehensive offerings, we offer a broad suite of services that are designed to help service providers transform their businesses and deliver an intentional customer experience. Our services methodology incorporates rigorous focus on the people, processes and technology of an organization, and we invite active customer participation at all stages to help prioritize and implement time-critical system solutions that address the customer’s individual needs. We believe that our services methodology helps us to achieve the timeframe, budget and quality objectives we jointly set with customers.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services portfolio includes:</w:t>
      </w:r>
    </w:p>
    <w:p>
      <w:pPr>
        <w:spacing w:after="0" w:line="102" w:lineRule="exact"/>
        <w:rPr>
          <w:sz w:val="20"/>
          <w:szCs w:val="20"/>
          <w:color w:val="auto"/>
        </w:rPr>
      </w:pPr>
    </w:p>
    <w:p>
      <w:pPr>
        <w:ind w:left="1300" w:right="100" w:hanging="208"/>
        <w:spacing w:after="0" w:line="276"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Consulting and Systems Integration Services </w:t>
      </w:r>
      <w:r>
        <w:rPr>
          <w:rFonts w:ascii="Arial" w:cs="Arial" w:eastAsia="Arial" w:hAnsi="Arial"/>
          <w:sz w:val="13"/>
          <w:szCs w:val="13"/>
          <w:color w:val="auto"/>
        </w:rPr>
        <w:t>— These services span the entire consulting universe from assessment and advisory services to optimization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transformation that help lower overall operational costs. We have developed advanced methodologies, industry best-practices and pre-configured tools to deliver consistent results and minimize the service providers’ exposure to risk.</w:t>
      </w:r>
    </w:p>
    <w:p>
      <w:pPr>
        <w:spacing w:after="0" w:line="48"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Managed Services </w:t>
      </w:r>
      <w:r>
        <w:rPr>
          <w:rFonts w:ascii="Arial" w:cs="Arial" w:eastAsia="Arial" w:hAnsi="Arial"/>
          <w:sz w:val="13"/>
          <w:szCs w:val="13"/>
          <w:color w:val="auto"/>
        </w:rPr>
        <w:t>— This set of flexible services offerings is uniquely tailored for the service provider industry to outsource the performance and management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support business functions, operations and infrastructure support. Our services for managed services projects include data center and infrastructure management, application management and ongoing support, systems modernization and consolidation, business process operations support and end-to-end transformational business process outsourcing (BPO).</w:t>
      </w:r>
    </w:p>
    <w:p>
      <w:pPr>
        <w:spacing w:after="0" w:line="52" w:lineRule="exact"/>
        <w:rPr>
          <w:rFonts w:ascii="Arial" w:cs="Arial" w:eastAsia="Arial" w:hAnsi="Arial"/>
          <w:sz w:val="13"/>
          <w:szCs w:val="13"/>
          <w:color w:val="auto"/>
        </w:rPr>
      </w:pPr>
    </w:p>
    <w:p>
      <w:pPr>
        <w:jc w:val="both"/>
        <w:ind w:left="1300" w:right="120" w:hanging="208"/>
        <w:spacing w:after="0" w:line="276"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Delivery Services </w:t>
      </w:r>
      <w:r>
        <w:rPr>
          <w:rFonts w:ascii="Arial" w:cs="Arial" w:eastAsia="Arial" w:hAnsi="Arial"/>
          <w:sz w:val="13"/>
          <w:szCs w:val="13"/>
          <w:color w:val="auto"/>
        </w:rPr>
        <w:t>— Uses best-in-class delivery methodologies (e.g. project management governance, solution architecture and quality assurance), best practices,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processes and testing tools for optimal delivery. Our delivery services are designed to maximize the value of our products and provide service providers with cost-effective business transformation and reduce their exposure to risk.</w:t>
      </w:r>
    </w:p>
    <w:p>
      <w:pPr>
        <w:spacing w:after="0" w:line="48" w:lineRule="exact"/>
        <w:rPr>
          <w:rFonts w:ascii="Arial" w:cs="Arial" w:eastAsia="Arial" w:hAnsi="Arial"/>
          <w:sz w:val="13"/>
          <w:szCs w:val="13"/>
          <w:color w:val="auto"/>
        </w:rPr>
      </w:pPr>
    </w:p>
    <w:p>
      <w:pPr>
        <w:ind w:left="1300" w:right="380" w:hanging="208"/>
        <w:spacing w:after="0" w:line="294"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Product Support Services </w:t>
      </w:r>
      <w:r>
        <w:rPr>
          <w:rFonts w:ascii="Arial" w:cs="Arial" w:eastAsia="Arial" w:hAnsi="Arial"/>
          <w:sz w:val="13"/>
          <w:szCs w:val="13"/>
          <w:color w:val="auto"/>
        </w:rPr>
        <w:t>— Support packages designed to maximize our customers’ business performance, strengthen their competitive position and ensure ongoing,</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operations over the long-term.</w:t>
      </w:r>
    </w:p>
    <w:p>
      <w:pPr>
        <w:spacing w:after="0" w:line="47"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The extent of services provided varies from customer to customer. Our services engagements can range in size and scope from deploying single point solutions to orchestrating large-scale transformation projects. We have invested considerable research and development efforts in upgrading our applications suite to address this market requirement and to meet each customer’s unique needs.</w:t>
      </w:r>
    </w:p>
    <w:p>
      <w:pPr>
        <w:spacing w:after="0" w:line="59"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Depending on the customer’s needs, system implementation and integration activities often are conducted jointly by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are able to provide full system implementation and integration services.</w:t>
      </w:r>
    </w:p>
    <w:p>
      <w:pPr>
        <w:spacing w:after="0" w:line="49"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In recent years, we have established long-term maintenance and support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contracts with a number of our customers. These contracts have generally involved an expansion in the scope of support provided, while also providing us with recurring revenue.</w:t>
      </w:r>
    </w:p>
    <w:p>
      <w:pPr>
        <w:spacing w:after="0" w:line="102"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Our business is conducted on a global basis. We maintain development facilities in China, Cyprus, India, Ireland, Israel and the United States, operate a support center in Brazil and have operations in North America, Europe, Latin America and the Asia-Pacific region.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2" w:lineRule="exact"/>
        <w:rPr>
          <w:sz w:val="20"/>
          <w:szCs w:val="20"/>
          <w:color w:val="auto"/>
        </w:rPr>
      </w:pPr>
    </w:p>
    <w:p>
      <w:pPr>
        <w:ind w:left="680" w:right="960" w:firstLine="399"/>
        <w:spacing w:after="0" w:line="270" w:lineRule="auto"/>
        <w:rPr>
          <w:sz w:val="20"/>
          <w:szCs w:val="20"/>
          <w:color w:val="auto"/>
        </w:rPr>
      </w:pPr>
      <w:r>
        <w:rPr>
          <w:rFonts w:ascii="Arial" w:cs="Arial" w:eastAsia="Arial" w:hAnsi="Arial"/>
          <w:sz w:val="13"/>
          <w:szCs w:val="13"/>
          <w:color w:val="auto"/>
        </w:rPr>
        <w:t>Our sales and marketing activities are primarily directed at major communications, media and entertainment companies. As a result of the strategic importance of our customer experience systems to the operations of these companies,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the United Kingdom and several other countries.</w:t>
      </w:r>
    </w:p>
    <w:p>
      <w:pPr>
        <w:spacing w:after="0" w:line="63"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Our sales activities are supported by marketing efforts and increasing cooperation with strategic partners. We reorganized our marketing function in fiscal 2008 to better align it with our sales functions. We also created a new Alliances group in fiscal 2008 to provide a more formal structure for, and to support, our activities with partner companies, such as IBM, Alcatel-Lucent, Hewlett-Packard and others.</w:t>
      </w:r>
    </w:p>
    <w:p>
      <w:pPr>
        <w:spacing w:after="0" w:line="59" w:lineRule="exact"/>
        <w:rPr>
          <w:sz w:val="20"/>
          <w:szCs w:val="20"/>
          <w:color w:val="auto"/>
        </w:rPr>
      </w:pPr>
    </w:p>
    <w:p>
      <w:pPr>
        <w:ind w:left="680" w:right="1220" w:firstLine="399"/>
        <w:spacing w:after="0" w:line="276" w:lineRule="auto"/>
        <w:rPr>
          <w:sz w:val="20"/>
          <w:szCs w:val="20"/>
          <w:color w:val="auto"/>
        </w:rPr>
      </w:pPr>
      <w:r>
        <w:rPr>
          <w:rFonts w:ascii="Arial" w:cs="Arial" w:eastAsia="Arial" w:hAnsi="Arial"/>
          <w:sz w:val="13"/>
          <w:szCs w:val="13"/>
          <w:color w:val="auto"/>
        </w:rPr>
        <w:t>We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102" w:lineRule="exact"/>
        <w:rPr>
          <w:sz w:val="20"/>
          <w:szCs w:val="20"/>
          <w:color w:val="auto"/>
        </w:rPr>
      </w:pPr>
    </w:p>
    <w:p>
      <w:pPr>
        <w:ind w:left="680" w:right="880" w:firstLine="399"/>
        <w:spacing w:after="0" w:line="267" w:lineRule="auto"/>
        <w:rPr>
          <w:sz w:val="20"/>
          <w:szCs w:val="20"/>
          <w:color w:val="auto"/>
        </w:rPr>
      </w:pPr>
      <w:r>
        <w:rPr>
          <w:rFonts w:ascii="Arial" w:cs="Arial" w:eastAsia="Arial" w:hAnsi="Arial"/>
          <w:sz w:val="13"/>
          <w:szCs w:val="13"/>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 forefront of developments in the communication, media and entertainment industry and that our product offerings continue to address the market’s most sophisticated needs. We have an international orientation. The broad base of our customers is in North America and Europe, however, with our expanded in emerging markets, we also have customers in geographies as diverse as China, India and the Commonwealth of Independent States.</w:t>
      </w:r>
    </w:p>
    <w:p>
      <w:pPr>
        <w:spacing w:after="0" w:line="65" w:lineRule="exact"/>
        <w:rPr>
          <w:sz w:val="20"/>
          <w:szCs w:val="20"/>
          <w:color w:val="auto"/>
        </w:rPr>
      </w:pPr>
    </w:p>
    <w:p>
      <w:pPr>
        <w:ind w:left="680" w:right="1000" w:firstLine="399"/>
        <w:spacing w:after="0" w:line="294" w:lineRule="auto"/>
        <w:rPr>
          <w:sz w:val="20"/>
          <w:szCs w:val="20"/>
          <w:color w:val="auto"/>
        </w:rPr>
      </w:pPr>
      <w:r>
        <w:rPr>
          <w:rFonts w:ascii="Arial" w:cs="Arial" w:eastAsia="Arial" w:hAnsi="Arial"/>
          <w:sz w:val="13"/>
          <w:szCs w:val="13"/>
          <w:color w:val="auto"/>
        </w:rPr>
        <w:t>Our customers include global communications leaders and leading network operators and service providers, as well as directory publishers in the United States and around the world. Our customers include: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America Movil</w:t>
            </w:r>
          </w:p>
        </w:tc>
        <w:tc>
          <w:tcPr>
            <w:tcW w:w="7820" w:type="dxa"/>
            <w:vAlign w:val="bottom"/>
          </w:tcPr>
          <w:p>
            <w:pPr>
              <w:ind w:left="2240"/>
              <w:spacing w:after="0"/>
              <w:rPr>
                <w:sz w:val="20"/>
                <w:szCs w:val="20"/>
                <w:color w:val="auto"/>
              </w:rPr>
            </w:pPr>
            <w:r>
              <w:rPr>
                <w:rFonts w:ascii="Arial" w:cs="Arial" w:eastAsia="Arial" w:hAnsi="Arial"/>
                <w:sz w:val="13"/>
                <w:szCs w:val="13"/>
                <w:color w:val="auto"/>
              </w:rPr>
              <w:t>Seat Pagine Gialle S.p.A.</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AT&amp;T</w:t>
            </w:r>
          </w:p>
        </w:tc>
        <w:tc>
          <w:tcPr>
            <w:tcW w:w="7820" w:type="dxa"/>
            <w:vAlign w:val="bottom"/>
          </w:tcPr>
          <w:p>
            <w:pPr>
              <w:ind w:left="2240"/>
              <w:spacing w:after="0"/>
              <w:rPr>
                <w:sz w:val="20"/>
                <w:szCs w:val="20"/>
                <w:color w:val="auto"/>
              </w:rPr>
            </w:pPr>
            <w:r>
              <w:rPr>
                <w:rFonts w:ascii="Arial" w:cs="Arial" w:eastAsia="Arial" w:hAnsi="Arial"/>
                <w:sz w:val="13"/>
                <w:szCs w:val="13"/>
                <w:color w:val="auto"/>
              </w:rPr>
              <w:t>Sprint Nextel</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Bakcell</w:t>
            </w:r>
          </w:p>
        </w:tc>
        <w:tc>
          <w:tcPr>
            <w:tcW w:w="7820" w:type="dxa"/>
            <w:vAlign w:val="bottom"/>
          </w:tcPr>
          <w:p>
            <w:pPr>
              <w:ind w:left="2240"/>
              <w:spacing w:after="0"/>
              <w:rPr>
                <w:sz w:val="20"/>
                <w:szCs w:val="20"/>
                <w:color w:val="auto"/>
              </w:rPr>
            </w:pPr>
            <w:r>
              <w:rPr>
                <w:rFonts w:ascii="Arial" w:cs="Arial" w:eastAsia="Arial" w:hAnsi="Arial"/>
                <w:sz w:val="13"/>
                <w:szCs w:val="13"/>
                <w:color w:val="auto"/>
              </w:rPr>
              <w:t>Sunrise</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Bell Canada</w:t>
            </w:r>
          </w:p>
        </w:tc>
        <w:tc>
          <w:tcPr>
            <w:tcW w:w="7820" w:type="dxa"/>
            <w:vAlign w:val="bottom"/>
          </w:tcPr>
          <w:p>
            <w:pPr>
              <w:ind w:left="2240"/>
              <w:spacing w:after="0"/>
              <w:rPr>
                <w:sz w:val="20"/>
                <w:szCs w:val="20"/>
                <w:color w:val="auto"/>
              </w:rPr>
            </w:pPr>
            <w:r>
              <w:rPr>
                <w:rFonts w:ascii="Arial" w:cs="Arial" w:eastAsia="Arial" w:hAnsi="Arial"/>
                <w:sz w:val="13"/>
                <w:szCs w:val="13"/>
                <w:color w:val="auto"/>
              </w:rPr>
              <w:t>Svyazinvest</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BT</w:t>
            </w:r>
          </w:p>
        </w:tc>
        <w:tc>
          <w:tcPr>
            <w:tcW w:w="7820" w:type="dxa"/>
            <w:vAlign w:val="bottom"/>
          </w:tcPr>
          <w:p>
            <w:pPr>
              <w:ind w:left="2240"/>
              <w:spacing w:after="0"/>
              <w:rPr>
                <w:sz w:val="20"/>
                <w:szCs w:val="20"/>
                <w:color w:val="auto"/>
              </w:rPr>
            </w:pPr>
            <w:r>
              <w:rPr>
                <w:rFonts w:ascii="Arial" w:cs="Arial" w:eastAsia="Arial" w:hAnsi="Arial"/>
                <w:sz w:val="13"/>
                <w:szCs w:val="13"/>
                <w:color w:val="auto"/>
              </w:rPr>
              <w:t>Telefonica de Espana</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Cablevision</w:t>
            </w:r>
          </w:p>
        </w:tc>
        <w:tc>
          <w:tcPr>
            <w:tcW w:w="7820" w:type="dxa"/>
            <w:vAlign w:val="bottom"/>
          </w:tcPr>
          <w:p>
            <w:pPr>
              <w:ind w:left="2240"/>
              <w:spacing w:after="0"/>
              <w:rPr>
                <w:sz w:val="20"/>
                <w:szCs w:val="20"/>
                <w:color w:val="auto"/>
              </w:rPr>
            </w:pPr>
            <w:r>
              <w:rPr>
                <w:rFonts w:ascii="Arial" w:cs="Arial" w:eastAsia="Arial" w:hAnsi="Arial"/>
                <w:sz w:val="13"/>
                <w:szCs w:val="13"/>
                <w:color w:val="auto"/>
              </w:rPr>
              <w:t>Telkom South Africa</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China Mobile</w:t>
            </w:r>
          </w:p>
        </w:tc>
        <w:tc>
          <w:tcPr>
            <w:tcW w:w="7820" w:type="dxa"/>
            <w:vAlign w:val="bottom"/>
          </w:tcPr>
          <w:p>
            <w:pPr>
              <w:ind w:left="2240"/>
              <w:spacing w:after="0"/>
              <w:rPr>
                <w:sz w:val="20"/>
                <w:szCs w:val="20"/>
                <w:color w:val="auto"/>
              </w:rPr>
            </w:pPr>
            <w:r>
              <w:rPr>
                <w:rFonts w:ascii="Arial" w:cs="Arial" w:eastAsia="Arial" w:hAnsi="Arial"/>
                <w:sz w:val="13"/>
                <w:szCs w:val="13"/>
                <w:color w:val="auto"/>
              </w:rPr>
              <w:t>Telstra</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Comcast</w:t>
            </w:r>
          </w:p>
        </w:tc>
        <w:tc>
          <w:tcPr>
            <w:tcW w:w="7820" w:type="dxa"/>
            <w:vAlign w:val="bottom"/>
          </w:tcPr>
          <w:p>
            <w:pPr>
              <w:ind w:left="2240"/>
              <w:spacing w:after="0"/>
              <w:rPr>
                <w:sz w:val="20"/>
                <w:szCs w:val="20"/>
                <w:color w:val="auto"/>
              </w:rPr>
            </w:pPr>
            <w:r>
              <w:rPr>
                <w:rFonts w:ascii="Arial" w:cs="Arial" w:eastAsia="Arial" w:hAnsi="Arial"/>
                <w:sz w:val="13"/>
                <w:szCs w:val="13"/>
                <w:color w:val="auto"/>
              </w:rPr>
              <w:t>TELUS</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Deutsche Telekom</w:t>
            </w:r>
          </w:p>
        </w:tc>
        <w:tc>
          <w:tcPr>
            <w:tcW w:w="7820" w:type="dxa"/>
            <w:vAlign w:val="bottom"/>
          </w:tcPr>
          <w:p>
            <w:pPr>
              <w:ind w:left="2240"/>
              <w:spacing w:after="0"/>
              <w:rPr>
                <w:sz w:val="20"/>
                <w:szCs w:val="20"/>
                <w:color w:val="auto"/>
              </w:rPr>
            </w:pPr>
            <w:r>
              <w:rPr>
                <w:rFonts w:ascii="Arial" w:cs="Arial" w:eastAsia="Arial" w:hAnsi="Arial"/>
                <w:sz w:val="13"/>
                <w:szCs w:val="13"/>
                <w:color w:val="auto"/>
              </w:rPr>
              <w:t>T-Mobile</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DIRECTV</w:t>
            </w:r>
          </w:p>
        </w:tc>
        <w:tc>
          <w:tcPr>
            <w:tcW w:w="7820" w:type="dxa"/>
            <w:vAlign w:val="bottom"/>
          </w:tcPr>
          <w:p>
            <w:pPr>
              <w:ind w:left="2240"/>
              <w:spacing w:after="0"/>
              <w:rPr>
                <w:sz w:val="20"/>
                <w:szCs w:val="20"/>
                <w:color w:val="auto"/>
              </w:rPr>
            </w:pPr>
            <w:r>
              <w:rPr>
                <w:rFonts w:ascii="Arial" w:cs="Arial" w:eastAsia="Arial" w:hAnsi="Arial"/>
                <w:sz w:val="13"/>
                <w:szCs w:val="13"/>
                <w:color w:val="auto"/>
              </w:rPr>
              <w:t>TRUE Corporation</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Elisa</w:t>
            </w:r>
          </w:p>
        </w:tc>
        <w:tc>
          <w:tcPr>
            <w:tcW w:w="7820" w:type="dxa"/>
            <w:vAlign w:val="bottom"/>
          </w:tcPr>
          <w:p>
            <w:pPr>
              <w:ind w:left="2240"/>
              <w:spacing w:after="0"/>
              <w:rPr>
                <w:sz w:val="20"/>
                <w:szCs w:val="20"/>
                <w:color w:val="auto"/>
              </w:rPr>
            </w:pPr>
            <w:r>
              <w:rPr>
                <w:rFonts w:ascii="Arial" w:cs="Arial" w:eastAsia="Arial" w:hAnsi="Arial"/>
                <w:sz w:val="13"/>
                <w:szCs w:val="13"/>
                <w:color w:val="auto"/>
              </w:rPr>
              <w:t>Verizon Communications</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Excelcom</w:t>
            </w:r>
          </w:p>
        </w:tc>
        <w:tc>
          <w:tcPr>
            <w:tcW w:w="7820" w:type="dxa"/>
            <w:vAlign w:val="bottom"/>
          </w:tcPr>
          <w:p>
            <w:pPr>
              <w:ind w:left="2240"/>
              <w:spacing w:after="0"/>
              <w:rPr>
                <w:sz w:val="20"/>
                <w:szCs w:val="20"/>
                <w:color w:val="auto"/>
              </w:rPr>
            </w:pPr>
            <w:r>
              <w:rPr>
                <w:rFonts w:ascii="Arial" w:cs="Arial" w:eastAsia="Arial" w:hAnsi="Arial"/>
                <w:sz w:val="13"/>
                <w:szCs w:val="13"/>
                <w:color w:val="auto"/>
              </w:rPr>
              <w:t>VimpelCom</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Kazakhtelecom</w:t>
            </w:r>
          </w:p>
        </w:tc>
        <w:tc>
          <w:tcPr>
            <w:tcW w:w="7820" w:type="dxa"/>
            <w:vAlign w:val="bottom"/>
          </w:tcPr>
          <w:p>
            <w:pPr>
              <w:ind w:left="2240"/>
              <w:spacing w:after="0"/>
              <w:rPr>
                <w:sz w:val="20"/>
                <w:szCs w:val="20"/>
                <w:color w:val="auto"/>
              </w:rPr>
            </w:pPr>
            <w:r>
              <w:rPr>
                <w:rFonts w:ascii="Arial" w:cs="Arial" w:eastAsia="Arial" w:hAnsi="Arial"/>
                <w:sz w:val="13"/>
                <w:szCs w:val="13"/>
                <w:color w:val="auto"/>
              </w:rPr>
              <w:t>Virgin Media</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KPN Mobile</w:t>
            </w:r>
          </w:p>
        </w:tc>
        <w:tc>
          <w:tcPr>
            <w:tcW w:w="7820" w:type="dxa"/>
            <w:vAlign w:val="bottom"/>
          </w:tcPr>
          <w:p>
            <w:pPr>
              <w:ind w:left="2240"/>
              <w:spacing w:after="0"/>
              <w:rPr>
                <w:sz w:val="20"/>
                <w:szCs w:val="20"/>
                <w:color w:val="auto"/>
              </w:rPr>
            </w:pPr>
            <w:r>
              <w:rPr>
                <w:rFonts w:ascii="Arial" w:cs="Arial" w:eastAsia="Arial" w:hAnsi="Arial"/>
                <w:sz w:val="13"/>
                <w:szCs w:val="13"/>
                <w:color w:val="auto"/>
              </w:rPr>
              <w:t>Vodafone D2</w:t>
            </w:r>
          </w:p>
        </w:tc>
      </w:tr>
      <w:tr>
        <w:trPr>
          <w:trHeight w:val="161"/>
        </w:trPr>
        <w:tc>
          <w:tcPr>
            <w:tcW w:w="3640" w:type="dxa"/>
            <w:vAlign w:val="bottom"/>
          </w:tcPr>
          <w:p>
            <w:pPr>
              <w:ind w:left="680"/>
              <w:spacing w:after="0"/>
              <w:rPr>
                <w:sz w:val="20"/>
                <w:szCs w:val="20"/>
                <w:color w:val="auto"/>
              </w:rPr>
            </w:pPr>
            <w:r>
              <w:rPr>
                <w:rFonts w:ascii="Arial" w:cs="Arial" w:eastAsia="Arial" w:hAnsi="Arial"/>
                <w:sz w:val="13"/>
                <w:szCs w:val="13"/>
                <w:color w:val="auto"/>
              </w:rPr>
              <w:t>RH Donnelley</w:t>
            </w:r>
          </w:p>
        </w:tc>
        <w:tc>
          <w:tcPr>
            <w:tcW w:w="7820" w:type="dxa"/>
            <w:vAlign w:val="bottom"/>
          </w:tcPr>
          <w:p>
            <w:pPr>
              <w:ind w:left="2240"/>
              <w:spacing w:after="0"/>
              <w:rPr>
                <w:sz w:val="20"/>
                <w:szCs w:val="20"/>
                <w:color w:val="auto"/>
              </w:rPr>
            </w:pPr>
            <w:r>
              <w:rPr>
                <w:rFonts w:ascii="Arial" w:cs="Arial" w:eastAsia="Arial" w:hAnsi="Arial"/>
                <w:sz w:val="13"/>
                <w:szCs w:val="13"/>
                <w:color w:val="auto"/>
              </w:rPr>
              <w:t>Vodafone Netherlands</w:t>
            </w:r>
          </w:p>
        </w:tc>
      </w:tr>
      <w:tr>
        <w:trPr>
          <w:trHeight w:val="172"/>
        </w:trPr>
        <w:tc>
          <w:tcPr>
            <w:tcW w:w="3640" w:type="dxa"/>
            <w:vAlign w:val="bottom"/>
          </w:tcPr>
          <w:p>
            <w:pPr>
              <w:ind w:left="680"/>
              <w:spacing w:after="0"/>
              <w:rPr>
                <w:sz w:val="20"/>
                <w:szCs w:val="20"/>
                <w:color w:val="auto"/>
              </w:rPr>
            </w:pPr>
            <w:r>
              <w:rPr>
                <w:rFonts w:ascii="Arial" w:cs="Arial" w:eastAsia="Arial" w:hAnsi="Arial"/>
                <w:sz w:val="13"/>
                <w:szCs w:val="13"/>
                <w:color w:val="auto"/>
              </w:rPr>
              <w:t>Rogers</w:t>
            </w:r>
          </w:p>
        </w:tc>
        <w:tc>
          <w:tcPr>
            <w:tcW w:w="7820" w:type="dxa"/>
            <w:vAlign w:val="bottom"/>
          </w:tcPr>
          <w:p>
            <w:pPr>
              <w:ind w:left="2240"/>
              <w:spacing w:after="0"/>
              <w:rPr>
                <w:sz w:val="20"/>
                <w:szCs w:val="20"/>
                <w:color w:val="auto"/>
              </w:rPr>
            </w:pPr>
            <w:r>
              <w:rPr>
                <w:rFonts w:ascii="Arial" w:cs="Arial" w:eastAsia="Arial" w:hAnsi="Arial"/>
                <w:sz w:val="13"/>
                <w:szCs w:val="13"/>
                <w:color w:val="auto"/>
              </w:rPr>
              <w:t>Vodafone UK</w:t>
            </w:r>
          </w:p>
        </w:tc>
      </w:tr>
      <w:tr>
        <w:trPr>
          <w:trHeight w:val="464"/>
        </w:trPr>
        <w:tc>
          <w:tcPr>
            <w:tcW w:w="3640" w:type="dxa"/>
            <w:vAlign w:val="bottom"/>
          </w:tcPr>
          <w:p>
            <w:pPr>
              <w:spacing w:after="0"/>
              <w:rPr>
                <w:sz w:val="24"/>
                <w:szCs w:val="24"/>
                <w:color w:val="auto"/>
              </w:rPr>
            </w:pPr>
          </w:p>
        </w:tc>
        <w:tc>
          <w:tcPr>
            <w:tcW w:w="7820" w:type="dxa"/>
            <w:vAlign w:val="bottom"/>
          </w:tcPr>
          <w:p>
            <w:pPr>
              <w:ind w:left="1960"/>
              <w:spacing w:after="0"/>
              <w:rPr>
                <w:sz w:val="20"/>
                <w:szCs w:val="20"/>
                <w:color w:val="auto"/>
              </w:rPr>
            </w:pPr>
            <w:r>
              <w:rPr>
                <w:rFonts w:ascii="Arial" w:cs="Arial" w:eastAsia="Arial" w:hAnsi="Arial"/>
                <w:sz w:val="13"/>
                <w:szCs w:val="13"/>
                <w:color w:val="auto"/>
              </w:rPr>
              <w:t>24</w:t>
            </w:r>
          </w:p>
        </w:tc>
      </w:tr>
      <w:tr>
        <w:trPr>
          <w:trHeight w:val="167"/>
        </w:trPr>
        <w:tc>
          <w:tcPr>
            <w:tcW w:w="3640" w:type="dxa"/>
            <w:vAlign w:val="bottom"/>
            <w:tcBorders>
              <w:bottom w:val="single" w:sz="8" w:color="808080"/>
            </w:tcBorders>
          </w:tcPr>
          <w:p>
            <w:pPr>
              <w:spacing w:after="0"/>
              <w:rPr>
                <w:sz w:val="14"/>
                <w:szCs w:val="14"/>
                <w:color w:val="auto"/>
              </w:rPr>
            </w:pPr>
          </w:p>
        </w:tc>
        <w:tc>
          <w:tcPr>
            <w:tcW w:w="7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Our business is dependent on a limited number of significant customers, of which AT&amp;T was our largest in fiscal 2008, accounting for 28% of fiscal 2008 revenue. In fiscal 2008, our three largest groups of customers were AT&amp;T, Bell Canada and Sprint Nextel, and certain of their subsidiaries, each of which accounted for more than 10% of our revenue in fiscal 2008. Together, these three customer groups accounted for approximately 51% of our revenue in fiscal 2008. Aggregate revenue derived from the multiple business arrangements we have with our ten largest customer groups accounted for approximately 75% of our revenue in fiscal 2008 and 73% of our revenue in fiscal 2007.</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by geographic area. Revenue is attributed to geographic region based on the location of the customer: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40" w:type="dxa"/>
            <w:vAlign w:val="bottom"/>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1"/>
                <w:szCs w:val="11"/>
                <w:color w:val="auto"/>
              </w:rPr>
            </w:pPr>
          </w:p>
        </w:tc>
      </w:tr>
      <w:tr>
        <w:trPr>
          <w:trHeight w:val="30"/>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North America</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68.7%</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161"/>
        </w:trPr>
        <w:tc>
          <w:tcPr>
            <w:tcW w:w="8040" w:type="dxa"/>
            <w:vAlign w:val="bottom"/>
          </w:tcPr>
          <w:p>
            <w:pPr>
              <w:spacing w:after="0"/>
              <w:rPr>
                <w:sz w:val="20"/>
                <w:szCs w:val="20"/>
                <w:color w:val="auto"/>
              </w:rPr>
            </w:pPr>
            <w:r>
              <w:rPr>
                <w:rFonts w:ascii="Arial" w:cs="Arial" w:eastAsia="Arial" w:hAnsi="Arial"/>
                <w:sz w:val="13"/>
                <w:szCs w:val="13"/>
                <w:color w:val="auto"/>
              </w:rPr>
              <w:t>Europe</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17.3</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21.5</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21.8</w:t>
            </w:r>
          </w:p>
        </w:tc>
      </w:tr>
      <w:tr>
        <w:trPr>
          <w:trHeight w:val="161"/>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14.0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11.9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w:t>
            </w: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102"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The market for customer experience systems and services in the communication, media and entertainment industry continues to become increasingly more competitive. Amdocs’ competitive landscape is comprised of internal IT departments of large communication companies as well as independent competitors that can be categorized as follows:</w:t>
      </w:r>
    </w:p>
    <w:p>
      <w:pPr>
        <w:spacing w:after="0" w:line="24" w:lineRule="exact"/>
        <w:rPr>
          <w:sz w:val="20"/>
          <w:szCs w:val="20"/>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providers of OSS/BSS systems, including Comverse, Convergys, CSG Systems International and Oracle Corporation;</w:t>
      </w:r>
    </w:p>
    <w:p>
      <w:pPr>
        <w:spacing w:after="0" w:line="92" w:lineRule="exact"/>
        <w:rPr>
          <w:rFonts w:ascii="Arial" w:cs="Arial" w:eastAsia="Arial" w:hAnsi="Arial"/>
          <w:sz w:val="13"/>
          <w:szCs w:val="13"/>
          <w:color w:val="auto"/>
        </w:rPr>
      </w:pPr>
    </w:p>
    <w:p>
      <w:pPr>
        <w:ind w:left="1300" w:right="4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system integrators and providers of IT services, such as Accenture, Cognizant, HP, Infosys, IBM Global Services, Satyam Computer Services Ltd, Tata Consultancy Services and Tech Mahindra Ltd (some of whom we also cooperate with in certain opportunities and projects);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network equipment providers such as Motorola and Nokia.</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Systems integrators and many providers of information systems mainly serve other industries, while network equipment providers focus primarily on equipment manufacturing.</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Nevertheless, we expect the competition in our industry to increase from such companies.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able to differentiate ourselves from these competitors by, among other things:</w:t>
      </w:r>
    </w:p>
    <w:p>
      <w:pPr>
        <w:spacing w:after="0" w:line="102" w:lineRule="exact"/>
        <w:rPr>
          <w:sz w:val="20"/>
          <w:szCs w:val="20"/>
          <w:color w:val="auto"/>
        </w:rPr>
      </w:pPr>
    </w:p>
    <w:p>
      <w:pPr>
        <w:ind w:left="1300" w:right="16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applying our 25-plus-year heritage to the development and delivery of products and professional services that enable our customers to achieve service differentiation via an intentional customer experience,</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focusing on service providers and continuing to design and develop solutions targeted specifically to this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innovating and enabling our customers to adopt new business models that will improve their ability to drive new revenues, and compete and win in a changing market,</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providing high-quality, reliable, scalable, integrated, yet modular applications,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offering customers end-to-end accountability from a single vendor.</w:t>
      </w:r>
    </w:p>
    <w:p>
      <w:pPr>
        <w:spacing w:after="0" w:line="10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communications industry market penetration.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There can be no assurance that we will be able to compete successfully with existing or new competitors.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94" w:lineRule="auto"/>
        <w:rPr>
          <w:sz w:val="20"/>
          <w:szCs w:val="20"/>
          <w:color w:val="auto"/>
        </w:rPr>
      </w:pPr>
      <w:r>
        <w:rPr>
          <w:rFonts w:ascii="Arial" w:cs="Arial" w:eastAsia="Arial" w:hAnsi="Arial"/>
          <w:sz w:val="13"/>
          <w:szCs w:val="13"/>
          <w:color w:val="auto"/>
        </w:rPr>
        <w:t>Our failure to adapt to changing market conditions and compete successfully with established or new competitors would have a material adverse effect on our results of operations and financial condition.</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invest significant resources in training, retention and motivation of high quality personnel. Training programs cover areas such as technology, applications, development methodology, project methodology, programming standards, industry background, business aspects and management development.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“Directors, Senior Management and Employees — Employees” for further details regarding our employees and our relationships with them.</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Patents and Licenses</w:t>
      </w:r>
    </w:p>
    <w:p>
      <w:pPr>
        <w:spacing w:after="0" w:line="102"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1"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While we have continued to upgrade our existing systems over the last several years, we have also devoted significant research and development efforts to the integration between our products. As part of these efforts, during fiscal 2007, we invested in Amdocs CES 7.5, the latest major release of our comprehensive portfolio, which we introduced in February 2008. Amdocs CES 7.5 expands on the capabilities of our previous Amdocs 7 release by improving subscriber management through a unified user interface, providing support for seamless service ordering across all channels, offering a single source for all product and subscriber information, and comprehensive support for critical service provider business processes. Amdocs CES 7.5 comprises an enhanced portfolio of modular billing, CRM, self-service, order management, mediation, OSS and content management software products.</w:t>
      </w:r>
    </w:p>
    <w:p>
      <w:pPr>
        <w:spacing w:after="0" w:line="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discussion under “Operating and Financial Review and Prospects — Research and Development, Patents and Licenses.”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Plants and Equipment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Facilities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lease land and buildings for our executive offices, sales, marketing, administrative, development and support centers. We lease an aggregate of approximately</w:t>
      </w:r>
    </w:p>
    <w:p>
      <w:pPr>
        <w:spacing w:after="0" w:line="22"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3,139,000 square feet worldwide, including significant leases in the United States, Israel, Canada, China, Cyprus, India and the United Kingdom. Our aggregate annual lease costs with respect to our properties as of November 30, 2008, including maintenance and other related costs, are approximately $65.7 million. The following table summarizes information with respect to the principal facilities leased by us and our subsidiaries as of November 30, 2008:</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9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Location</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Area</w:t>
            </w:r>
          </w:p>
        </w:tc>
        <w:tc>
          <w:tcPr>
            <w:tcW w:w="0" w:type="dxa"/>
            <w:vAlign w:val="bottom"/>
          </w:tcPr>
          <w:p>
            <w:pPr>
              <w:spacing w:after="0"/>
              <w:rPr>
                <w:sz w:val="1"/>
                <w:szCs w:val="1"/>
                <w:color w:val="auto"/>
              </w:rPr>
            </w:pPr>
          </w:p>
        </w:tc>
      </w:tr>
      <w:tr>
        <w:trPr>
          <w:trHeight w:val="128"/>
        </w:trPr>
        <w:tc>
          <w:tcPr>
            <w:tcW w:w="910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(Sq. Feet)</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90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St. Louis, MO</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91,928</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112,120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Champaign, IL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199,183</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Eldorado Hills, CA(*)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70,008</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Others(*)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835,234</w:t>
            </w:r>
          </w:p>
        </w:tc>
        <w:tc>
          <w:tcPr>
            <w:tcW w:w="0" w:type="dxa"/>
            <w:vAlign w:val="bottom"/>
          </w:tcPr>
          <w:p>
            <w:pPr>
              <w:spacing w:after="0"/>
              <w:rPr>
                <w:sz w:val="1"/>
                <w:szCs w:val="1"/>
                <w:color w:val="auto"/>
              </w:rPr>
            </w:pPr>
          </w:p>
        </w:tc>
      </w:tr>
      <w:tr>
        <w:trPr>
          <w:trHeight w:val="161"/>
        </w:trPr>
        <w:tc>
          <w:tcPr>
            <w:tcW w:w="9100" w:type="dxa"/>
            <w:vAlign w:val="bottom"/>
            <w:gridSpan w:val="2"/>
          </w:tcPr>
          <w:p>
            <w:pPr>
              <w:spacing w:after="0"/>
              <w:rPr>
                <w:sz w:val="20"/>
                <w:szCs w:val="20"/>
                <w:color w:val="auto"/>
              </w:rPr>
            </w:pPr>
            <w:r>
              <w:rPr>
                <w:rFonts w:ascii="Arial" w:cs="Arial" w:eastAsia="Arial" w:hAnsi="Arial"/>
                <w:sz w:val="13"/>
                <w:szCs w:val="13"/>
                <w:color w:val="auto"/>
              </w:rPr>
              <w:t>Israel: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Ra’anana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641,443</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Hod-Hasharon(*)</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236,522</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Haifa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74,609</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Others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157,479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1,110,053</w:t>
            </w:r>
          </w:p>
        </w:tc>
        <w:tc>
          <w:tcPr>
            <w:tcW w:w="0" w:type="dxa"/>
            <w:vAlign w:val="bottom"/>
          </w:tcPr>
          <w:p>
            <w:pPr>
              <w:spacing w:after="0"/>
              <w:rPr>
                <w:sz w:val="1"/>
                <w:szCs w:val="1"/>
                <w:color w:val="auto"/>
              </w:rPr>
            </w:pPr>
          </w:p>
        </w:tc>
      </w:tr>
      <w:tr>
        <w:trPr>
          <w:trHeight w:val="161"/>
        </w:trPr>
        <w:tc>
          <w:tcPr>
            <w:tcW w:w="9100" w:type="dxa"/>
            <w:vAlign w:val="bottom"/>
            <w:gridSpan w:val="2"/>
          </w:tcPr>
          <w:p>
            <w:pPr>
              <w:spacing w:after="0"/>
              <w:rPr>
                <w:sz w:val="20"/>
                <w:szCs w:val="20"/>
                <w:color w:val="auto"/>
              </w:rPr>
            </w:pPr>
            <w:r>
              <w:rPr>
                <w:rFonts w:ascii="Arial" w:cs="Arial" w:eastAsia="Arial" w:hAnsi="Arial"/>
                <w:sz w:val="13"/>
                <w:szCs w:val="13"/>
                <w:color w:val="auto"/>
              </w:rPr>
              <w:t>Canada:</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Toronto(*)</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66,128</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Montreal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57,705</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26,828</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180"/>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150,661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85,587</w:t>
            </w:r>
          </w:p>
        </w:tc>
        <w:tc>
          <w:tcPr>
            <w:tcW w:w="0" w:type="dxa"/>
            <w:vAlign w:val="bottom"/>
          </w:tcPr>
          <w:p>
            <w:pPr>
              <w:spacing w:after="0"/>
              <w:rPr>
                <w:sz w:val="1"/>
                <w:szCs w:val="1"/>
                <w:color w:val="auto"/>
              </w:rPr>
            </w:pPr>
          </w:p>
        </w:tc>
      </w:tr>
      <w:tr>
        <w:trPr>
          <w:trHeight w:val="161"/>
        </w:trPr>
        <w:tc>
          <w:tcPr>
            <w:tcW w:w="9100" w:type="dxa"/>
            <w:vAlign w:val="bottom"/>
            <w:gridSpan w:val="2"/>
          </w:tcPr>
          <w:p>
            <w:pPr>
              <w:spacing w:after="0"/>
              <w:rPr>
                <w:sz w:val="20"/>
                <w:szCs w:val="20"/>
                <w:color w:val="auto"/>
              </w:rPr>
            </w:pPr>
            <w:r>
              <w:rPr>
                <w:rFonts w:ascii="Arial" w:cs="Arial" w:eastAsia="Arial" w:hAnsi="Arial"/>
                <w:sz w:val="13"/>
                <w:szCs w:val="13"/>
                <w:color w:val="auto"/>
              </w:rPr>
              <w:t>Cyprus (Limassol)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103,893</w:t>
            </w:r>
          </w:p>
        </w:tc>
        <w:tc>
          <w:tcPr>
            <w:tcW w:w="0" w:type="dxa"/>
            <w:vAlign w:val="bottom"/>
          </w:tcPr>
          <w:p>
            <w:pPr>
              <w:spacing w:after="0"/>
              <w:rPr>
                <w:sz w:val="1"/>
                <w:szCs w:val="1"/>
                <w:color w:val="auto"/>
              </w:rPr>
            </w:pPr>
          </w:p>
        </w:tc>
      </w:tr>
      <w:tr>
        <w:trPr>
          <w:trHeight w:val="161"/>
        </w:trPr>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India:</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3"/>
                <w:szCs w:val="13"/>
                <w:color w:val="auto"/>
              </w:rPr>
              <w:t>Pune</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442,633</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Delhi</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122,890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tcPr>
          <w:p>
            <w:pPr>
              <w:ind w:left="180"/>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565,523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103,460</w:t>
            </w:r>
          </w:p>
        </w:tc>
        <w:tc>
          <w:tcPr>
            <w:tcW w:w="0" w:type="dxa"/>
            <w:vAlign w:val="bottom"/>
          </w:tcPr>
          <w:p>
            <w:pPr>
              <w:spacing w:after="0"/>
              <w:rPr>
                <w:sz w:val="1"/>
                <w:szCs w:val="1"/>
                <w:color w:val="auto"/>
              </w:rPr>
            </w:pPr>
          </w:p>
        </w:tc>
      </w:tr>
      <w:tr>
        <w:trPr>
          <w:trHeight w:val="172"/>
        </w:trPr>
        <w:tc>
          <w:tcPr>
            <w:tcW w:w="9100" w:type="dxa"/>
            <w:vAlign w:val="bottom"/>
            <w:gridSpan w:val="2"/>
          </w:tcPr>
          <w:p>
            <w:pPr>
              <w:spacing w:after="0"/>
              <w:rPr>
                <w:sz w:val="20"/>
                <w:szCs w:val="20"/>
                <w:color w:val="auto"/>
              </w:rPr>
            </w:pPr>
            <w:r>
              <w:rPr>
                <w:rFonts w:ascii="Arial" w:cs="Arial" w:eastAsia="Arial" w:hAnsi="Arial"/>
                <w:sz w:val="13"/>
                <w:szCs w:val="13"/>
                <w:color w:val="auto"/>
              </w:rPr>
              <w:t>Rest of the world(**)</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185,060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Includes space sublet to third parties.</w:t>
      </w:r>
    </w:p>
    <w:p>
      <w:pPr>
        <w:spacing w:after="0" w:line="52" w:lineRule="exact"/>
        <w:rPr>
          <w:sz w:val="20"/>
          <w:szCs w:val="20"/>
          <w:color w:val="auto"/>
        </w:rPr>
      </w:pPr>
    </w:p>
    <w:p>
      <w:pPr>
        <w:ind w:left="1100" w:right="120" w:hanging="333"/>
        <w:spacing w:after="0" w:line="338" w:lineRule="auto"/>
        <w:tabs>
          <w:tab w:leader="none" w:pos="11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Includes Austria, Australia, Brazil, Czech Republic, Denmark, France, Germany, Greece, Hungary, Indonesia, Ireland, Italy, Japan, Kazakhstan, Korea, Malaysia, Mexico, New Zealand, Poland, Romania, Russia, Singapore, South Africa, Spain, Sweden, Taiwan, Thailand, Turkey, The Netherlands and the United Arab Emirates.</w:t>
      </w:r>
    </w:p>
    <w:p>
      <w:pPr>
        <w:spacing w:after="0" w:line="24"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Our leases expire on various dates between 2009 and 2020, not including various options to extend lease terms.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Equipment</w:t>
      </w:r>
    </w:p>
    <w:p>
      <w:pPr>
        <w:spacing w:after="0" w:line="10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develop our customer experience systems over a system of UNIX, MVS, Linux and Windows 2000/2003 servers owned or leased by us. We use a variety of software products in our development centers, including products by Microsoft, Oracle, Synscsort, CA, Merant, IBM, HP, SUN and BEA. Our data storage is based on equipment from EMC, SUN, NetApp and Hewlett-Packard. Our development servers are connected to approximately 22,150 personal computers owned or leased by us.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Nortel.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distributed development sites that we operate worldwide are also connected by a high speed WAN.</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color w:val="auto"/>
        </w:rPr>
        <w:t>OPERATING AND FINANCIAL REVIEW AND PROSPECTS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this section, we discuss the general financial condition and the results of operations for Amdocs Limited and its subsidiaries, including:</w:t>
      </w:r>
    </w:p>
    <w:p>
      <w:pPr>
        <w:spacing w:after="0" w:line="102" w:lineRule="exact"/>
        <w:rPr>
          <w:sz w:val="20"/>
          <w:szCs w:val="20"/>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factors that affect our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revenue and costs for the fiscal years ended September 30, 2008, 2007 and 2006,</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reasons why specific line items in our consolidated statements of income were different from year to year,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sources of our revenue,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how all of this affects our overall financial condition,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capital expenditures for the fiscal years ended September 30, 2008, 2007 and 2006,</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changes in our business, including those resulting from acquisitions of other businesses,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sources of our cash to pay for future capital expenditures and possible acquisitions.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should read this section in conjunction with our consolidated financial statements and the notes thereto, which follow.</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Business and Trend Information</w:t>
      </w:r>
    </w:p>
    <w:p>
      <w:pPr>
        <w:spacing w:after="0" w:line="10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 1 and Tier 2 service providers in developed markets, we have begun to focus on Tier 3 and 4 providers in these markets, and on providers in emerging markets, such as China, the Commonwealth of Independent States, India and Latin America.</w:t>
      </w:r>
    </w:p>
    <w:p>
      <w:pPr>
        <w:spacing w:after="0" w:line="59"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We develop, implement and manage software and services associated with the business support systems and operational support systems (BSS and OSS) that enable service providers to deliver a better customer experience, by, for example, introducing products quickly, understanding their customers more deeply, processing orders efficiently and solving problems productively. We refer to these systems collectively as customer experience systems because of the crucial impact and increasing importance that these systems have on the service providers’ end-user experience.</w:t>
      </w:r>
    </w:p>
    <w:p>
      <w:pPr>
        <w:spacing w:after="0" w:line="63" w:lineRule="exact"/>
        <w:rPr>
          <w:sz w:val="20"/>
          <w:szCs w:val="20"/>
          <w:color w:val="auto"/>
        </w:rPr>
      </w:pPr>
    </w:p>
    <w:p>
      <w:pPr>
        <w:ind w:left="680" w:right="300" w:firstLine="399"/>
        <w:spacing w:after="0" w:line="338" w:lineRule="auto"/>
        <w:rPr>
          <w:sz w:val="20"/>
          <w:szCs w:val="20"/>
          <w:color w:val="auto"/>
        </w:rPr>
      </w:pPr>
      <w:r>
        <w:rPr>
          <w:rFonts w:ascii="Arial" w:cs="Arial" w:eastAsia="Arial" w:hAnsi="Arial"/>
          <w:sz w:val="12"/>
          <w:szCs w:val="12"/>
          <w:color w:val="auto"/>
        </w:rPr>
        <w:t>We believe the demand for our customer experience systems is driven by the need of service providers to anticipate and respond to market demands. In established markets, service providers are transforming their businesses as they attempt to derive revenue and profit from IP-based digital content and commerce services,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90" w:lineRule="auto"/>
        <w:rPr>
          <w:sz w:val="20"/>
          <w:szCs w:val="20"/>
          <w:color w:val="auto"/>
        </w:rPr>
      </w:pPr>
      <w:r>
        <w:rPr>
          <w:rFonts w:ascii="Arial" w:cs="Arial" w:eastAsia="Arial" w:hAnsi="Arial"/>
          <w:sz w:val="12"/>
          <w:szCs w:val="12"/>
          <w:color w:val="auto"/>
        </w:rPr>
        <w:t>while confronting increased competition from non-traditional competitors, including major Internet companies, handset manufacturers and network equipment providers.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by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software products and services that provide functionality and flexibility to service providers as they — and their markets — grow and change.</w:t>
      </w:r>
    </w:p>
    <w:p>
      <w:pPr>
        <w:spacing w:after="0" w:line="5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part, we have sought to expand both our functionality and geographic markets, through acquisitions. Since 1999, we have completed numerous acquisitions, which, among other things, have expanded our business into customer care and billing solutions for broadband media cable and satellite companies and enhanced our offerings in the OSS market. In fiscal 2006, we acquired Qpass Inc. and Cramer Systems Group Limited — which we refer to, respectively, as Qpass and Cramer — in order to offer software products for the digital content and commerce markets and to enhance our end-to-end BSS/OSS offerings. In fiscal 2007, we acquired SigValue Technologies Inc., which we refer to as SigValue, to add expertise in providing integrated billing and customer care systems in high-growth emerging markets. In fiscal 2008, we acquired JacobsRimell Ltd. (JacobsRimell), a provider of fulfillment solutions for the broadband cable industry, to enrich our OSS offering for cable, and in fiscal 2009, we acquired ChangingWorlds, a provider of mobile device personalization technology. As part of our strategy, we may continue to pursue acquisitions and other initiatives in order to offer new products or services, or otherwise enhance our market position or strategic strengths.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Note 3 to the consolidated financial statements for more information regarding our acquisitions.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Offerings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offerings of software and related services consist of:</w:t>
      </w:r>
    </w:p>
    <w:p>
      <w:pPr>
        <w:spacing w:after="0" w:line="102" w:lineRule="exact"/>
        <w:rPr>
          <w:sz w:val="20"/>
          <w:szCs w:val="20"/>
          <w:color w:val="auto"/>
        </w:rPr>
      </w:pPr>
    </w:p>
    <w:p>
      <w:pPr>
        <w:ind w:left="1300" w:right="60" w:hanging="208"/>
        <w:spacing w:after="0" w:line="267" w:lineRule="auto"/>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complete, modular yet integrated portfolio of customer experience systems, including revenue management (billing and charging, mediation, and partner settlement), customer management (contact center and agent interaction, service and support, sales and ordering, and online and self-directed interactions), service and resource management (OSS) (network planning, service fulfillment, service assurance, and inventory and discovery) digital commerce and service delivery (digital commerce, search and digital advertising, open services, and service delivery and control), information management (product management and customer data integration), and foundation (application framework, operational framework and delivery framework).</w:t>
      </w:r>
    </w:p>
    <w:p>
      <w:pPr>
        <w:spacing w:after="0" w:line="55" w:lineRule="exact"/>
        <w:rPr>
          <w:rFonts w:ascii="Arial" w:cs="Arial" w:eastAsia="Arial" w:hAnsi="Arial"/>
          <w:sz w:val="13"/>
          <w:szCs w:val="13"/>
          <w:color w:val="auto"/>
        </w:rPr>
      </w:pPr>
    </w:p>
    <w:p>
      <w:pPr>
        <w:ind w:left="1300" w:right="200" w:hanging="208"/>
        <w:spacing w:after="0" w:line="270" w:lineRule="auto"/>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comprehensive line of services. Because our customers’ projects are complex and require systems support expertise, we provide information technology, or IT, services, including extensive consulting, delivery and managed services to assist our customers with their business strategy, system implementation, integration, modification, consolidation, modernization and ongoing support, enhancement and maintenance services. In addition, we offer comprehensive training services to help our customers develop competency in their Amdocs systems and applications.</w:t>
      </w:r>
    </w:p>
    <w:p>
      <w:pPr>
        <w:spacing w:after="0" w:line="63"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We have designed our customer experience systems to meet the high-volume, complex needs of Tier 1 and Tier 2 service providers, and as well as to address the unique issues of service providers in emerging markets. We support their various lines of business, including wireline, wireless, cable and satellite, and a wide range of communication services, including voice, video, data, IP, broadband, content, electronic and mobile commerce applications. We also support companies that offer bundled or convergent service packages.</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also offer a full range of directory sales and publishing systems and related services, which we refer to as directory systems, for publishers of both traditional printed yellow page and white page directories and electronic Internet directories. We have expanded our range of directory services to include support for digital advertising, search applications, and location-based services.</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conduct our business globally, and as a result we are subject to the effects of global economic conditions and, in particular, market conditions in the communications, media and entertainment industry. In fiscal 2008, customers in North America accounted for 68.7% of our revenue, while customers in Europe and the rest of the world accounted for 17.3% and 14.0%, respectively. We maintain development facilities in China, Cyprus, India, Ireland, Israel and the United States.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demand for our customer experience systems is primarily driven by the following key factors:</w:t>
      </w:r>
    </w:p>
    <w:p>
      <w:pPr>
        <w:spacing w:after="0" w:line="102" w:lineRule="exact"/>
        <w:rPr>
          <w:sz w:val="20"/>
          <w:szCs w:val="20"/>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Industry transformation,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ubiquitous use of communications and content services,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increases in digital and mobile commerce,</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continued explosive growth in emerging markets,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consolidation among service providers in established markets, often including companies with multi-national operations,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increased competition, including non-traditional players,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continued convergence of communications, broadband cable and satellite services,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continued commoditization and pricing pressure.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Technology advances, such as:</w:t>
      </w:r>
    </w:p>
    <w:p>
      <w:pPr>
        <w:spacing w:after="0" w:line="102" w:lineRule="exact"/>
        <w:rPr>
          <w:rFonts w:ascii="Arial" w:cs="Arial" w:eastAsia="Arial" w:hAnsi="Arial"/>
          <w:sz w:val="13"/>
          <w:szCs w:val="13"/>
          <w:color w:val="auto"/>
        </w:rPr>
      </w:pPr>
    </w:p>
    <w:p>
      <w:pPr>
        <w:ind w:left="1500" w:right="320" w:hanging="207"/>
        <w:spacing w:after="0" w:line="338" w:lineRule="auto"/>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emergence and development of new communications products and services, such as web services, video, broadband, data and content services, including IP-based services, such as Internet Protocol (IP) Television (IPTV), worldwide interoperability for microwave access (WiMax) and Voice over IP (VoIP),</w:t>
      </w:r>
    </w:p>
    <w:p>
      <w:pPr>
        <w:spacing w:after="0" w:line="14" w:lineRule="exact"/>
        <w:rPr>
          <w:rFonts w:ascii="Arial" w:cs="Arial" w:eastAsia="Arial" w:hAnsi="Arial"/>
          <w:sz w:val="12"/>
          <w:szCs w:val="12"/>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evolution to next-generation networks, such as IP Multimedia Subsystem (IMS), that enable converged services offerings like fixed-mobile convergence,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technological changes, such as the introduction of 3G and 4G wireless technology, next-generation content systems and WiFi- and WiMax-based access technologies.</w:t>
      </w:r>
    </w:p>
    <w:p>
      <w:pPr>
        <w:spacing w:after="0" w:line="113" w:lineRule="exact"/>
        <w:rPr>
          <w:rFonts w:ascii="Arial" w:cs="Arial" w:eastAsia="Arial" w:hAnsi="Arial"/>
          <w:sz w:val="12"/>
          <w:szCs w:val="12"/>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Customer focus, such as:</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focus on their customers in order to build profitable customer relationships,</w:t>
      </w:r>
    </w:p>
    <w:p>
      <w:pPr>
        <w:spacing w:after="0" w:line="92" w:lineRule="exact"/>
        <w:rPr>
          <w:rFonts w:ascii="Arial" w:cs="Arial" w:eastAsia="Arial" w:hAnsi="Arial"/>
          <w:sz w:val="13"/>
          <w:szCs w:val="13"/>
          <w:color w:val="auto"/>
        </w:rPr>
      </w:pPr>
    </w:p>
    <w:p>
      <w:pPr>
        <w:ind w:left="1500" w:right="36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“authority shift” toward the consumer, with increased customer expectations for new, innovative services that are personally relevant and that can be accessed anytime, anywhere and from any device,</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ever-increasing expectation of customer service and support, including access to self-service options that are convenient and consistent across all channels, and</w:t>
      </w:r>
    </w:p>
    <w:p>
      <w:pPr>
        <w:spacing w:after="0" w:line="103" w:lineRule="exact"/>
        <w:rPr>
          <w:rFonts w:ascii="Arial" w:cs="Arial" w:eastAsia="Arial" w:hAnsi="Arial"/>
          <w:sz w:val="12"/>
          <w:szCs w:val="12"/>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differentiate themselves by creating a unique and mutually-valuable customer experience.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operational efficiency,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shift from in-house management to vendor solutions,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right="180" w:hanging="207"/>
        <w:spacing w:after="0" w:line="294" w:lineRule="auto"/>
        <w:tabs>
          <w:tab w:leader="none" w:pos="1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business needs of service providers to reduce costs and lower total cost of ownership of software systems while retaining high-value customers in a highly competitive environment,</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automating and integrating business processes that span service providers’ BSS and OSS systems and create a simple, one-company face to customers,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integrating and implementing new next-generation networks (and retiring legacy networks) to deploy new technologies,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transforming fragmented legacy OSS systems to introduce new services in a timely and cost-effective manner.</w:t>
      </w:r>
    </w:p>
    <w:p>
      <w:pPr>
        <w:spacing w:after="0" w:line="102"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In fiscal 2008, our total revenue was $3,162.1 million, of which $2,894.3 million, or 91.5%, was attributable to the sale of customer experience systems. Revenue from managed services arrangements (for customer experience systems and directory systems) is included in both license and service revenue. Revenue generated in connection with managed services arrangements is a significant part of our business, accounting for approximately 35% to 40% of our fiscal 2008 and 2007 revenues,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Patents and Licenses</w:t>
      </w:r>
    </w:p>
    <w:p>
      <w:pPr>
        <w:spacing w:after="0" w:line="104"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$225.5 million, $230.4 million and $186.8 million in the fiscal years ended September 30, 2008, 2007 and 2006, respectively, representing 7.1%, 8.1% and 7.5%, respectively, of our revenue in these fiscal years.</w:t>
      </w:r>
    </w:p>
    <w:p>
      <w:pPr>
        <w:spacing w:after="0" w:line="65"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While we continued to upgrade our existing systems in fiscal year 2008, we have also devoted significant research and development efforts to the integration between our products. As part of these efforts, during fiscal 2007, we invested in Amdocs CES 7.5, the latest major release of our comprehensive portfolio, which we introduced in February 2008. Amdocs CES 7.5 expands on the capabilities of our previous Amdocs 7 release by improving subscriber management through a unified user interface, providing support for seamless ordering across all channels, offering a single source for all product and subscriber information, and comprehensive support for critical service provider business processes. Amdocs CES 7.5 comprises an enhanced portfolio of modular billing, CRM, self-service, order management, mediation, OSS and content management software products.</w:t>
      </w:r>
    </w:p>
    <w:p>
      <w:pPr>
        <w:spacing w:after="0" w:line="4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Operational Efficiency and Cost Reduction Program</w:t>
      </w:r>
    </w:p>
    <w:p>
      <w:pPr>
        <w:spacing w:after="0" w:line="10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the fourth quarter of fiscal 2008 and in the second quarter of fiscal 2007, we commenced a series of measures designed to improve efficiency and to align our operational structure to our expected future growth . As part of these plans, we recorded a charge of $12.1 million and $6.0 million in fiscal 2008 and fiscal 2007, respectively, consisting primarily of employee separation costs in connection with the termination of the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employment of software and information technology specialists and administrative professionals at various locations around the world and, in fiscal 2007, for rent obligations.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Repurchase Program</w:t>
      </w:r>
    </w:p>
    <w:p>
      <w:pPr>
        <w:spacing w:after="0" w:line="104" w:lineRule="exact"/>
        <w:rPr>
          <w:sz w:val="20"/>
          <w:szCs w:val="20"/>
          <w:color w:val="auto"/>
        </w:rPr>
      </w:pPr>
    </w:p>
    <w:p>
      <w:pPr>
        <w:ind w:left="680" w:right="800" w:firstLine="399"/>
        <w:spacing w:after="0" w:line="295" w:lineRule="auto"/>
        <w:rPr>
          <w:sz w:val="20"/>
          <w:szCs w:val="20"/>
          <w:color w:val="auto"/>
        </w:rPr>
      </w:pPr>
      <w:r>
        <w:rPr>
          <w:rFonts w:ascii="Arial" w:cs="Arial" w:eastAsia="Arial" w:hAnsi="Arial"/>
          <w:sz w:val="12"/>
          <w:szCs w:val="12"/>
          <w:color w:val="auto"/>
        </w:rPr>
        <w:t>In November 2008, our Board of Directors authorized us to repurchase $100 million of our 0.50% Convertible Senior Notes in such amounts, at such prices and at such times that we deem appropriate. During the first quarter of fiscal 2009, using proceeds from our revolving credit facility, we purchased $100 million aggregate principal amount of our notes at an average price of 98% of the principal amount, excluding accrued interest and transaction fees. In March 2009, the remaining notes are redeemable by us, and if we do not elect to redeem the notes, then the holders of the notes may require us to repurchase the notes, at a purchase price equal to 100% of the principal amount of the notes, plus accrued and unpaid interest. We anticipate that a substantial portion of the outstanding notes will be put to us in March 2009 if we do not elect to redeem them.</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Results</w:t>
      </w:r>
    </w:p>
    <w:p>
      <w:pPr>
        <w:spacing w:after="0" w:line="104" w:lineRule="exact"/>
        <w:rPr>
          <w:sz w:val="20"/>
          <w:szCs w:val="20"/>
          <w:color w:val="auto"/>
        </w:rPr>
      </w:pPr>
    </w:p>
    <w:p>
      <w:pPr>
        <w:ind w:left="680" w:right="900" w:firstLine="399"/>
        <w:spacing w:after="0" w:line="294" w:lineRule="auto"/>
        <w:rPr>
          <w:sz w:val="20"/>
          <w:szCs w:val="20"/>
          <w:color w:val="auto"/>
        </w:rPr>
      </w:pPr>
      <w:r>
        <w:rPr>
          <w:rFonts w:ascii="Arial" w:cs="Arial" w:eastAsia="Arial" w:hAnsi="Arial"/>
          <w:sz w:val="13"/>
          <w:szCs w:val="13"/>
          <w:color w:val="auto"/>
        </w:rPr>
        <w:t>The following table sets forth for the fiscal years ended September 30, 2008, 2007 and 2006, certain items in our consolidated statements of operations reflected as a percentage of total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7"/>
              </w:rPr>
              <w:t>Year ended September 30,</w:t>
            </w: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8"/>
                <w:szCs w:val="8"/>
                <w:color w:val="auto"/>
              </w:rPr>
            </w:pPr>
          </w:p>
        </w:tc>
        <w:tc>
          <w:tcPr>
            <w:tcW w:w="40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ind w:left="140"/>
              <w:spacing w:after="0"/>
              <w:rPr>
                <w:sz w:val="20"/>
                <w:szCs w:val="20"/>
                <w:color w:val="auto"/>
              </w:rPr>
            </w:pPr>
            <w:r>
              <w:rPr>
                <w:rFonts w:ascii="Arial" w:cs="Arial" w:eastAsia="Arial" w:hAnsi="Arial"/>
                <w:sz w:val="13"/>
                <w:szCs w:val="13"/>
                <w:color w:val="auto"/>
              </w:rPr>
              <w:t>License</w:t>
            </w:r>
          </w:p>
        </w:tc>
        <w:tc>
          <w:tcPr>
            <w:tcW w:w="800" w:type="dxa"/>
            <w:vAlign w:val="bottom"/>
            <w:gridSpan w:val="2"/>
          </w:tcPr>
          <w:p>
            <w:pPr>
              <w:jc w:val="right"/>
              <w:ind w:right="246"/>
              <w:spacing w:after="0"/>
              <w:rPr>
                <w:sz w:val="20"/>
                <w:szCs w:val="20"/>
                <w:color w:val="auto"/>
              </w:rPr>
            </w:pPr>
            <w:r>
              <w:rPr>
                <w:rFonts w:ascii="Arial" w:cs="Arial" w:eastAsia="Arial" w:hAnsi="Arial"/>
                <w:sz w:val="13"/>
                <w:szCs w:val="13"/>
                <w:color w:val="auto"/>
              </w:rPr>
              <w:t>4.3%</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95.7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0.1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64.0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7.1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8.1</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12.8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2.7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 acquisition related costs</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0.5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4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12.8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Interest income and other, net</w:t>
            </w: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0.4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13.2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Income taxes</w:t>
            </w: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1.2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vMerge w:val="restart"/>
          </w:tcPr>
          <w:p>
            <w:pPr>
              <w:ind w:left="4920"/>
              <w:spacing w:after="0"/>
              <w:rPr>
                <w:sz w:val="20"/>
                <w:szCs w:val="20"/>
                <w:color w:val="auto"/>
              </w:rPr>
            </w:pPr>
            <w:r>
              <w:rPr>
                <w:rFonts w:ascii="Arial" w:cs="Arial" w:eastAsia="Arial" w:hAnsi="Arial"/>
                <w:sz w:val="13"/>
                <w:szCs w:val="13"/>
                <w:color w:val="auto"/>
              </w:rPr>
              <w:t>32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2008, compared to the fiscal year ended September 30, 2007.</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tcPr>
          <w:p>
            <w:pPr>
              <w:ind w:left="30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5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Increase (Decrease)</w:t>
            </w:r>
          </w:p>
        </w:tc>
      </w:tr>
      <w:tr>
        <w:trPr>
          <w:trHeight w:val="101"/>
        </w:trPr>
        <w:tc>
          <w:tcPr>
            <w:tcW w:w="58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520"/>
              <w:spacing w:after="0" w:line="101" w:lineRule="exact"/>
              <w:rPr>
                <w:sz w:val="20"/>
                <w:szCs w:val="20"/>
                <w:color w:val="auto"/>
              </w:rPr>
            </w:pPr>
            <w:r>
              <w:rPr>
                <w:rFonts w:ascii="Arial" w:cs="Arial" w:eastAsia="Arial" w:hAnsi="Arial"/>
                <w:sz w:val="11"/>
                <w:szCs w:val="11"/>
                <w:b w:val="1"/>
                <w:bCs w:val="1"/>
                <w:color w:val="auto"/>
                <w:w w:val="96"/>
              </w:rPr>
              <w:t>Amount</w:t>
            </w:r>
          </w:p>
        </w:tc>
        <w:tc>
          <w:tcPr>
            <w:tcW w:w="400" w:type="dxa"/>
            <w:vAlign w:val="bottom"/>
            <w:tcBorders>
              <w:top w:val="single" w:sz="8" w:color="auto"/>
            </w:tcBorders>
          </w:tcPr>
          <w:p>
            <w:pPr>
              <w:jc w:val="right"/>
              <w:ind w:right="7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r>
      <w:tr>
        <w:trPr>
          <w:trHeight w:val="101"/>
        </w:trPr>
        <w:tc>
          <w:tcPr>
            <w:tcW w:w="58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
        </w:trPr>
        <w:tc>
          <w:tcPr>
            <w:tcW w:w="5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8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135,487</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159,357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(23,870)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(15.0)%</w:t>
            </w:r>
          </w:p>
        </w:tc>
      </w:tr>
      <w:tr>
        <w:trPr>
          <w:trHeight w:val="161"/>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3,026,609</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2,676,816</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349,793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w:t>
            </w:r>
          </w:p>
        </w:tc>
      </w:tr>
      <w:tr>
        <w:trPr>
          <w:trHeight w:val="162"/>
        </w:trPr>
        <w:tc>
          <w:tcPr>
            <w:tcW w:w="5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2,836,173</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325,923</w:t>
            </w:r>
          </w:p>
        </w:tc>
        <w:tc>
          <w:tcPr>
            <w:tcW w:w="3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11.5</w:t>
            </w: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8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2,729</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3,914</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(1,185)</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(30.3)</w:t>
            </w:r>
          </w:p>
        </w:tc>
      </w:tr>
      <w:tr>
        <w:trPr>
          <w:trHeight w:val="161"/>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2,023,562</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1,792,468</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231,094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w:t>
            </w:r>
          </w:p>
        </w:tc>
      </w:tr>
      <w:tr>
        <w:trPr>
          <w:trHeight w:val="161"/>
        </w:trPr>
        <w:tc>
          <w:tcPr>
            <w:tcW w:w="58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225,492</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230,444</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(4,952)</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r>
      <w:tr>
        <w:trPr>
          <w:trHeight w:val="161"/>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404,134</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370,194</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33,940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w:t>
            </w:r>
          </w:p>
        </w:tc>
      </w:tr>
      <w:tr>
        <w:trPr>
          <w:trHeight w:val="161"/>
        </w:trPr>
        <w:tc>
          <w:tcPr>
            <w:tcW w:w="58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86,687</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74,959</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11,728</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15.6</w:t>
            </w:r>
          </w:p>
        </w:tc>
      </w:tr>
      <w:tr>
        <w:trPr>
          <w:trHeight w:val="161"/>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 acquisition related costs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13,896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6,761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7,135</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105.5</w:t>
            </w:r>
          </w:p>
        </w:tc>
      </w:tr>
      <w:tr>
        <w:trPr>
          <w:trHeight w:val="162"/>
        </w:trPr>
        <w:tc>
          <w:tcPr>
            <w:tcW w:w="5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2,756,500</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2,478,740</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277,760</w:t>
            </w:r>
          </w:p>
        </w:tc>
        <w:tc>
          <w:tcPr>
            <w:tcW w:w="3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11.2</w:t>
            </w: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357,433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48,163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w:t>
            </w:r>
          </w:p>
        </w:tc>
      </w:tr>
      <w:tr>
        <w:trPr>
          <w:trHeight w:val="161"/>
        </w:trPr>
        <w:tc>
          <w:tcPr>
            <w:tcW w:w="5800" w:type="dxa"/>
            <w:vAlign w:val="bottom"/>
          </w:tcPr>
          <w:p>
            <w:pPr>
              <w:spacing w:after="0"/>
              <w:rPr>
                <w:sz w:val="20"/>
                <w:szCs w:val="20"/>
                <w:color w:val="auto"/>
              </w:rPr>
            </w:pPr>
            <w:r>
              <w:rPr>
                <w:rFonts w:ascii="Arial" w:cs="Arial" w:eastAsia="Arial" w:hAnsi="Arial"/>
                <w:sz w:val="13"/>
                <w:szCs w:val="13"/>
                <w:color w:val="auto"/>
              </w:rPr>
              <w:t>Interest income and other, net</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11,955</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50,566</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(38,611)</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(76.4)</w:t>
            </w:r>
          </w:p>
        </w:tc>
      </w:tr>
      <w:tr>
        <w:trPr>
          <w:trHeight w:val="20"/>
        </w:trPr>
        <w:tc>
          <w:tcPr>
            <w:tcW w:w="5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417,551</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407,999</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9,552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w:t>
            </w:r>
          </w:p>
        </w:tc>
      </w:tr>
      <w:tr>
        <w:trPr>
          <w:trHeight w:val="161"/>
        </w:trPr>
        <w:tc>
          <w:tcPr>
            <w:tcW w:w="58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38,645</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43,062</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(4,417)</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r>
      <w:tr>
        <w:trPr>
          <w:trHeight w:val="20"/>
        </w:trPr>
        <w:tc>
          <w:tcPr>
            <w:tcW w:w="5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378,906</w:t>
            </w: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364,937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13,969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00" w:firstLine="399"/>
        <w:spacing w:after="0" w:line="30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by $325.9 million, or 11.5%, to $3,162.1 million in fiscal 2008, from $2,836.2 million in fiscal 2007. Approximately 48% of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an increase in business related to managed services customers and the remainder was primarily attributable to additional revenue from consolidation and transformation projects for Tier 1 and for cable and satellite customers, from revenue related to OSS projects and from revenue contributed by customers in emerging markets.</w:t>
      </w:r>
    </w:p>
    <w:p>
      <w:pPr>
        <w:spacing w:after="0" w:line="41"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License revenue decreased by $23.9 million, or 15.0%, to $135.5 million in fiscal 2008, from $159.4 million in fiscal 2007. The decrease in license revenue was attributable primarily to completion of some projects.</w:t>
      </w:r>
    </w:p>
    <w:p>
      <w:pPr>
        <w:spacing w:after="0" w:line="47"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License and service revenue attributable to the sale of customer experience systems was $2,894.3 million in fiscal 2008, an increase of $342.6 million, or 13.4%, from fiscal 2007. The increase was primarily attributable to revenue related to the expansion of our managed services activities, revenue from consolidation and transformation projects for Tier 1 and for cable and satellite customers, from revenue related to OSS projects and from revenue contributed by customers in emerging markets.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License and service revenue from the sale of customer experience systems represented 91.5% and 90.0% of our total revenue in fiscal 2008 and 2007, respectively.</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was $267.8 million for fiscal 2008, a decrease of $16.7 million, or 5.9%, from fiscal 2007. The decrease was primarily attributable to decrease in activities related to our existing customers. License and service revenue from the sale of directory systems represented 8.5% and 10.0% of our total revenue in fiscal 2008 and 2007, respectively. We believe that we are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leading provider of directory systems in most of the markets we serve. We expect that our revenue from directory systems will decrease in fiscal 2009.</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In fiscal 2008, revenue from customers in North America, Europe and the rest of the world accounted for 68.7%, 17.3% and 14.0%, respectively, of total revenue, compared to 66.6%, 21.5% and 11.9%, respectively, for fiscal 2007. The decrease in revenue contributed from customers in Europe was attributable primarily to completion of projects. The increase in the percentage of revenue contributed from customers in the rest of the world in fiscal 2008 was attributable primarily to revenue contributed by customers in the Asia-Pacific region and emerging markets.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Cost of License and Service. </w:t>
      </w:r>
      <w:r>
        <w:rPr>
          <w:rFonts w:ascii="Arial" w:cs="Arial" w:eastAsia="Arial" w:hAnsi="Arial"/>
          <w:sz w:val="13"/>
          <w:szCs w:val="13"/>
          <w:color w:val="auto"/>
        </w:rPr>
        <w:t>Cost of license mainly includes royalty payments to software suppliers. Cost of service consists primarily of costs associated with providing</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to customers, including compensation expense and costs of third-party products. The increase in cost of license and service in fiscal 2008 was $229.9 million or, 12.8%, which is higher than the increase in our total revenue in fiscal 2008. As a percentage of revenue, cost of license and service was 64.1% in fiscal 2008, compared to 63.3% in fiscal 2007. Our cost of service in fiscal 2008 was impacted by expansion of our managed services activities, partially offset by cost savings resulting from our expansion into lower cost jurisdictions and increased efficiencies in our overall operations. Margins from managed services tend to improve over time as we realize synergies, create cost efficiencies and improve business processes.</w:t>
      </w:r>
    </w:p>
    <w:p>
      <w:pPr>
        <w:spacing w:after="0" w:line="68"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is primarily comprised of compensation expense. Research and development expense decreased by $4.9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or 2.1%, to $225.5 million in fiscal 2008, from $230.4 million in fiscal 2007. Research and development expense decreased as a percentage of revenue from 8.1% in fiscal 2007 to 7.1% in fiscal 2008. We believe that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65"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systems. Please see the discussion above under the caption “Research and Development, Patents and Licenses.”</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$33.9 million, or 9.2%, to $404.1 million in fiscal 2008, from $370.2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2007. Selling, general and administrative expense is primarily comprised of compensation expense. Selling, general and administrative expense increased at a lower rate than the 11.5% increase in our total revenue, which resulted in a decrease as a percentage of revenue, from 13.1% in fiscal 2007 to 12.8% in fiscal 2008. The increase in selling, general and administrative expense was attributable to an overall increase in our operations.</w:t>
      </w:r>
    </w:p>
    <w:p>
      <w:pPr>
        <w:spacing w:after="0" w:line="63" w:lineRule="exact"/>
        <w:rPr>
          <w:sz w:val="20"/>
          <w:szCs w:val="20"/>
          <w:color w:val="auto"/>
        </w:rPr>
      </w:pPr>
    </w:p>
    <w:p>
      <w:pPr>
        <w:ind w:left="680" w:right="420" w:firstLine="399"/>
        <w:spacing w:after="0" w:line="338" w:lineRule="auto"/>
        <w:rPr>
          <w:sz w:val="20"/>
          <w:szCs w:val="20"/>
          <w:color w:val="auto"/>
        </w:rPr>
      </w:pPr>
      <w:r>
        <w:rPr>
          <w:rFonts w:ascii="Arial" w:cs="Arial" w:eastAsia="Arial" w:hAnsi="Arial"/>
          <w:sz w:val="12"/>
          <w:szCs w:val="12"/>
          <w:i w:val="1"/>
          <w:iCs w:val="1"/>
          <w:color w:val="auto"/>
        </w:rPr>
        <w:t xml:space="preserve">Amortization of Purchased Intangible Assets. </w:t>
      </w:r>
      <w:r>
        <w:rPr>
          <w:rFonts w:ascii="Arial" w:cs="Arial" w:eastAsia="Arial" w:hAnsi="Arial"/>
          <w:sz w:val="12"/>
          <w:szCs w:val="12"/>
          <w:color w:val="auto"/>
        </w:rPr>
        <w:t>Amortization of purchased intangible assets in fiscal 2008 was $86.7 million, compared to $74.9 million in fiscal 2007. The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amortization of purchased intangible assets was primarily due to purchased intangible assets acquired in our fiscal 2006, 2007 and 2008 acquisitions.</w:t>
      </w:r>
    </w:p>
    <w:p>
      <w:pPr>
        <w:spacing w:after="0" w:line="24"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i w:val="1"/>
          <w:iCs w:val="1"/>
          <w:color w:val="auto"/>
        </w:rPr>
        <w:t xml:space="preserve">Restructuring Charges, In-Process Research and Development and Other. </w:t>
      </w:r>
      <w:r>
        <w:rPr>
          <w:rFonts w:ascii="Arial" w:cs="Arial" w:eastAsia="Arial" w:hAnsi="Arial"/>
          <w:sz w:val="12"/>
          <w:szCs w:val="12"/>
          <w:color w:val="auto"/>
        </w:rPr>
        <w:t>Restructuring charges, in-process research and development and other increased by $7.1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105.5%, to $13.9 million in fiscal 2008, from $6.8 million in fiscal 2007. Restructuring charges, in-process research and development and other in fiscal 2008 consisted of a</w:t>
      </w:r>
    </w:p>
    <w:p>
      <w:pPr>
        <w:spacing w:after="0" w:line="1" w:lineRule="exact"/>
        <w:rPr>
          <w:sz w:val="20"/>
          <w:szCs w:val="20"/>
          <w:color w:val="auto"/>
        </w:rPr>
      </w:pPr>
    </w:p>
    <w:p>
      <w:pPr>
        <w:ind w:left="680" w:right="200"/>
        <w:spacing w:after="0" w:line="293" w:lineRule="auto"/>
        <w:rPr>
          <w:sz w:val="20"/>
          <w:szCs w:val="20"/>
          <w:color w:val="auto"/>
        </w:rPr>
      </w:pPr>
      <w:r>
        <w:rPr>
          <w:rFonts w:ascii="Arial" w:cs="Arial" w:eastAsia="Arial" w:hAnsi="Arial"/>
          <w:sz w:val="12"/>
          <w:szCs w:val="12"/>
          <w:color w:val="auto"/>
        </w:rPr>
        <w:t>$12.1 million restructuring charge related to our restructuring plan in the fourth quarter of fiscal 2008 and a $1.8 million charge for the write-off of purchased in-process research and development related to an immaterial acquisition during fiscal 2008. Restructuring charges, in-process research and development and other in fiscal 2007 consisted of a $6.0 million restructuring charge related to our restructuring plan in the second quarter of fiscal 2007, and a $0.8 million net charge for the write-off of purchased in-process research and development and other related to a fiscal 2007 acquisition. Please see the discussion above under the caption ‘‘Operational Efficiency and Cost Reduction Program.”</w:t>
      </w: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In-process research and development was written-off as of the closing dates of the acquisitions, in accordance with Financial Accounting Standards Board Interpretation No. 4, “Applicability of FASB Statement No. 2 to Business Combinations Accounted for by the Purchase Method” (“FASB No. 4”). The in-process research and development had no alternative future use and had not reached technological feasibility as of the closing dates of the acquisitions.</w:t>
      </w:r>
    </w:p>
    <w:p>
      <w:pPr>
        <w:spacing w:after="0" w:line="59"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$48.2 million, or 13.5%, to $405.6 million in fiscal 2008, from $357.4 million in fiscal 2007. Operating expense grew at a</w:t>
      </w:r>
      <w:r>
        <w:rPr>
          <w:rFonts w:ascii="Arial" w:cs="Arial" w:eastAsia="Arial" w:hAnsi="Arial"/>
          <w:sz w:val="13"/>
          <w:szCs w:val="13"/>
          <w:i w:val="1"/>
          <w:iCs w:val="1"/>
          <w:color w:val="auto"/>
        </w:rPr>
        <w:t xml:space="preserve"> </w:t>
      </w:r>
      <w:r>
        <w:rPr>
          <w:rFonts w:ascii="Arial" w:cs="Arial" w:eastAsia="Arial" w:hAnsi="Arial"/>
          <w:sz w:val="13"/>
          <w:szCs w:val="13"/>
          <w:color w:val="auto"/>
        </w:rPr>
        <w:t>slightly lower rate than the 11.5% increase in revenue during fiscal 2008, which resulted in a slight increase in operating income as a percentage of revenue.</w:t>
      </w:r>
    </w:p>
    <w:p>
      <w:pPr>
        <w:spacing w:after="0" w:line="47"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Interest Income and Other, Net. </w:t>
      </w:r>
      <w:r>
        <w:rPr>
          <w:rFonts w:ascii="Arial" w:cs="Arial" w:eastAsia="Arial" w:hAnsi="Arial"/>
          <w:sz w:val="13"/>
          <w:szCs w:val="13"/>
          <w:color w:val="auto"/>
        </w:rPr>
        <w:t>Interest income and other, net decreased by $38.6 million to $12.0 million in fiscal 2008, from $50.6 million in fiscal 2007. The decrease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income and other, net, was primarily attributable to the impact of foreign exchange losses and to lower income on our short-term interest-bearing investments due to current market conditions.</w:t>
      </w:r>
    </w:p>
    <w:p>
      <w:pPr>
        <w:spacing w:after="0" w:line="59"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Income taxes for fiscal 2008 were $38.6 million on pretax income of $417.6 million, resulting in an effective tax rate of 9.3%, compared to 10.6% in fiscal 2007.</w:t>
      </w:r>
      <w:r>
        <w:rPr>
          <w:rFonts w:ascii="Arial" w:cs="Arial" w:eastAsia="Arial" w:hAnsi="Arial"/>
          <w:sz w:val="13"/>
          <w:szCs w:val="13"/>
          <w:i w:val="1"/>
          <w:iCs w:val="1"/>
          <w:color w:val="auto"/>
        </w:rPr>
        <w:t xml:space="preserve"> </w:t>
      </w:r>
      <w:r>
        <w:rPr>
          <w:rFonts w:ascii="Arial" w:cs="Arial" w:eastAsia="Arial" w:hAnsi="Arial"/>
          <w:sz w:val="13"/>
          <w:szCs w:val="13"/>
          <w:color w:val="auto"/>
        </w:rPr>
        <w:t>Of the decrease in our effective tax rate, approximately 2.1% was attributable to adjustments made during fiscal 2007 to deferred tax liabilities related to two fiscal 2006 acquisitions, approximately 1.8% was attributable to a tax benefit resulting from a lapse of statute of limitations and approximately 1.1% was attributable to the changes in our tax reserves. These decreases were partially offset by increases of approximately 3.7% attributable to changes in the valuation allowances and approximately 0.3% attributable to the effect of acquisition-related costs (which include amortization of purchased intangible assets, and in-process research and development and other), restructuring charges and equity-based compensation expense, and the remaining difference was primarily attributable to a decrease in our effective tax rate due to the geographical distribution of earnings from global operations. Our effective tax rate may fluctuate between quarters as a result of discrete items that may affect a specific quarter. Please see Note 9 to our consolidated financial statements and the discussion below under the caption “Effective Tax Rate.”</w:t>
      </w:r>
    </w:p>
    <w:p>
      <w:pPr>
        <w:spacing w:after="0" w:line="70"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was $378.9 million in fiscal 2008, compared to net income of $364.9 million in fiscal 2007. The increase in net income was attributable to the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our operating income and to the decrease of our effective tax rate, offset by the decrease in interest income and other, net.</w:t>
      </w:r>
    </w:p>
    <w:p>
      <w:pPr>
        <w:spacing w:after="0" w:line="47"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i w:val="1"/>
          <w:iCs w:val="1"/>
          <w:color w:val="auto"/>
        </w:rPr>
        <w:t xml:space="preserve">Diluted Earnings Per Share. </w:t>
      </w:r>
      <w:r>
        <w:rPr>
          <w:rFonts w:ascii="Arial" w:cs="Arial" w:eastAsia="Arial" w:hAnsi="Arial"/>
          <w:sz w:val="12"/>
          <w:szCs w:val="12"/>
          <w:color w:val="auto"/>
        </w:rPr>
        <w:t>Diluted earnings per share increased by $0.09, or 5.5%, to $1.74 in fiscal 2008, from $1.65 in fiscal 2007. The increase in diluted earnings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resulted from the increase in net income and the decrease in diluted weighted average number of shares outstanding. Please see Note 18 to our consolidated financial statements.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2007 and 2006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2007, compared to the fiscal year ended September 30, 2006.</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gridSpan w:val="5"/>
          </w:tcPr>
          <w:p>
            <w:pPr>
              <w:ind w:left="28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1"/>
                <w:szCs w:val="11"/>
                <w:b w:val="1"/>
                <w:bCs w:val="1"/>
                <w:color w:val="auto"/>
                <w:w w:val="98"/>
              </w:rPr>
              <w:t>Increase (Decrease)</w:t>
            </w:r>
          </w:p>
        </w:tc>
      </w:tr>
      <w:tr>
        <w:trPr>
          <w:trHeight w:val="101"/>
        </w:trPr>
        <w:tc>
          <w:tcPr>
            <w:tcW w:w="58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ind w:left="140"/>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2006</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520"/>
              <w:spacing w:after="0" w:line="101" w:lineRule="exact"/>
              <w:rPr>
                <w:sz w:val="20"/>
                <w:szCs w:val="20"/>
                <w:color w:val="auto"/>
              </w:rPr>
            </w:pPr>
            <w:r>
              <w:rPr>
                <w:rFonts w:ascii="Arial" w:cs="Arial" w:eastAsia="Arial" w:hAnsi="Arial"/>
                <w:sz w:val="11"/>
                <w:szCs w:val="11"/>
                <w:b w:val="1"/>
                <w:bCs w:val="1"/>
                <w:color w:val="auto"/>
                <w:w w:val="96"/>
              </w:rPr>
              <w:t>Amount</w:t>
            </w:r>
          </w:p>
        </w:tc>
        <w:tc>
          <w:tcPr>
            <w:tcW w:w="380" w:type="dxa"/>
            <w:vAlign w:val="bottom"/>
            <w:tcBorders>
              <w:top w:val="single" w:sz="8" w:color="auto"/>
            </w:tcBorders>
          </w:tcPr>
          <w:p>
            <w:pPr>
              <w:jc w:val="right"/>
              <w:ind w:right="54"/>
              <w:spacing w:after="0" w:line="101"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8"/>
                <w:szCs w:val="8"/>
                <w:color w:val="auto"/>
              </w:rPr>
            </w:pPr>
          </w:p>
        </w:tc>
      </w:tr>
      <w:tr>
        <w:trPr>
          <w:trHeight w:val="101"/>
        </w:trPr>
        <w:tc>
          <w:tcPr>
            <w:tcW w:w="588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gridSpan w:val="2"/>
          </w:tcPr>
          <w:p>
            <w:pPr>
              <w:jc w:val="right"/>
              <w:ind w:right="154"/>
              <w:spacing w:after="0" w:line="101" w:lineRule="exact"/>
              <w:rPr>
                <w:sz w:val="20"/>
                <w:szCs w:val="20"/>
                <w:color w:val="auto"/>
              </w:rPr>
            </w:pPr>
            <w:r>
              <w:rPr>
                <w:rFonts w:ascii="Arial" w:cs="Arial" w:eastAsia="Arial" w:hAnsi="Arial"/>
                <w:sz w:val="11"/>
                <w:szCs w:val="11"/>
                <w:b w:val="1"/>
                <w:bCs w:val="1"/>
                <w:color w:val="auto"/>
                <w:w w:val="87"/>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0"/>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159,357</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116,285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43,072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37.0%</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2,676,816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2,363,765</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313,051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w:t>
            </w:r>
          </w:p>
        </w:tc>
      </w:tr>
      <w:tr>
        <w:trPr>
          <w:trHeight w:val="162"/>
        </w:trPr>
        <w:tc>
          <w:tcPr>
            <w:tcW w:w="58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2,836,173</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2,480,050</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356,123</w:t>
            </w:r>
          </w:p>
        </w:tc>
        <w:tc>
          <w:tcPr>
            <w:tcW w:w="3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14.4</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3,914</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4,003</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(89)</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(2.2)</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1,792,468</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1,579,823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212,645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w:t>
            </w: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230,444</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186,760</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43,684</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23.4</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370,194</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313,997</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56,197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w:t>
            </w: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74,959</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37,610</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37,349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99.3</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 acquisition related costs</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6,761</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25,725</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(18,964)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(73.7)</w:t>
            </w:r>
          </w:p>
        </w:tc>
      </w:tr>
      <w:tr>
        <w:trPr>
          <w:trHeight w:val="162"/>
        </w:trPr>
        <w:tc>
          <w:tcPr>
            <w:tcW w:w="58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2,478,740</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2,147,918</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330,822</w:t>
            </w:r>
          </w:p>
        </w:tc>
        <w:tc>
          <w:tcPr>
            <w:tcW w:w="3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15.4</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357,433</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332,132</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25,301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Interest income and other, net</w:t>
            </w:r>
          </w:p>
        </w:tc>
        <w:tc>
          <w:tcPr>
            <w:tcW w:w="2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50,566</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41,741</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8,825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21.1</w:t>
            </w:r>
          </w:p>
        </w:tc>
      </w:tr>
      <w:tr>
        <w:trPr>
          <w:trHeight w:val="20"/>
        </w:trPr>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407,999</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373,873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34,126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43,062</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55,237</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(12,175)</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(22.0)</w:t>
            </w:r>
          </w:p>
        </w:tc>
      </w:tr>
      <w:tr>
        <w:trPr>
          <w:trHeight w:val="20"/>
        </w:trPr>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364,937</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318,636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46,301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30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by $356.1 million, or 14.4%, to $2,836 million in fiscal 2007, from $2,480 million in fiscal 2006. Approximately 52% of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revenue contributed by the businesses that we acquired during fiscal 2006 and 2007, a portion of which we attribute to synergies and benefits resulting from those businesses being a part of the Amdocs group. The remainder was primarily attributable to additional revenue from consolidation and transformation projects for Tier 1 customers.</w:t>
      </w:r>
    </w:p>
    <w:p>
      <w:pPr>
        <w:spacing w:after="0" w:line="41"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License revenue increased by $43.1 million, or 37.0%, to $159.4 million in fiscal 2007, from $116.3 million in fiscal 2006. The increase in license revenue was attributable primarily to license revenue contributed by acquisitions made during fiscal 2006, as well as additional license revenue from our customers.</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License and service revenue attributable to the sale of customer experience systems was $2,552 million in fiscal 2007, an increase of $350.5 million, or 15.9%, from fiscal 2006. Approximately 52% of the increase was attributable to revenue contributed by the businesses that we acquired during fiscal 2006 and 2007, a portion of which we attribute to synergies and benefits resulting from those businesses being a part of the Amdocs group, and the remainder was primarily attributable to additional revenue from consolidation and transformation projects for Tier 1 customers. License and service revenue from the sale of customer experience systems represented 90.0% and 88.8% of our total revenue in fiscal 2007 and 2006, respectively.</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was $284.4 million for fiscal 2007, an increase of $5.6 million, or 2.0%, from fiscal 2006. License and service revenue from the sale of directory systems represented 10.0% and 11.2% of our total revenue in fiscal 2007 and 2006, respectively. We believe that we are a leading provider of directory systems in most of the markets we serve.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In fiscal 2007, revenue from customers in North America, Europe and the rest of the world accounted for 66.6%, 21.5% and 11.9%, respectively, of total revenue compared to 69.9%, 21.8% and 8.3%, respectively, for fiscal 2006. Revenue from customers in North America and Europe increased in absolute amounts, but in each case the increase was less than the 14.4% increase in our total revenue which resulted in a decrease in revenue from customers in North America and Europe as a percentage of total revenue . The increase in revenue from customers in the rest of the world in fiscal 2007 was attributable primarily to revenue contributed by customers in the Asia-Pacific region.</w:t>
      </w:r>
    </w:p>
    <w:p>
      <w:pPr>
        <w:spacing w:after="0" w:line="4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Cost of License. </w:t>
      </w:r>
      <w:r>
        <w:rPr>
          <w:rFonts w:ascii="Arial" w:cs="Arial" w:eastAsia="Arial" w:hAnsi="Arial"/>
          <w:sz w:val="13"/>
          <w:szCs w:val="13"/>
          <w:color w:val="auto"/>
        </w:rPr>
        <w:t>Cost of license mainly includes amortization of purchased computer software and intellectual property rights. Because such amortization is relatively stable</w:t>
      </w:r>
      <w:r>
        <w:rPr>
          <w:rFonts w:ascii="Arial" w:cs="Arial" w:eastAsia="Arial" w:hAnsi="Arial"/>
          <w:sz w:val="13"/>
          <w:szCs w:val="13"/>
          <w:i w:val="1"/>
          <w:iCs w:val="1"/>
          <w:color w:val="auto"/>
        </w:rPr>
        <w:t xml:space="preserve"> </w:t>
      </w:r>
      <w:r>
        <w:rPr>
          <w:rFonts w:ascii="Arial" w:cs="Arial" w:eastAsia="Arial" w:hAnsi="Arial"/>
          <w:sz w:val="13"/>
          <w:szCs w:val="13"/>
          <w:color w:val="auto"/>
        </w:rPr>
        <w:t>from period to period and, absent impairment, is generally fixed in amount, an increase or decrease in license revenue will cause a significant fluctuation in cost of license as a percentage of license revenue. In fiscal 2007, cost of license as a percentage of license revenue was 2.5%, compared to 3.4% in fiscal 2006.</w:t>
      </w:r>
    </w:p>
    <w:p>
      <w:pPr>
        <w:spacing w:after="0" w:line="59"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i w:val="1"/>
          <w:iCs w:val="1"/>
          <w:color w:val="auto"/>
        </w:rPr>
        <w:t xml:space="preserve">Cost of Service. </w:t>
      </w:r>
      <w:r>
        <w:rPr>
          <w:rFonts w:ascii="Arial" w:cs="Arial" w:eastAsia="Arial" w:hAnsi="Arial"/>
          <w:sz w:val="13"/>
          <w:szCs w:val="13"/>
          <w:color w:val="auto"/>
        </w:rPr>
        <w:t>Cost of service consists primarily of costs associated with providing services to customers, including compensation expense and costs of third-party products.</w:t>
      </w:r>
      <w:r>
        <w:rPr>
          <w:rFonts w:ascii="Arial" w:cs="Arial" w:eastAsia="Arial" w:hAnsi="Arial"/>
          <w:sz w:val="13"/>
          <w:szCs w:val="13"/>
          <w:i w:val="1"/>
          <w:iCs w:val="1"/>
          <w:color w:val="auto"/>
        </w:rPr>
        <w:t xml:space="preserve"> </w:t>
      </w:r>
      <w:r>
        <w:rPr>
          <w:rFonts w:ascii="Arial" w:cs="Arial" w:eastAsia="Arial" w:hAnsi="Arial"/>
          <w:sz w:val="13"/>
          <w:szCs w:val="13"/>
          <w:color w:val="auto"/>
        </w:rPr>
        <w:t>The increase in cost of service in fiscal 2007 was $212.6 million or 13.5%, which is less than the increase in our total revenue in fiscal 2007. As a percentage of revenue, cost of service was 63.2% in fiscal 2007, compared to 63.7% in fiscal 2006. The decrease in cost of service in fiscal 2007 as a percentage of revenue was attributable to a decrease in cost of service expense related to our core business, partially offset by cost of service expenses related to our fiscal 2006 and 2007 acquisitions. Our gross margin may vary depending on the types and geographic locations of projects that we undertake.</w:t>
      </w:r>
    </w:p>
    <w:p>
      <w:pPr>
        <w:spacing w:after="0" w:line="65" w:lineRule="exact"/>
        <w:rPr>
          <w:sz w:val="20"/>
          <w:szCs w:val="20"/>
          <w:color w:val="auto"/>
        </w:rPr>
      </w:pPr>
    </w:p>
    <w:p>
      <w:pPr>
        <w:jc w:val="center"/>
        <w:ind w:right="-339"/>
        <w:spacing w:after="0"/>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is primarily comprised of compensation expense. Research and development expense increased by</w:t>
      </w:r>
    </w:p>
    <w:p>
      <w:pPr>
        <w:spacing w:after="0" w:line="22" w:lineRule="exact"/>
        <w:rPr>
          <w:sz w:val="20"/>
          <w:szCs w:val="20"/>
          <w:color w:val="auto"/>
        </w:rPr>
      </w:pPr>
    </w:p>
    <w:p>
      <w:pPr>
        <w:ind w:left="680"/>
        <w:spacing w:after="0" w:line="288" w:lineRule="auto"/>
        <w:rPr>
          <w:sz w:val="20"/>
          <w:szCs w:val="20"/>
          <w:color w:val="auto"/>
        </w:rPr>
      </w:pPr>
      <w:r>
        <w:rPr>
          <w:rFonts w:ascii="Arial" w:cs="Arial" w:eastAsia="Arial" w:hAnsi="Arial"/>
          <w:sz w:val="12"/>
          <w:szCs w:val="12"/>
          <w:color w:val="auto"/>
        </w:rPr>
        <w:t>$43.6 million, or 23.4%, in fiscal 2007 to $230.4 million from $186.8 million in fiscal 2006. Research and development expense increased as a percentage of revenue from 7.5% in fiscal 2006 to 8.1% in fiscal 2007. The increase in research and development expense as a percentage of revenue was attributable primarily to research and development activities related to our fiscal 2006 and 2007 acquisitions. While we invested in upgrading our existing systems in fiscal 2007, we also devoted significant research and development efforts to the integration between our products and a unified user interface in order to enable our customers to adopt an integrated customer management approach. As part of these efforts, in January 2007 we launched Amdocs 7, the next major release of our comprehensive portfolio. Amdocs 7 expanded on the capabilities of our previous Amdocs 6 release and comprises an enhanced portfolio of modular billing, CRM, self-service, order management, mediation, OSS and content management software products.</w:t>
      </w:r>
    </w:p>
    <w:p>
      <w:pPr>
        <w:spacing w:after="0" w:line="5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systems.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Please see the discussion above under the caption “Research and Development, Patents and Licenses.”</w:t>
      </w:r>
    </w:p>
    <w:p>
      <w:pPr>
        <w:spacing w:after="0" w:line="63" w:lineRule="exact"/>
        <w:rPr>
          <w:sz w:val="20"/>
          <w:szCs w:val="20"/>
          <w:color w:val="auto"/>
        </w:rPr>
      </w:pPr>
    </w:p>
    <w:p>
      <w:pPr>
        <w:jc w:val="both"/>
        <w:ind w:left="680" w:right="100" w:firstLine="399"/>
        <w:spacing w:after="0" w:line="270"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$56.2 million, or 17.9%, in fiscal 2007 to $370.2 million, from $314.0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2006. Selling, general and administrative expense is primarily comprised of compensation expense. The increase in selling, general and administrative expense as a percentage of revenue is attributable to selling, general and administrative expense related to our fiscal 2006 and 2007 acquisitions partially offset by a decrease in selling, general and administrative expense related to our core business.</w:t>
      </w:r>
    </w:p>
    <w:p>
      <w:pPr>
        <w:spacing w:after="0" w:line="63"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i w:val="1"/>
          <w:iCs w:val="1"/>
          <w:color w:val="auto"/>
        </w:rPr>
        <w:t xml:space="preserve">Amortization of Purchased Intangible Assets. </w:t>
      </w:r>
      <w:r>
        <w:rPr>
          <w:rFonts w:ascii="Arial" w:cs="Arial" w:eastAsia="Arial" w:hAnsi="Arial"/>
          <w:sz w:val="13"/>
          <w:szCs w:val="13"/>
          <w:color w:val="auto"/>
        </w:rPr>
        <w:t>Amortization of purchased intangible assets in fiscal 2007 was $74.9 million, compared to $37.6 million in fiscal 2006. The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in amortization of purchased intangible assets was due to purchased intangible assets acquired in our fiscal 2006 and 2007 acquisitions.</w:t>
      </w:r>
    </w:p>
    <w:p>
      <w:pPr>
        <w:spacing w:after="0" w:line="47"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i w:val="1"/>
          <w:iCs w:val="1"/>
          <w:color w:val="auto"/>
        </w:rPr>
        <w:t xml:space="preserve">Restructuring Charges, In-Process Research and Development and Other. </w:t>
      </w:r>
      <w:r>
        <w:rPr>
          <w:rFonts w:ascii="Arial" w:cs="Arial" w:eastAsia="Arial" w:hAnsi="Arial"/>
          <w:sz w:val="13"/>
          <w:szCs w:val="13"/>
          <w:color w:val="auto"/>
        </w:rPr>
        <w:t>Restructuring charges, in-process research and development and other in fiscal 2007 consisted of a</w:t>
      </w:r>
      <w:r>
        <w:rPr>
          <w:rFonts w:ascii="Arial" w:cs="Arial" w:eastAsia="Arial" w:hAnsi="Arial"/>
          <w:sz w:val="13"/>
          <w:szCs w:val="13"/>
          <w:i w:val="1"/>
          <w:iCs w:val="1"/>
          <w:color w:val="auto"/>
        </w:rPr>
        <w:t xml:space="preserve"> </w:t>
      </w:r>
      <w:r>
        <w:rPr>
          <w:rFonts w:ascii="Arial" w:cs="Arial" w:eastAsia="Arial" w:hAnsi="Arial"/>
          <w:sz w:val="13"/>
          <w:szCs w:val="13"/>
          <w:color w:val="auto"/>
        </w:rPr>
        <w:t>$6.0 million restructuring charge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70" w:lineRule="auto"/>
        <w:rPr>
          <w:sz w:val="20"/>
          <w:szCs w:val="20"/>
          <w:color w:val="auto"/>
        </w:rPr>
      </w:pPr>
      <w:r>
        <w:rPr>
          <w:rFonts w:ascii="Arial" w:cs="Arial" w:eastAsia="Arial" w:hAnsi="Arial"/>
          <w:sz w:val="13"/>
          <w:szCs w:val="13"/>
          <w:color w:val="auto"/>
        </w:rPr>
        <w:t>related to our restructuring plan in the second quarter of fiscal 2007, and a charge of $2.7 million for the write-off of purchased in-process research and development related to our acquisition of SigValue, offset by the cumulative effect of our 14% share in SigValue’s pre-acquisition results of $1.9 million. In fiscal 2006, restructuring charges, in-process research and development and other acquisition related costs consisted of $25.7 million for the write-off of purchased in-process research and development related to our acquisitions of Cramer and Qpass.</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In-process research and development was written-off as of the closing dates of the acquisitions, in accordance with Financial Accounting Standards Board Interpretation No. 4, “Applicability of FASB Statement No. 2 to Business Combinations Accounted for by the Purchase Method” (“FASB No. 4”). The in-process research and development had no alternative future use and had not reached technological feasibility as of the closing dates of the acquisitions.</w:t>
      </w:r>
    </w:p>
    <w:p>
      <w:pPr>
        <w:spacing w:after="0" w:line="59"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i w:val="1"/>
          <w:iCs w:val="1"/>
          <w:color w:val="auto"/>
        </w:rPr>
        <w:t xml:space="preserve">Operating Income. </w:t>
      </w:r>
      <w:r>
        <w:rPr>
          <w:rFonts w:ascii="Arial" w:cs="Arial" w:eastAsia="Arial" w:hAnsi="Arial"/>
          <w:sz w:val="12"/>
          <w:szCs w:val="12"/>
          <w:color w:val="auto"/>
        </w:rPr>
        <w:t>Operating income increased by $25.3 million, or 7.6%, in fiscal 2007, to $357.4 million from $332.1 million in fiscal 2006. Operating expense grew at a</w:t>
      </w:r>
      <w:r>
        <w:rPr>
          <w:rFonts w:ascii="Arial" w:cs="Arial" w:eastAsia="Arial" w:hAnsi="Arial"/>
          <w:sz w:val="12"/>
          <w:szCs w:val="12"/>
          <w:i w:val="1"/>
          <w:iCs w:val="1"/>
          <w:color w:val="auto"/>
        </w:rPr>
        <w:t xml:space="preserve"> </w:t>
      </w:r>
      <w:r>
        <w:rPr>
          <w:rFonts w:ascii="Arial" w:cs="Arial" w:eastAsia="Arial" w:hAnsi="Arial"/>
          <w:sz w:val="12"/>
          <w:szCs w:val="12"/>
          <w:color w:val="auto"/>
        </w:rPr>
        <w:t>greater rate than the 14.4% increase in revenue during fiscal 2007, which resulted in a decrease in operating income as a percentage of revenue. The increase in operating expense as a percentage of revenue is primarily attributable to the increases in amortization of purchased intangible assets, and to operating expense related to our fiscal 2006 and 2007 acquisitions, partially offset by a decrease in our core operating expenses as a percentage of revenue, and in restructuring charges, in-process research and development and other.</w:t>
      </w:r>
    </w:p>
    <w:p>
      <w:pPr>
        <w:spacing w:after="0" w:line="48"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i w:val="1"/>
          <w:iCs w:val="1"/>
          <w:color w:val="auto"/>
        </w:rPr>
        <w:t xml:space="preserve">Interest Income and Other, Net. </w:t>
      </w:r>
      <w:r>
        <w:rPr>
          <w:rFonts w:ascii="Arial" w:cs="Arial" w:eastAsia="Arial" w:hAnsi="Arial"/>
          <w:sz w:val="13"/>
          <w:szCs w:val="13"/>
          <w:color w:val="auto"/>
        </w:rPr>
        <w:t>Interest income and other, net increased by $8.8 million in fiscal 2007 to $50.6 million from $41.7 million in fiscal 2006. The increase is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attributable to the impact of foreign exchange benefits.</w:t>
      </w:r>
    </w:p>
    <w:p>
      <w:pPr>
        <w:spacing w:after="0" w:line="4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Income taxes for fiscal 2007 were $43.1 million on pretax income of $408.0 million, resulting in an effective tax rate of 10.6% compared to 14.8% in fiscal 2006.</w:t>
      </w:r>
      <w:r>
        <w:rPr>
          <w:rFonts w:ascii="Arial" w:cs="Arial" w:eastAsia="Arial" w:hAnsi="Arial"/>
          <w:sz w:val="13"/>
          <w:szCs w:val="13"/>
          <w:i w:val="1"/>
          <w:iCs w:val="1"/>
          <w:color w:val="auto"/>
        </w:rPr>
        <w:t xml:space="preserve"> </w:t>
      </w:r>
      <w:r>
        <w:rPr>
          <w:rFonts w:ascii="Arial" w:cs="Arial" w:eastAsia="Arial" w:hAnsi="Arial"/>
          <w:sz w:val="13"/>
          <w:szCs w:val="13"/>
          <w:color w:val="auto"/>
        </w:rPr>
        <w:t>Of the reduction in our effective tax rate, 2.1% was attributable to the net effect of acquisition-related costs (which include amortization of purchased intangible assets and other), restructuring charges and equity-based compensation expense, 1.4% was attributable to the net change in valuation allowances and tax reserves, offset by 2.1% attributable to adjustments to deferred tax liabilities related to two fiscal 2006 acquisitions, and the remaining difference was primarily attributable to the geographical distribution of earnings from global operations. Our effective tax rate for fiscal year 2008 is expected to be between 9% and 12% on an annualized basis compared to 10.6% in fiscal year 2007. Our effective tax rate may fluctuate between quarters as a result of discrete items that may affect a specific quarter and changes in our tax reserves in the ordinary course of business. See the discussion below under the caption “Effective Tax Rate.”</w:t>
      </w:r>
    </w:p>
    <w:p>
      <w:pPr>
        <w:spacing w:after="0" w:line="68"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was $364.9 million in fiscal 2007, compared to net income of $318.6 million in fiscal 2006. The increase in net income is attributable to the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income and interest income and other, net and to the decrease of our effective tax rate in fiscal 2007.</w:t>
      </w:r>
    </w:p>
    <w:p>
      <w:pPr>
        <w:spacing w:after="0" w:line="4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Diluted Earnings Per Share. </w:t>
      </w:r>
      <w:r>
        <w:rPr>
          <w:rFonts w:ascii="Arial" w:cs="Arial" w:eastAsia="Arial" w:hAnsi="Arial"/>
          <w:sz w:val="13"/>
          <w:szCs w:val="13"/>
          <w:color w:val="auto"/>
        </w:rPr>
        <w:t>Diluted earnings per share increased by $0.17, or 11.5%, in fiscal 2007 to $1.65 from $1.48 in fiscal 2006. The increase in diluted earnings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 resulted from the increase in net income partially offset by the increase in diluted weighted average number of shares outstanding. Please see Note 18 to our consolidated financial statements.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left="680" w:right="120" w:firstLine="399"/>
        <w:spacing w:after="0" w:line="299" w:lineRule="auto"/>
        <w:rPr>
          <w:sz w:val="20"/>
          <w:szCs w:val="20"/>
          <w:color w:val="auto"/>
        </w:rPr>
      </w:pPr>
      <w:r>
        <w:rPr>
          <w:rFonts w:ascii="Arial" w:cs="Arial" w:eastAsia="Arial" w:hAnsi="Arial"/>
          <w:sz w:val="12"/>
          <w:szCs w:val="12"/>
          <w:color w:val="auto"/>
        </w:rPr>
        <w:t>Cash, cash equivalents and short-term interest-bearing investments totaled $1,244.4 million as of September 30, 2008, compared to $1,179.3 million as of September 30, 2007. The increase during fiscal 2008 is mainly attributable to $483.6 million in positive cash flows from operations and $37.6 million in proceeds from the exercise of employee stock options, partially offset by approximately $247.6 million used to repurchase ordinary shares pursuant to our share repurchase program, $135.8 million for capital expenditures and $58.8 million in net cash paid for acquisitions. Net cash provided by operating activities amounted to $483.6 million for fiscal 2008 and $424.0 million for fiscal 2007.</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40" w:firstLine="399"/>
        <w:spacing w:after="0" w:line="294" w:lineRule="auto"/>
        <w:rPr>
          <w:sz w:val="20"/>
          <w:szCs w:val="20"/>
          <w:color w:val="auto"/>
        </w:rPr>
      </w:pPr>
      <w:r>
        <w:rPr>
          <w:rFonts w:ascii="Arial" w:cs="Arial" w:eastAsia="Arial" w:hAnsi="Arial"/>
          <w:sz w:val="13"/>
          <w:szCs w:val="13"/>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47" w:lineRule="exact"/>
        <w:rPr>
          <w:sz w:val="20"/>
          <w:szCs w:val="20"/>
          <w:color w:val="auto"/>
        </w:rPr>
      </w:pPr>
    </w:p>
    <w:p>
      <w:pPr>
        <w:ind w:left="680" w:right="800" w:firstLine="399"/>
        <w:spacing w:after="0" w:line="288" w:lineRule="auto"/>
        <w:rPr>
          <w:sz w:val="20"/>
          <w:szCs w:val="20"/>
          <w:color w:val="auto"/>
        </w:rPr>
      </w:pPr>
      <w:r>
        <w:rPr>
          <w:rFonts w:ascii="Arial" w:cs="Arial" w:eastAsia="Arial" w:hAnsi="Arial"/>
          <w:sz w:val="12"/>
          <w:szCs w:val="12"/>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U.S. government treasuries, U.S. agency securities and corporate bonds. We have conservative investment policy guidelines and, consistent with these guidelines, in prior years we also purchased AAA asset-backed obligations and mortgages. Our interest-bearing investments are stated at fair value. The estimated fair values of the investments are based on quoted market prices and on observable market inputs as of the end of the reporting period. We review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Based on our considerations of these factors the other-than-temporary impairment on our short-term interest-bearing investments was immaterial during fiscal 2008, 2007 and 2006.</w:t>
      </w:r>
    </w:p>
    <w:p>
      <w:pPr>
        <w:spacing w:after="0" w:line="56" w:lineRule="exact"/>
        <w:rPr>
          <w:sz w:val="20"/>
          <w:szCs w:val="20"/>
          <w:color w:val="auto"/>
        </w:rPr>
      </w:pPr>
    </w:p>
    <w:p>
      <w:pPr>
        <w:ind w:left="680" w:right="840" w:firstLine="399"/>
        <w:spacing w:after="0" w:line="284" w:lineRule="auto"/>
        <w:rPr>
          <w:sz w:val="20"/>
          <w:szCs w:val="20"/>
          <w:color w:val="auto"/>
        </w:rPr>
      </w:pPr>
      <w:r>
        <w:rPr>
          <w:rFonts w:ascii="Arial" w:cs="Arial" w:eastAsia="Arial" w:hAnsi="Arial"/>
          <w:sz w:val="12"/>
          <w:szCs w:val="12"/>
          <w:color w:val="auto"/>
        </w:rPr>
        <w:t>In November 2007, we entered into an unsecured $500 million five-year revolving credit facility with a syndicate of banks, which is available for general corporate purposes, including acquisitions and repurchases of our ordinary shares that we may consider from time to time. The interest rate for borrowings under the revolving credit facility is chosen at our option (from several pre-defined alternatives) and depends on the circumstances of any advance and, is based on our credit ratings. As of September 30, 2008, we were in compliance with specified financial covenants that the agreement imposes on us and had not borrowed against this facility. However, during the first quarter of fiscal 2009, we borrowed</w:t>
      </w:r>
    </w:p>
    <w:p>
      <w:pPr>
        <w:spacing w:after="0" w:line="2" w:lineRule="exact"/>
        <w:rPr>
          <w:sz w:val="20"/>
          <w:szCs w:val="20"/>
          <w:color w:val="auto"/>
        </w:rPr>
      </w:pPr>
    </w:p>
    <w:p>
      <w:pPr>
        <w:ind w:left="680" w:right="920"/>
        <w:spacing w:after="0" w:line="277" w:lineRule="auto"/>
        <w:rPr>
          <w:sz w:val="20"/>
          <w:szCs w:val="20"/>
          <w:color w:val="auto"/>
        </w:rPr>
      </w:pPr>
      <w:r>
        <w:rPr>
          <w:rFonts w:ascii="Arial" w:cs="Arial" w:eastAsia="Arial" w:hAnsi="Arial"/>
          <w:sz w:val="13"/>
          <w:szCs w:val="13"/>
          <w:color w:val="auto"/>
        </w:rPr>
        <w:t>$100 million under the facility which accrues interest at rate that is equal to LIBOR plus 35 basis points margin, and used the proceeds to repurchase a portion of our outstanding notes as described below.</w:t>
      </w:r>
    </w:p>
    <w:p>
      <w:pPr>
        <w:spacing w:after="0" w:line="58" w:lineRule="exact"/>
        <w:rPr>
          <w:sz w:val="20"/>
          <w:szCs w:val="20"/>
          <w:color w:val="auto"/>
        </w:rPr>
      </w:pPr>
    </w:p>
    <w:p>
      <w:pPr>
        <w:ind w:left="680" w:right="800" w:firstLine="399"/>
        <w:spacing w:after="0" w:line="267" w:lineRule="auto"/>
        <w:rPr>
          <w:sz w:val="20"/>
          <w:szCs w:val="20"/>
          <w:color w:val="auto"/>
        </w:rPr>
      </w:pPr>
      <w:r>
        <w:rPr>
          <w:rFonts w:ascii="Arial" w:cs="Arial" w:eastAsia="Arial" w:hAnsi="Arial"/>
          <w:sz w:val="13"/>
          <w:szCs w:val="13"/>
          <w:color w:val="auto"/>
        </w:rPr>
        <w:t>In November 2008, our Board of Directors authorized us to repurchase 100 million of our notes in such amounts, at such prices and at such times that we deem appropriate. During the first quarter of fiscal 2009, using proceeds from our revolving credit facility as described above, we purchased $100 million aggregate principal amount of our notes at an average price of 98% of the principal amount, excluding accrued interest and transaction fees. In March 2009, the notes are redeemable by us, and if we do not elect to redeem the notes, then the holders of the notes may require us to repurchase the notes at a purchase price equal to 100% of the principal amount of the notes plus accrued and unpaid interest. We anticipate that a substantial portion of the outstanding notes will be put to us in March 2009 if we do not elect to redeem them.</w:t>
      </w:r>
    </w:p>
    <w:p>
      <w:pPr>
        <w:spacing w:after="0" w:line="65" w:lineRule="exact"/>
        <w:rPr>
          <w:sz w:val="20"/>
          <w:szCs w:val="20"/>
          <w:color w:val="auto"/>
        </w:rPr>
      </w:pPr>
    </w:p>
    <w:p>
      <w:pPr>
        <w:ind w:left="680" w:right="840" w:firstLine="399"/>
        <w:spacing w:after="0" w:line="294" w:lineRule="auto"/>
        <w:rPr>
          <w:sz w:val="20"/>
          <w:szCs w:val="20"/>
          <w:color w:val="auto"/>
        </w:rPr>
      </w:pPr>
      <w:r>
        <w:rPr>
          <w:rFonts w:ascii="Arial" w:cs="Arial" w:eastAsia="Arial" w:hAnsi="Arial"/>
          <w:sz w:val="13"/>
          <w:szCs w:val="13"/>
          <w:color w:val="auto"/>
        </w:rPr>
        <w:t>As of September 30, 2008, we had outstanding letters of credit and bank guarantees from various banks totaling $5.2 million. As of September 30, 2008, we also had outstanding short-term loans of $1.5 million secured by specified pledges and guarantees.</w:t>
      </w:r>
    </w:p>
    <w:p>
      <w:pPr>
        <w:spacing w:after="0" w:line="47" w:lineRule="exact"/>
        <w:rPr>
          <w:sz w:val="20"/>
          <w:szCs w:val="20"/>
          <w:color w:val="auto"/>
        </w:rPr>
      </w:pPr>
    </w:p>
    <w:p>
      <w:pPr>
        <w:ind w:left="680" w:right="1080" w:firstLine="399"/>
        <w:spacing w:after="0" w:line="294" w:lineRule="auto"/>
        <w:rPr>
          <w:sz w:val="20"/>
          <w:szCs w:val="20"/>
          <w:color w:val="auto"/>
        </w:rPr>
      </w:pPr>
      <w:r>
        <w:rPr>
          <w:rFonts w:ascii="Arial" w:cs="Arial" w:eastAsia="Arial" w:hAnsi="Arial"/>
          <w:sz w:val="13"/>
          <w:szCs w:val="13"/>
          <w:color w:val="auto"/>
        </w:rPr>
        <w:t>The following table summarizes our contractual obligations as of September 30, 2008, and the effect such obligations are expected to have on our liquidity and cash flows in future periods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center"/>
              <w:ind w:left="178"/>
              <w:spacing w:after="0"/>
              <w:rPr>
                <w:sz w:val="20"/>
                <w:szCs w:val="20"/>
                <w:color w:val="auto"/>
              </w:rPr>
            </w:pPr>
            <w:r>
              <w:rPr>
                <w:rFonts w:ascii="Arial" w:cs="Arial" w:eastAsia="Arial" w:hAnsi="Arial"/>
                <w:sz w:val="11"/>
                <w:szCs w:val="11"/>
                <w:b w:val="1"/>
                <w:bCs w:val="1"/>
                <w:color w:val="auto"/>
                <w:w w:val="86"/>
              </w:rPr>
              <w:t>Cash Payments Due by Period</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80" w:type="dxa"/>
            <w:vAlign w:val="bottom"/>
          </w:tcPr>
          <w:p>
            <w:pPr>
              <w:spacing w:after="0"/>
              <w:rPr>
                <w:sz w:val="8"/>
                <w:szCs w:val="8"/>
                <w:color w:val="auto"/>
              </w:rPr>
            </w:pPr>
          </w:p>
        </w:tc>
        <w:tc>
          <w:tcPr>
            <w:tcW w:w="3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Contractual Obligations</w:t>
            </w:r>
          </w:p>
        </w:tc>
        <w:tc>
          <w:tcPr>
            <w:tcW w:w="2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right"/>
              <w:ind w:right="440"/>
              <w:spacing w:after="0" w:line="94" w:lineRule="exact"/>
              <w:rPr>
                <w:sz w:val="20"/>
                <w:szCs w:val="20"/>
                <w:color w:val="auto"/>
              </w:rPr>
            </w:pPr>
            <w:r>
              <w:rPr>
                <w:rFonts w:ascii="Arial" w:cs="Arial" w:eastAsia="Arial" w:hAnsi="Arial"/>
                <w:sz w:val="10"/>
                <w:szCs w:val="10"/>
                <w:b w:val="1"/>
                <w:bCs w:val="1"/>
                <w:color w:val="auto"/>
                <w:w w:val="92"/>
              </w:rPr>
              <w:t>Less Than</w:t>
            </w:r>
          </w:p>
        </w:tc>
        <w:tc>
          <w:tcPr>
            <w:tcW w:w="80" w:type="dxa"/>
            <w:vAlign w:val="bottom"/>
          </w:tcPr>
          <w:p>
            <w:pPr>
              <w:spacing w:after="0"/>
              <w:rPr>
                <w:sz w:val="8"/>
                <w:szCs w:val="8"/>
                <w:color w:val="auto"/>
              </w:rPr>
            </w:pPr>
          </w:p>
        </w:tc>
        <w:tc>
          <w:tcPr>
            <w:tcW w:w="320" w:type="dxa"/>
            <w:vAlign w:val="bottom"/>
          </w:tcPr>
          <w:p>
            <w:pPr>
              <w:jc w:val="right"/>
              <w:ind w:right="57"/>
              <w:spacing w:after="0" w:line="94" w:lineRule="exact"/>
              <w:rPr>
                <w:sz w:val="20"/>
                <w:szCs w:val="20"/>
                <w:color w:val="auto"/>
              </w:rPr>
            </w:pPr>
            <w:r>
              <w:rPr>
                <w:rFonts w:ascii="Arial" w:cs="Arial" w:eastAsia="Arial" w:hAnsi="Arial"/>
                <w:sz w:val="10"/>
                <w:szCs w:val="10"/>
                <w:b w:val="1"/>
                <w:bCs w:val="1"/>
                <w:color w:val="auto"/>
              </w:rPr>
              <w:t>1-3</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ind w:right="36"/>
              <w:spacing w:after="0" w:line="94" w:lineRule="exact"/>
              <w:rPr>
                <w:sz w:val="20"/>
                <w:szCs w:val="20"/>
                <w:color w:val="auto"/>
              </w:rPr>
            </w:pPr>
            <w:r>
              <w:rPr>
                <w:rFonts w:ascii="Arial" w:cs="Arial" w:eastAsia="Arial" w:hAnsi="Arial"/>
                <w:sz w:val="10"/>
                <w:szCs w:val="10"/>
                <w:b w:val="1"/>
                <w:bCs w:val="1"/>
                <w:color w:val="auto"/>
                <w:w w:val="96"/>
              </w:rPr>
              <w:t>4-5</w:t>
            </w:r>
          </w:p>
        </w:tc>
        <w:tc>
          <w:tcPr>
            <w:tcW w:w="380" w:type="dxa"/>
            <w:vAlign w:val="bottom"/>
          </w:tcPr>
          <w:p>
            <w:pPr>
              <w:spacing w:after="0"/>
              <w:rPr>
                <w:sz w:val="8"/>
                <w:szCs w:val="8"/>
                <w:color w:val="auto"/>
              </w:rPr>
            </w:pPr>
          </w:p>
        </w:tc>
        <w:tc>
          <w:tcPr>
            <w:tcW w:w="4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Over 5</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1 Year</w:t>
            </w:r>
          </w:p>
        </w:tc>
        <w:tc>
          <w:tcPr>
            <w:tcW w:w="80" w:type="dxa"/>
            <w:vAlign w:val="bottom"/>
          </w:tcPr>
          <w:p>
            <w:pPr>
              <w:spacing w:after="0"/>
              <w:rPr>
                <w:sz w:val="11"/>
                <w:szCs w:val="11"/>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w w:val="79"/>
              </w:rPr>
              <w:t>Years</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Years</w:t>
            </w:r>
          </w:p>
        </w:tc>
        <w:tc>
          <w:tcPr>
            <w:tcW w:w="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Years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notes including interest (1)</w:t>
            </w:r>
          </w:p>
        </w:tc>
        <w:tc>
          <w:tcPr>
            <w:tcW w:w="35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$ 486.1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7"/>
              </w:rPr>
              <w:t>$ 472.5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3"/>
                <w:szCs w:val="13"/>
                <w:color w:val="auto"/>
              </w:rPr>
              <w:t>Financing arrangements</w:t>
            </w:r>
          </w:p>
        </w:tc>
        <w:tc>
          <w:tcPr>
            <w:tcW w:w="3500" w:type="dxa"/>
            <w:vAlign w:val="bottom"/>
            <w:gridSpan w:val="3"/>
          </w:tcPr>
          <w:p>
            <w:pPr>
              <w:jc w:val="right"/>
              <w:ind w:right="400"/>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funding</w:t>
            </w:r>
          </w:p>
        </w:tc>
        <w:tc>
          <w:tcPr>
            <w:tcW w:w="35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3"/>
                <w:szCs w:val="13"/>
                <w:color w:val="auto"/>
              </w:rPr>
              <w:t>Purchase Obligations</w:t>
            </w:r>
          </w:p>
        </w:tc>
        <w:tc>
          <w:tcPr>
            <w:tcW w:w="3500" w:type="dxa"/>
            <w:vAlign w:val="bottom"/>
            <w:gridSpan w:val="3"/>
          </w:tcPr>
          <w:p>
            <w:pPr>
              <w:jc w:val="right"/>
              <w:ind w:right="400"/>
              <w:spacing w:after="0"/>
              <w:rPr>
                <w:sz w:val="20"/>
                <w:szCs w:val="20"/>
                <w:color w:val="auto"/>
              </w:rPr>
            </w:pPr>
            <w:r>
              <w:rPr>
                <w:rFonts w:ascii="Arial" w:cs="Arial" w:eastAsia="Arial" w:hAnsi="Arial"/>
                <w:sz w:val="13"/>
                <w:szCs w:val="13"/>
                <w:color w:val="auto"/>
              </w:rPr>
              <w:t>39.8</w:t>
            </w:r>
          </w:p>
        </w:tc>
        <w:tc>
          <w:tcPr>
            <w:tcW w:w="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Non-cancelable operating leases</w:t>
            </w:r>
          </w:p>
        </w:tc>
        <w:tc>
          <w:tcPr>
            <w:tcW w:w="35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229.1</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125.4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25.5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$ 776.5</w:t>
            </w:r>
          </w:p>
        </w:tc>
        <w:tc>
          <w:tcPr>
            <w:tcW w:w="4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150.5</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33.6</w:t>
            </w:r>
          </w:p>
        </w:tc>
        <w:tc>
          <w:tcPr>
            <w:tcW w:w="3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$ 486.1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80" w:type="dxa"/>
            <w:vAlign w:val="bottom"/>
            <w:vMerge w:val="restart"/>
          </w:tcPr>
          <w:p>
            <w:pPr>
              <w:jc w:val="right"/>
              <w:ind w:right="1073"/>
              <w:spacing w:after="0"/>
              <w:rPr>
                <w:sz w:val="20"/>
                <w:szCs w:val="20"/>
                <w:color w:val="auto"/>
              </w:rPr>
            </w:pPr>
            <w:r>
              <w:rPr>
                <w:rFonts w:ascii="Arial" w:cs="Arial" w:eastAsia="Arial" w:hAnsi="Arial"/>
                <w:sz w:val="13"/>
                <w:szCs w:val="13"/>
                <w:color w:val="auto"/>
              </w:rPr>
              <w:t>39</w:t>
            </w: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ind w:left="1000" w:right="100" w:hanging="266"/>
        <w:spacing w:after="0" w:line="267"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During the first quarter of fiscal 2009, using proceeds from our revolving credit facility as described above, we purchased $100 million aggregate principal amount of our notes at an average price of 98% of the principal amount, excluding accrued interest and transaction fees. In March 2009, the notes are redeemable by us, and if we do not elect to redeem the notes, then the holders of the notes may require us to repurchase the notes at a purchase price equal to 100% of the principal amount of the notes plus accrued and unpaid interest. The notes mature on 2024, however, we anticipate that a substantial portion of the outstanding notes will be put to us in March 2009 if we do not elect to redeem them. Please see Note 11 to our consolidated financial statements.</w:t>
      </w:r>
    </w:p>
    <w:p>
      <w:pPr>
        <w:spacing w:after="0" w:line="65"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Our capital expenditures were approximately $135.8 million in fiscal 2008. Approximately 83% of these expenditures consisted of purchases of computer equipment with the remainder attributable mainly to leasehold improvements. Our fiscal 2008 capital expenditures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63"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From time to time, we have engaged in share repurchase programs in which we repurchase our shares in the open market or privately negotiated transactions and at times and prices we deem appropriate.</w:t>
      </w:r>
    </w:p>
    <w:p>
      <w:pPr>
        <w:spacing w:after="0" w:line="47"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 fiscal 2008, we repurchased 8.4 million ordinary shares at an average price of $30.45 per share (excluding broker and transaction fees), leaving us with authority as of September 30, 2008 to repurchase up to $95.3 million of our ordinary shares under the share repurchase plan. In the first quarter of fiscal 2009 (through November 30, 2008), we repurchased approximately 0.5 million ordinary shares at an average price of $26.90 per share (excluding broker and transaction fees). Although we currently do not plan to repurchase additional ordinary shares in the immediate future, we have authority, as of November 30, 2008, to repurchase up to $82.7 million of our ordinary shares under this plan.</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Deferred Tax Assets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of September 30, 2008, deferred tax assets of $76.5 million, derived from net capital and operating loss carryforwards related primarily to some of our subsidiaries,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 or through goodwill.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4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Revenue recognition and contract accounting</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Tax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Business combinations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Equity-based compensation expense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Goodwill and intangible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Derivative and hedge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Short-term interest-bearing investments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Realizability of long-lived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Accounts receivable reserves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Contract Accounting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derive our revenue principally from:</w:t>
      </w:r>
    </w:p>
    <w:p>
      <w:pPr>
        <w:spacing w:after="0" w:line="102" w:lineRule="exact"/>
        <w:rPr>
          <w:sz w:val="20"/>
          <w:szCs w:val="20"/>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initial sales of licenses to use our products and related services, including modification, implementation, integration and customization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providing managed services and other related services for our solutions, and</w:t>
      </w:r>
    </w:p>
    <w:p>
      <w:pPr>
        <w:spacing w:after="0" w:line="92"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recurring revenue from ongoing support and maintenance provided to our customers, and from incremental license fees resulting from increases in a customer’s business volume.</w:t>
      </w:r>
    </w:p>
    <w:p>
      <w:pPr>
        <w:spacing w:after="0" w:line="47"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and those in which the services are not available from third-party vendors are deemed essential to the software.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 significant portion of our revenue is recognized over the course of long-term projects under the percentage of completion method of accounting. The percentage of completion method requires the exercise of judgment, such as with respect to estimations of progress-to-completion,</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 revenue, loss contracts and contract costs. Progress in completing such projects may significantly affect our annual and quarterly operating results.</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We follow very specific and detailed guidelines, several of which are discussed above, in measuring revenue; however, certain judgments affect the application of our revenue recognition policy.</w:t>
      </w:r>
    </w:p>
    <w:p>
      <w:pPr>
        <w:spacing w:after="0" w:line="47"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 We regularly review the allowance by considering factors that may affect a customer’s ability to pay, such as historical experience, credit quality, age of the accounts receivable balances, and current economic conditions.</w:t>
      </w:r>
    </w:p>
    <w:p>
      <w:pPr>
        <w:spacing w:after="0" w:line="48"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For arrangements with multiple deliverables, we allocate revenue to each component based upon its relative fair value, which is determined in reliance on the Vendor Specific Objective Evidence (“VSOE”) of fair value for that element. Such determination is judgmental and for most contracts is based on normal pricing and discounting practices for those elements when sold separately in similar arrangements. We use the residual method in accordance with SOP 97-2, “Software Revenue Recognition” (“SOP 97-2”) and EITF No. 00-21, “Revenue Arrangements with Multiple Deliverables” (“EITF No. 00-21”). In the absence of fair value for a delivered element we first allocate revenue to the fair value of the undelivered elements and residual revenue to the delivered elements.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w:t>
      </w:r>
    </w:p>
    <w:p>
      <w:pPr>
        <w:spacing w:after="0" w:line="51"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Accounting</w:t>
      </w:r>
    </w:p>
    <w:p>
      <w:pPr>
        <w:spacing w:after="0" w:line="10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51"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63"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Effective October 1, 2007, we adopted Financial Interpretation No. 48, “Accounting for Uncertainty in Income Taxes - an interpretation of FASB Statement No. 109” (“FIN No. 48”), which contains a two-step approach to recognizing and measuring uncertain tax positions accounted for in accordance with Statement of Financial Accounting Standards No. 109, “Accounting for Income Taxes” (“SFAS No. 109”). The first step is to evaluate the tax position for recognition by determining if the weight of available evidence indicates that it is more likely than not that the position will be sustained on audit, including resolution of related appeals or</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65" w:lineRule="auto"/>
        <w:rPr>
          <w:sz w:val="20"/>
          <w:szCs w:val="20"/>
          <w:color w:val="auto"/>
        </w:rPr>
      </w:pPr>
      <w:r>
        <w:rPr>
          <w:rFonts w:ascii="Arial" w:cs="Arial" w:eastAsia="Arial" w:hAnsi="Arial"/>
          <w:sz w:val="13"/>
          <w:szCs w:val="13"/>
          <w:color w:val="auto"/>
        </w:rPr>
        <w:t>litigation processes, if any. The second step is to measure the tax benefit as the largest amount that is more than 50% likely of being realized upon settlement.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68" w:lineRule="exact"/>
        <w:rPr>
          <w:sz w:val="20"/>
          <w:szCs w:val="20"/>
          <w:color w:val="auto"/>
        </w:rPr>
      </w:pPr>
    </w:p>
    <w:p>
      <w:pPr>
        <w:ind w:left="680" w:right="80" w:firstLine="399"/>
        <w:spacing w:after="0" w:line="338" w:lineRule="auto"/>
        <w:rPr>
          <w:sz w:val="20"/>
          <w:szCs w:val="20"/>
          <w:color w:val="auto"/>
        </w:rPr>
      </w:pPr>
      <w:r>
        <w:rPr>
          <w:rFonts w:ascii="Arial" w:cs="Arial" w:eastAsia="Arial" w:hAnsi="Arial"/>
          <w:sz w:val="12"/>
          <w:szCs w:val="12"/>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5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Management makes estimates of fair value based upon assumptions believed to be reasonable. These estimates are based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and hosting agreements,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4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As discussed above under “Tax Accounting,” we may establish a valuation allowance for certain deferred tax assets of a newly acquired entity. This process requires significant judgment and analysis.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Equity-Based Compensation Expense</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account for equity-based compensation in accordance with SFAS No. 123(R), “Share-Based Payment” (“SFAS No. 123(R)”). Under the fair value recognition provisions of this statement, share-based compensation cost is measured at the grant date based on the value of the award and is recognized as expense over the requisite service periods. We estimate the fair value of employee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48"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The selection of the blended volatility approach was based upon the availability of traded options on our shares and our assessment that blended volatility is more representative of future share price trends than historical volatility. Equity-based compensation expense recognized in our consolidated statement of operations were reduced for estimated forfeitures.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equity-based compensation expense and our results of operations could be materially impacted. Please see Note 17 to our consolidated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We follow SFAS No. 142, “Goodwill and Other Intangible Assets” (“SFAS No. 142”). Under SFAS No. 142, goodwill and intangible assets deemed to have indefinite lives and are subject to periodic impairment tests in accordance with the Statement. Goodwill impairment is deemed to exist if the net book value of a reporting unit exceeds its estimated fair value. 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6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perform an annual impairment test during the fourth quarter of each fiscal year, or more frequently if impairment indicators are present. We operate in one operating segment, and this segment comprises our only reporting unit. In calculating the fair value of the reporting unit, we used a discounted cash flow methodology. There was no impairment of goodwill upon adoption of SFAS No. 142 and there was no impairment at the annual impairment test date.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and Hedge Accounting</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Approximately 70% of our revenue and 50% to 60% of our operating expenses are denominated in U.S. dollar or linked to the U.S. dollar. We enter into foreign exchange forward contracts and options to hedge a significant portion of our foreign currency net exposure resulting from revenue and expense in each foreign currency, in order to reduce the impact of foreign currency on our results. We also enter into foreign exchange forward contracts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65"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Establishing and accounting for foreign exchange contracts involve judgments, such as determining the nature of the exposure, assessing its amount and timing, and evaluating the effectiveness of the hedging arrangement.</w:t>
      </w:r>
    </w:p>
    <w:p>
      <w:pPr>
        <w:spacing w:after="0" w:line="4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Interest-Bearing Investments</w:t>
      </w:r>
    </w:p>
    <w:p>
      <w:pPr>
        <w:spacing w:after="0" w:line="102"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U.S. government treasuries, U.S. agency securities and corporate bonds. We have conservative investment policy guidelines and, consistent with these guidelines, in prior years we also purchased only AAA asset-backed obligations and mortgages. Our interest-bearing investments are stated at fair value. The estimated fair values of the investments are based on quoted market prices and on observable market inputs as of the end of the reporting period. We review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Based on our considerations of these factors, the other-than-temporary impairment on our short-term interest-bearing investments was immaterial during fiscal 2008, 2007 and 2006.</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firstLine="399"/>
        <w:spacing w:after="0" w:line="338" w:lineRule="auto"/>
        <w:rPr>
          <w:sz w:val="20"/>
          <w:szCs w:val="20"/>
          <w:color w:val="auto"/>
        </w:rPr>
      </w:pPr>
      <w:r>
        <w:rPr>
          <w:rFonts w:ascii="Arial" w:cs="Arial" w:eastAsia="Arial" w:hAnsi="Arial"/>
          <w:sz w:val="12"/>
          <w:szCs w:val="12"/>
          <w:color w:val="auto"/>
        </w:rPr>
        <w:t>Due to the continuing changes and uncertainty in the credit markets, 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Realizability of Long-Lived Assets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We are required to assess the impairment of long-lived assets, other than goodwill, tangible and intangible under SFAS No. 144, “Accounting for the Impairment or Disposal of Long-Lived Assets” (“SFAS No. 144”) on a periodic basis, and if events or changes in circumstances indicate that the carrying value may not be recoverable.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63"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either through a charge to selling, general and administrative expenses or as a reduction to revenue.</w:t>
      </w:r>
    </w:p>
    <w:p>
      <w:pPr>
        <w:spacing w:after="0" w:line="68"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Within the context of these critical accounting policies, we are not currently aware of any reasonably likely events or circumstances that would result in materially different amounts being reported.</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June 2008, the Financial Accounting Standards Board (“FASB”) issued FASB Staff Position No. EITF No. 03-6-1, “Determining Whether Instruments Granted in Share-Based Payment Transactions Are Participating Securities” (“FSP EITF No. 03-6-1”). According to FSP EITF No. 03-6-1, unvested share-based payment awards that contain nonforfeitable rights to dividends or dividend equivalents are considered participating securities under Statement of Financial Accounting Standards No. 128, “Earnings per Share” (“SFAS No. 128”). As such, they should be included in the computation of basic earnings per share (“EPS”) using the two-class method. FSP EITF No. 03-6-1 is effective for financial statements issued for fiscal years beginning after December 15, 2008, as well as interim periods within those years. Once effective, all prior-period EPS data presented must be adjusted retrospectively. We are currently evaluating the effect that adopting the provisions of FSP EITF No. 03-6-1 will have on our consolidated results of operations, and we currently expect that the effect will not be material.</w:t>
      </w:r>
    </w:p>
    <w:p>
      <w:pPr>
        <w:spacing w:after="0" w:line="68" w:lineRule="exact"/>
        <w:rPr>
          <w:sz w:val="20"/>
          <w:szCs w:val="20"/>
          <w:color w:val="auto"/>
        </w:rPr>
      </w:pPr>
    </w:p>
    <w:p>
      <w:pPr>
        <w:ind w:left="680" w:right="200" w:firstLine="399"/>
        <w:spacing w:after="0" w:line="295" w:lineRule="auto"/>
        <w:rPr>
          <w:sz w:val="20"/>
          <w:szCs w:val="20"/>
          <w:color w:val="auto"/>
        </w:rPr>
      </w:pPr>
      <w:r>
        <w:rPr>
          <w:rFonts w:ascii="Arial" w:cs="Arial" w:eastAsia="Arial" w:hAnsi="Arial"/>
          <w:sz w:val="12"/>
          <w:szCs w:val="12"/>
          <w:color w:val="auto"/>
        </w:rPr>
        <w:t>In March 2008, the FASB issued Statement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FASB Statement No. 133, “Accounting for Derivative Instruments and Hedging Activities” (“SFAS 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position, results of operations, and cash flows. SFAS No. 161 is effective for financial statements issued for fiscal years and interim periods beginning after November 15, 2008.</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Although SFAS No. 161 requires us to make additional disclosures, it does not affect the underlying accounting policy or the application thereof.</w:t>
      </w:r>
    </w:p>
    <w:p>
      <w:pPr>
        <w:spacing w:after="0" w:line="9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December 2007, the FASB issued Statement No. 141 (revised), “Business Combinations” (“SFAS No. 141(R)”). SFAS No.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us prospectively for business combinations for which the acquisition date is on or after October 1, 2009.</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In December 2007, the FASB issued Statement No. 160, “Noncontrolling Interests in Consolidated Financial Statements” -an amendment of ARB No. 51 (“SFAS No. 160”). SFAS No. 160 changes the accounting for noncontrolling (minority) interests in consolidated financial statements including the requirements to classify noncontrolling interests as a component of consolidated shareholders’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We are currently evaluating the effect that the application of SFAS No. 160 will have on our consolidated results of operations and financial condition.</w:t>
      </w:r>
    </w:p>
    <w:p>
      <w:pPr>
        <w:spacing w:after="0" w:line="65"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In February 2007, the FASB issued Statement No. 159 “The Fair Value Option for Financial Assets and Financial Liabilities” including an amendment of FASB Statement</w:t>
      </w:r>
    </w:p>
    <w:p>
      <w:pPr>
        <w:spacing w:after="0" w:line="22"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No. 159 also establishes additional disclosure requirements and is effective for fiscal years beginning after November 15, 2007, with early adoption permitted provided that the entity also adopts Statement No. 157, “Fair Value Measurements” (“SFAS No. 157”). We will apply SFAS No. 159 beginning in the first quarter of fiscal 2009, and we do not expect it to have a material impact on our results of operations or financial position.</w:t>
      </w:r>
    </w:p>
    <w:p>
      <w:pPr>
        <w:spacing w:after="0" w:line="6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In September 2006, the FASB issued SFAS No. 157 which defines fair value, establishes a framework for measuring fair value in generally accepted accounting principles, and expands disclosures about fair value measurements. SFAS No. 157 applies under other accounting pronouncements that require or permit fair value measurements. SFAS No. 157 is effective for fiscal years beginning after November 15, 2007, and interim periods within those fiscal years. In February 2008, the FASB issued FASB Staff Position No. SFAS No. 157-2, Effective Date of FASB Statement No. 157, which provides a one-year deferral of the effective date of SFAS No. 157 for non-financial assets and non-financial liabilities, except those that are recognized or disclosed in the financial statements at fair value on a recurring basis (at least annually). We do not expect the adoption of SFAS No. 157 for financial assets and financial liabilities to have a material impact on our results of operations or financial position. We are currently assessing the impact that SFAS No. 157 will have on our results of operations and financial position when it is applied to nonfinancial assets and nonfinancial liabilities beginning in the first quarter of fiscal 2010.</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Adoption of New Accounting Standard</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June 2006, the FASB issued FIN No. 48 which clarifies the accounting for uncertainty in income taxes recognized in an enterprise’s financial statements in accordance with SFAS No. 109, Accounting for Income Taxes. FIN No. 48 also prescribes a recognition threshold and measurement attribute for the financial statement recognition and measurement of a tax position taken or expected to be taken in a tax return that results in a tax benefit. Additionally, FIN No. 48 provides guidance on de-recognition, income statement classification of interest and penalties, accounting in interim periods, disclosure and transition. We adopted</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FIN No. 48 in the first quarter of fiscal 2008. The adoption of FIN No. 48 did not result in a change to retained earnings. Please see Note 9 to our consolidated financial statements.</w:t>
      </w:r>
    </w:p>
    <w:p>
      <w:pPr>
        <w:spacing w:after="0" w:line="19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color w:val="auto"/>
        </w:rPr>
        <w:t>DIRECTORS, SENIOR MANAGEMENT AND EMPLOYEES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Senior Management</w:t>
      </w:r>
    </w:p>
    <w:p>
      <w:pPr>
        <w:spacing w:after="0" w:line="104"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November 30, 2008, our directors and senior managers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920" w:type="dxa"/>
            <w:vAlign w:val="bottom"/>
          </w:tcPr>
          <w:p>
            <w:pPr>
              <w:jc w:val="right"/>
              <w:ind w:right="74"/>
              <w:spacing w:after="0"/>
              <w:rPr>
                <w:sz w:val="20"/>
                <w:szCs w:val="20"/>
                <w:color w:val="auto"/>
              </w:rPr>
            </w:pPr>
            <w:r>
              <w:rPr>
                <w:rFonts w:ascii="Arial" w:cs="Arial" w:eastAsia="Arial" w:hAnsi="Arial"/>
                <w:sz w:val="11"/>
                <w:szCs w:val="11"/>
                <w:b w:val="1"/>
                <w:bCs w:val="1"/>
                <w:color w:val="auto"/>
              </w:rPr>
              <w:t>Age</w:t>
            </w:r>
          </w:p>
        </w:tc>
        <w:tc>
          <w:tcPr>
            <w:tcW w:w="5100" w:type="dxa"/>
            <w:vAlign w:val="bottom"/>
          </w:tcPr>
          <w:p>
            <w:pPr>
              <w:ind w:left="254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r>
      <w:tr>
        <w:trPr>
          <w:trHeight w:val="49"/>
        </w:trPr>
        <w:tc>
          <w:tcPr>
            <w:tcW w:w="1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100" w:type="dxa"/>
            <w:vAlign w:val="bottom"/>
          </w:tcPr>
          <w:p>
            <w:pPr>
              <w:spacing w:after="0"/>
              <w:rPr>
                <w:sz w:val="4"/>
                <w:szCs w:val="4"/>
                <w:color w:val="auto"/>
              </w:rPr>
            </w:pP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K. Anderson(2)(4)(5)</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68</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Chairman of the Board, Amdocs 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Adrian Gardner(1)(3)</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46</w:t>
            </w:r>
          </w:p>
        </w:tc>
        <w:tc>
          <w:tcPr>
            <w:tcW w:w="5100" w:type="dxa"/>
            <w:vAlign w:val="bottom"/>
          </w:tcPr>
          <w:p>
            <w:pPr>
              <w:ind w:left="160"/>
              <w:spacing w:after="0"/>
              <w:rPr>
                <w:sz w:val="20"/>
                <w:szCs w:val="20"/>
                <w:color w:val="auto"/>
              </w:rPr>
            </w:pPr>
            <w:r>
              <w:rPr>
                <w:rFonts w:ascii="Arial" w:cs="Arial" w:eastAsia="Arial" w:hAnsi="Arial"/>
                <w:sz w:val="13"/>
                <w:szCs w:val="13"/>
                <w:color w:val="auto"/>
              </w:rPr>
              <w:t>Director and Chairman of the Audit Committee, Amdocs Limited</w:t>
            </w:r>
          </w:p>
        </w:tc>
      </w:tr>
      <w:tr>
        <w:trPr>
          <w:trHeight w:val="150"/>
        </w:trPr>
        <w:tc>
          <w:tcPr>
            <w:tcW w:w="1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4"/>
              </w:rPr>
              <w:t>Director and Chairman of the Nominating and Corporate Governance Committee, Amdocs</w:t>
            </w:r>
          </w:p>
        </w:tc>
      </w:tr>
      <w:tr>
        <w:trPr>
          <w:trHeight w:val="172"/>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E. Foster(1)(3)</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72</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James S. Kahan(2)(3)(4)</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61</w:t>
            </w:r>
          </w:p>
        </w:tc>
        <w:tc>
          <w:tcPr>
            <w:tcW w:w="5100" w:type="dxa"/>
            <w:vAlign w:val="bottom"/>
          </w:tcPr>
          <w:p>
            <w:pPr>
              <w:ind w:left="160"/>
              <w:spacing w:after="0"/>
              <w:rPr>
                <w:sz w:val="20"/>
                <w:szCs w:val="20"/>
                <w:color w:val="auto"/>
              </w:rPr>
            </w:pPr>
            <w:r>
              <w:rPr>
                <w:rFonts w:ascii="Arial" w:cs="Arial" w:eastAsia="Arial" w:hAnsi="Arial"/>
                <w:sz w:val="13"/>
                <w:szCs w:val="13"/>
                <w:color w:val="auto"/>
              </w:rPr>
              <w:t>Director and Chairman of the Compensation Committee, Amdocs Limited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Zohar Zisapel(5)</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59</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Director and Chairman of the Technology and Innovation Committee, Amdocs 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Julian A. Brodsky(3)</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75</w:t>
            </w:r>
          </w:p>
        </w:tc>
        <w:tc>
          <w:tcPr>
            <w:tcW w:w="5100" w:type="dxa"/>
            <w:vAlign w:val="bottom"/>
          </w:tcPr>
          <w:p>
            <w:pPr>
              <w:ind w:left="160"/>
              <w:spacing w:after="0"/>
              <w:rPr>
                <w:sz w:val="20"/>
                <w:szCs w:val="20"/>
                <w:color w:val="auto"/>
              </w:rPr>
            </w:pPr>
            <w:r>
              <w:rPr>
                <w:rFonts w:ascii="Arial" w:cs="Arial" w:eastAsia="Arial" w:hAnsi="Arial"/>
                <w:sz w:val="13"/>
                <w:szCs w:val="13"/>
                <w:color w:val="auto"/>
              </w:rPr>
              <w:t>Director, Amdocs Limited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Eli Gelman(5)</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50</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Director, Amdocs 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Nehemia Lemelbaum(4)(5)</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66</w:t>
            </w:r>
          </w:p>
        </w:tc>
        <w:tc>
          <w:tcPr>
            <w:tcW w:w="5100" w:type="dxa"/>
            <w:vAlign w:val="bottom"/>
          </w:tcPr>
          <w:p>
            <w:pPr>
              <w:ind w:left="160"/>
              <w:spacing w:after="0"/>
              <w:rPr>
                <w:sz w:val="20"/>
                <w:szCs w:val="20"/>
                <w:color w:val="auto"/>
              </w:rPr>
            </w:pPr>
            <w:r>
              <w:rPr>
                <w:rFonts w:ascii="Arial" w:cs="Arial" w:eastAsia="Arial" w:hAnsi="Arial"/>
                <w:sz w:val="13"/>
                <w:szCs w:val="13"/>
                <w:color w:val="auto"/>
              </w:rPr>
              <w:t>Director, Amdocs Limited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T. McLennan(1)</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63</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Director, Amdocs 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Robert A. Minicucci(2)(4)</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56</w:t>
            </w:r>
          </w:p>
        </w:tc>
        <w:tc>
          <w:tcPr>
            <w:tcW w:w="5100" w:type="dxa"/>
            <w:vAlign w:val="bottom"/>
          </w:tcPr>
          <w:p>
            <w:pPr>
              <w:ind w:left="160"/>
              <w:spacing w:after="0"/>
              <w:rPr>
                <w:sz w:val="20"/>
                <w:szCs w:val="20"/>
                <w:color w:val="auto"/>
              </w:rPr>
            </w:pPr>
            <w:r>
              <w:rPr>
                <w:rFonts w:ascii="Arial" w:cs="Arial" w:eastAsia="Arial" w:hAnsi="Arial"/>
                <w:sz w:val="13"/>
                <w:szCs w:val="13"/>
                <w:color w:val="auto"/>
              </w:rPr>
              <w:t>Director, Amdocs Limited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Simon Olswang(1)</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64</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Director, Amdocs Limited</w:t>
            </w:r>
          </w:p>
        </w:tc>
      </w:tr>
      <w:tr>
        <w:trPr>
          <w:trHeight w:val="150"/>
        </w:trPr>
        <w:tc>
          <w:tcPr>
            <w:tcW w:w="1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100" w:type="dxa"/>
            <w:vAlign w:val="bottom"/>
          </w:tcPr>
          <w:p>
            <w:pPr>
              <w:ind w:left="160"/>
              <w:spacing w:after="0"/>
              <w:rPr>
                <w:sz w:val="20"/>
                <w:szCs w:val="20"/>
                <w:color w:val="auto"/>
              </w:rPr>
            </w:pPr>
            <w:r>
              <w:rPr>
                <w:rFonts w:ascii="Arial" w:cs="Arial" w:eastAsia="Arial" w:hAnsi="Arial"/>
                <w:sz w:val="13"/>
                <w:szCs w:val="13"/>
                <w:color w:val="auto"/>
                <w:w w:val="97"/>
              </w:rPr>
              <w:t>Director, Amdocs Limited; President and Chief Executive Officer, Amdocs Management</w:t>
            </w:r>
          </w:p>
        </w:tc>
      </w:tr>
      <w:tr>
        <w:trPr>
          <w:trHeight w:val="172"/>
        </w:trPr>
        <w:tc>
          <w:tcPr>
            <w:tcW w:w="2960" w:type="dxa"/>
            <w:vAlign w:val="bottom"/>
            <w:gridSpan w:val="2"/>
          </w:tcPr>
          <w:p>
            <w:pPr>
              <w:spacing w:after="0"/>
              <w:rPr>
                <w:sz w:val="20"/>
                <w:szCs w:val="20"/>
                <w:color w:val="auto"/>
              </w:rPr>
            </w:pPr>
            <w:r>
              <w:rPr>
                <w:rFonts w:ascii="Arial" w:cs="Arial" w:eastAsia="Arial" w:hAnsi="Arial"/>
                <w:sz w:val="13"/>
                <w:szCs w:val="13"/>
                <w:color w:val="auto"/>
              </w:rPr>
              <w:t>Dov Baharav(4)</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58</w:t>
            </w:r>
          </w:p>
        </w:tc>
        <w:tc>
          <w:tcPr>
            <w:tcW w:w="5100" w:type="dxa"/>
            <w:vAlign w:val="bottom"/>
          </w:tcPr>
          <w:p>
            <w:pPr>
              <w:ind w:left="160"/>
              <w:spacing w:after="0"/>
              <w:rPr>
                <w:sz w:val="20"/>
                <w:szCs w:val="20"/>
                <w:color w:val="auto"/>
              </w:rPr>
            </w:pPr>
            <w:r>
              <w:rPr>
                <w:rFonts w:ascii="Arial" w:cs="Arial" w:eastAsia="Arial" w:hAnsi="Arial"/>
                <w:sz w:val="13"/>
                <w:szCs w:val="13"/>
                <w:color w:val="auto"/>
              </w:rPr>
              <w:t>Limited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Tamar Rapaport Dagim</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37</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Senior Vice President and Chief Financial Officer, Amdocs Management Limited</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James Liang</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51</w:t>
            </w:r>
          </w:p>
        </w:tc>
        <w:tc>
          <w:tcPr>
            <w:tcW w:w="5100" w:type="dxa"/>
            <w:vAlign w:val="bottom"/>
          </w:tcPr>
          <w:p>
            <w:pPr>
              <w:ind w:left="160"/>
              <w:spacing w:after="0"/>
              <w:rPr>
                <w:sz w:val="20"/>
                <w:szCs w:val="20"/>
                <w:color w:val="auto"/>
              </w:rPr>
            </w:pPr>
            <w:r>
              <w:rPr>
                <w:rFonts w:ascii="Arial" w:cs="Arial" w:eastAsia="Arial" w:hAnsi="Arial"/>
                <w:sz w:val="13"/>
                <w:szCs w:val="13"/>
                <w:color w:val="auto"/>
              </w:rPr>
              <w:t>Senior Vice President and Chief Strategy Officer, Amdocs, Inc.</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Ayal Shiran</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43</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Senior Vice President and Head of Customer Business Group</w:t>
            </w: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color w:val="auto"/>
              </w:rPr>
              <w:t>Anshoo Gaur</w:t>
            </w:r>
          </w:p>
        </w:tc>
        <w:tc>
          <w:tcPr>
            <w:tcW w:w="1920" w:type="dxa"/>
            <w:vAlign w:val="bottom"/>
          </w:tcPr>
          <w:p>
            <w:pPr>
              <w:jc w:val="right"/>
              <w:ind w:right="274"/>
              <w:spacing w:after="0"/>
              <w:rPr>
                <w:sz w:val="20"/>
                <w:szCs w:val="20"/>
                <w:color w:val="auto"/>
              </w:rPr>
            </w:pPr>
            <w:r>
              <w:rPr>
                <w:rFonts w:ascii="Arial" w:cs="Arial" w:eastAsia="Arial" w:hAnsi="Arial"/>
                <w:sz w:val="13"/>
                <w:szCs w:val="13"/>
                <w:color w:val="auto"/>
              </w:rPr>
              <w:t>40</w:t>
            </w:r>
          </w:p>
        </w:tc>
        <w:tc>
          <w:tcPr>
            <w:tcW w:w="5100" w:type="dxa"/>
            <w:vAlign w:val="bottom"/>
          </w:tcPr>
          <w:p>
            <w:pPr>
              <w:ind w:left="160"/>
              <w:spacing w:after="0"/>
              <w:rPr>
                <w:sz w:val="20"/>
                <w:szCs w:val="20"/>
                <w:color w:val="auto"/>
              </w:rPr>
            </w:pPr>
            <w:r>
              <w:rPr>
                <w:rFonts w:ascii="Arial" w:cs="Arial" w:eastAsia="Arial" w:hAnsi="Arial"/>
                <w:sz w:val="13"/>
                <w:szCs w:val="13"/>
                <w:color w:val="auto"/>
              </w:rPr>
              <w:t>Division President, Amdocs Development Center India Pvt. Ltd.</w:t>
            </w:r>
          </w:p>
        </w:tc>
      </w:tr>
      <w:tr>
        <w:trPr>
          <w:trHeight w:val="161"/>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G. O’Brien</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47</w:t>
            </w:r>
          </w:p>
        </w:tc>
        <w:tc>
          <w:tcPr>
            <w:tcW w:w="51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Treasurer and Secretary, Amdocs Limited</w:t>
            </w:r>
          </w:p>
        </w:tc>
      </w:tr>
      <w:tr>
        <w:trPr>
          <w:trHeight w:val="101"/>
        </w:trPr>
        <w:tc>
          <w:tcPr>
            <w:tcW w:w="13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-2046605</wp:posOffset>
            </wp:positionV>
            <wp:extent cx="254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Executive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Technology and Innovation Committee</w:t>
      </w:r>
    </w:p>
    <w:p>
      <w:pPr>
        <w:spacing w:after="0" w:line="6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 November 2008, Mario Segal resigned as a director of Amdocs. Mr. Segal had been a director since December 2001 and served as Senior Vice President and Chief Operating Officer of Amdocs Management Limited from 1995 until July 2002.</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280" w:firstLine="399"/>
        <w:spacing w:after="0" w:line="295" w:lineRule="auto"/>
        <w:rPr>
          <w:sz w:val="20"/>
          <w:szCs w:val="20"/>
          <w:color w:val="auto"/>
        </w:rPr>
      </w:pPr>
      <w:r>
        <w:rPr>
          <w:rFonts w:ascii="Arial" w:cs="Arial" w:eastAsia="Arial" w:hAnsi="Arial"/>
          <w:sz w:val="12"/>
          <w:szCs w:val="12"/>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that provides transaction, credit and marketing services to large consumer based businesses.</w:t>
      </w:r>
    </w:p>
    <w:p>
      <w:pPr>
        <w:spacing w:after="0" w:line="49"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Adrian Gardner has been a director of Amdocs since April 1998 and is Chairman of the Audit Committee. Since November 2007, Mr. Gardner has been Chief Financial Officer of PA Consulting Group, a London-based business consulting firm. From April until November 2007, Mr. Gardner was a private investor. Mr. Gardner was Chief Financial Officer of ProStrakan Group plc, a pharmaceuticals company based in the United Kingdom and listed on the London Stock Exchange, from 2002 until April 2007 and a director from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68"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Charles E. Foster has been a director of Amdocs since December 2001 and is Chairman of the Nominating and Corporate Governance Committee.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In 2005, SBC acquired AT&amp;T Corp. and became AT&amp;T Inc. AT&amp;T, together with its affiliates, holds 5.1% of our outstanding ordinary shares and is our most significant customer. Mr. Foster serves as trustee of the Southwest Foundation for Bio-Medical Research, a non-profit research institute. Mr. Foster is a member of the Texas Society of Professional Engineers and a director of Morningside Ministries, a non-profit operator of nursing homes in the San Antonio area.</w:t>
      </w:r>
    </w:p>
    <w:p>
      <w:pPr>
        <w:spacing w:after="0" w:line="51"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James S. Kahan has been a director of Amdocs since April 1998 and is Chairman of the Compensation Committee. From 1983 until his June 2007 retirement, he worked at SBC, which is now AT&amp;T, and served as a Senior Executive Vice President from 1992 until June 2007. AT&amp;T, together with its affiliates, holds 5.1% of our outstanding ordinary shares and is our most significant customer. Prior to joining AT&amp;T, Mr. Kahan held various positions at several telecommunications companies, including Western Electric, Bell Laboratories, South Central Bell and AT&amp;T Corp.</w:t>
      </w:r>
    </w:p>
    <w:p>
      <w:pPr>
        <w:spacing w:after="0" w:line="63"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Zohar Zisapel has been a director of Amdocs since July 2008 and is the Chairman of the Technology and Innovation Committee. Mr. Zisapel co-founded RAD Data Communications Ltd. and has been its chairman since 1982, a privately-held voice and data communications company and part of the RAD Group, a family of independent networking and telecommunications companies. Mr. Zisapel also serves as chairman of Ceragon Networks Ltd., RADVision Ltd. and RADCOM Ltd., each of which is a publicly-traded member of the RAD Group, as well as on the boards of directors of several privately-held companies. Mr. Zisapel previously served as head of the electronics research and development department in the Israeli Ministry of Defense from 1978 until 1982 and as chairman of the Israel Association of Electronic Industries from 1998 until 2001.</w:t>
      </w:r>
    </w:p>
    <w:p>
      <w:pPr>
        <w:spacing w:after="0" w:line="49"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Julian A. Brodsky has been a director of Amdocs since July 2003. Mr. Brodsky has served as a director and as Vice Chairman of Comcast Corporation since 1989. From 1989 to May 2004, Mr. Brodsky was Chairman of Comcast Interactive Capital, LP, a venture fund affiliated with Comcast. He is a director of RBB Fund, Inc.</w:t>
      </w:r>
    </w:p>
    <w:p>
      <w:pPr>
        <w:spacing w:after="0" w:line="47"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Eli Gelman has been a director of Amdocs since 2002. Since April 2007, Mr. Gelman has devoted his time to charitable matters focused on youth education. He served as Executive Vice President of Amdocs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99" w:lineRule="auto"/>
        <w:rPr>
          <w:sz w:val="20"/>
          <w:szCs w:val="20"/>
          <w:color w:val="auto"/>
        </w:rPr>
      </w:pPr>
      <w:r>
        <w:rPr>
          <w:rFonts w:ascii="Arial" w:cs="Arial" w:eastAsia="Arial" w:hAnsi="Arial"/>
          <w:sz w:val="12"/>
          <w:szCs w:val="12"/>
          <w:color w:val="auto"/>
        </w:rPr>
        <w:t>Management Limited from 2002 until 2007 and as our Chief Operating Officer from October 2006 until April 2007.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Mr. Gelman has more than 28 years of experience in the software industry, including more than 20 years with Amdocs. Before joining Amdocs, Mr. Gelman was involved in the development of real-time software systems for communications networks.</w:t>
      </w:r>
    </w:p>
    <w:p>
      <w:pPr>
        <w:spacing w:after="0" w:line="48"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Nehemia Lemelbaum has been a director of Amdocs since December 2001 and was a Senior Vice President of Amdocs Management Limited from 1985 until January 2005. Since 2005, Mr. Lemelbaum has been a private investor.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68"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 held regional airline company, Emera Inc., a Canadian publicly held energy services company, and Chairman of Nova Scotia Power Inc., a wholly-owned subsidiary of Emera Inc.</w:t>
      </w:r>
    </w:p>
    <w:p>
      <w:pPr>
        <w:spacing w:after="0" w:line="65"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Alliance Data Systems, Inc., a publicly held company, and several private companies.</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Simon Olswang has been a director of Amdocs since November 2004. In 2002, Mr. Olswang retired as Chairman of Olswang, a media and communications law firm in the United Kingdom that he founded in 1981. He is a member of the Advisory Board of Palamon Capital Partners LLP. Mr. Olswang was a member of the Board of Directors of The British Library until March 2008 and has served as a non-executive director of a number of companies and organizations, including Aegis Group plc, The Press Association and the British Film Institute. Mr. Olswang serves as Trustee of Langdon College of Further (Special) Education in Salford, of which he is a co-founder.</w:t>
      </w:r>
    </w:p>
    <w:p>
      <w:pPr>
        <w:spacing w:after="0" w:line="63" w:lineRule="exact"/>
        <w:rPr>
          <w:sz w:val="20"/>
          <w:szCs w:val="20"/>
          <w:color w:val="auto"/>
        </w:rPr>
      </w:pPr>
    </w:p>
    <w:p>
      <w:pPr>
        <w:ind w:left="680" w:right="180" w:firstLine="399"/>
        <w:spacing w:after="0" w:line="267" w:lineRule="auto"/>
        <w:rPr>
          <w:sz w:val="20"/>
          <w:szCs w:val="20"/>
          <w:color w:val="auto"/>
        </w:rPr>
      </w:pPr>
      <w:r>
        <w:rPr>
          <w:rFonts w:ascii="Arial" w:cs="Arial" w:eastAsia="Arial" w:hAnsi="Arial"/>
          <w:sz w:val="13"/>
          <w:szCs w:val="13"/>
          <w:color w:val="auto"/>
        </w:rPr>
        <w:t>Dov Baharav has been a director of Amdocs and the President and Chief Executive Officer of Amdocs Management Limited, our wholly-owned subsidiary, since July 2002. Mr. Baharav has overall coordination responsibilities for the operations and activities of our operating subsidiaries. In 1991, Mr. Baharav joined Amdocs, Inc., our principal wholly-owned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6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She has also served as controller of Teledata Networks (formerly a subsidiary of ADC Telecommunications) and has held various finance management positions in public accounting.</w:t>
      </w:r>
    </w:p>
    <w:p>
      <w:pPr>
        <w:spacing w:after="0" w:line="11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James L. Liang has been our Senior Vice President and Chief Strategy Officer since July 2008. Mr. Liang is responsible for guiding our corporate strategy and strategic alliances, as well as for leading the company’s acquisitions and divestitures work. From January 2005 to June 2008, Mr. Liang served as Vice President of Strategy of IBM’s Global Technology Services Division, where he was responsible for charting the overall strategic direction for this division. From January 1993 to December 2004, Mr. Liang served as an investment banker at Morgan Stanley, providing capital raising and advisory services to technology industry clients.</w:t>
      </w:r>
    </w:p>
    <w:p>
      <w:pPr>
        <w:spacing w:after="0" w:line="63"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Ayal Shiran has been Senior Vice President and Head of the Customer Business Group since August 2008. Mr. Shiran joined Amdocs in 2004, with initial responsibility as President of our Customer Business Unit responsible for Amdocs business with Cingular Wireless and later as Division President, responsible for Amdocs business with AT&amp;T group of companies, including SBC, Bellsouth and Cingular. Prior to joining Amdocs, Mr. Shiran served as Acting Vice President at TTI Team Telecom International, a telecommunications company. He also served in the Israel Air Force, where he was responsible for various projects concerning the development of computer systems for the F-15 jet airplane, and software development laboratories for the F-15 at Boeing.</w:t>
      </w:r>
    </w:p>
    <w:p>
      <w:pPr>
        <w:spacing w:after="0" w:line="65"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59" w:lineRule="exact"/>
        <w:rPr>
          <w:sz w:val="20"/>
          <w:szCs w:val="20"/>
          <w:color w:val="auto"/>
        </w:rPr>
      </w:pPr>
    </w:p>
    <w:p>
      <w:pPr>
        <w:jc w:val="both"/>
        <w:ind w:left="680" w:right="80" w:firstLine="399"/>
        <w:spacing w:after="0" w:line="270" w:lineRule="auto"/>
        <w:rPr>
          <w:sz w:val="20"/>
          <w:szCs w:val="20"/>
          <w:color w:val="auto"/>
        </w:rPr>
      </w:pPr>
      <w:r>
        <w:rPr>
          <w:rFonts w:ascii="Arial" w:cs="Arial" w:eastAsia="Arial" w:hAnsi="Arial"/>
          <w:sz w:val="13"/>
          <w:szCs w:val="13"/>
          <w:color w:val="auto"/>
        </w:rPr>
        <w:t>Thomas G. O’Brien has been Treasurer and Secretary of Amdocs Limited since 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w:t>
      </w:r>
    </w:p>
    <w:p>
      <w:pPr>
        <w:spacing w:after="0" w:line="104"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Our directors who are not our employees, which we refer to as our Non-Employee Directors, receive compensation for their services as directors in the form of cash and options to purchase ordinary shares. During fiscal 2008, our compensation policy provided that each Non-Employee Director receives an annual cash payment of $35,000, however, for fiscal 2009, our Board of Directors has approved a reduction in this annual cash payment to $31,500. Each member of our Audit and Executive Committees who is a Non-Employee Director receives an annual cash payment of $10,000. In addition, the Chairman of the Board of Directors receives an annual cash payment of $75,000, the Chairmen of our Audit and Executive Committees each receive an annual cash payment of $10,000 and the Chairmen of our Compensation, Nominating and Corporate Governance and Technology and Innovation Committees each receive an annual cash payment of $5,000. Each Non-Employee Director receives $1,500 per meeting of the Board of Directors and $1,000 per meeting of a committee of the Board of Directors, except for Non-Employee Directors who are members of our Audit Committee or Executive Committee, who each receive $2,000 per meeting. Upon election or appointment to our Board of Directors, each Non-Employee Director also receives an initial option grant for the purchase of 12,000 ordinary shares. Thereafter, Non-Employee Directors receive an annual option grant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NYSE closing price of our shares on the last trading day preceding the grant date. We reimburse all of our directors for their reasonable travel expenses incurred in connection with attending Board or committee meetings.</w:t>
      </w:r>
    </w:p>
    <w:p>
      <w:pPr>
        <w:spacing w:after="0" w:line="55"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 total of 22 persons who served either as directors of Amdocs or members of its senior management during all or part of fiscal 2008 received remuneration from Amdocs. The aggregate remuneration paid by us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to such persons was approximately $10.1 million,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2008, we granted to such persons options to purchase an aggregate of 2,683,833 ordinary shares at a weighted average price of $32.71 per share with vesting generally over three to four-year terms and expiring ten years from the date of grant, and an aggregate of 222,222 restricted shares subject to four-year vesting. All options and restricted share awards were granted pursuant to our 1998 Stock Option and Incentive Plan, as amended. See discussion below — “Share Ownership — Employee Stock Option and Incentive Plan”.</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Practices</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Our Board of Directors is comprised of 12 directors, as of November 30, 2008, of whom 11 were elected to our Board of Directors at our annual meeting of shareholders on January 23, 2008. Mr. Zisapel was elected by our Board of Directors on July 23, 2008 to fill a vacancy on our Board of Directors.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63"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Executive officers of Amdocs are elected by the Board of Directors on an annual basis and serve until the next annual meeting of the Board of Directors or until their respective successors have been duly elected and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and qualified or their positions are earlier vacated by resignation or otherwise.</w:t>
      </w:r>
    </w:p>
    <w:p>
      <w:pPr>
        <w:spacing w:after="0" w:line="63"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Other than the employment agreement between us and the President and Chief Executive Officer of Amdocs Management Limited, which provides for immediate cash severance upon termination of employment, there are currently no service contracts in effect between us and any of our directors providing for immediate cash severance upon termination of their employment.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Committees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has formed five committees set forth below. Members of each committee are appointed by the Board of Directors.</w:t>
      </w:r>
    </w:p>
    <w:p>
      <w:pPr>
        <w:spacing w:after="0" w:line="102" w:lineRule="exact"/>
        <w:rPr>
          <w:sz w:val="20"/>
          <w:szCs w:val="20"/>
          <w:color w:val="auto"/>
        </w:rPr>
      </w:pPr>
    </w:p>
    <w:p>
      <w:pPr>
        <w:ind w:left="680" w:right="140" w:firstLine="399"/>
        <w:spacing w:after="0" w:line="284" w:lineRule="auto"/>
        <w:rPr>
          <w:sz w:val="20"/>
          <w:szCs w:val="20"/>
          <w:color w:val="auto"/>
        </w:rPr>
      </w:pPr>
      <w:r>
        <w:rPr>
          <w:rFonts w:ascii="Arial" w:cs="Arial" w:eastAsia="Arial" w:hAnsi="Arial"/>
          <w:sz w:val="12"/>
          <w:szCs w:val="12"/>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w:t>
      </w:r>
    </w:p>
    <w:p>
      <w:pPr>
        <w:ind w:left="680" w:right="40"/>
        <w:spacing w:after="0" w:line="277" w:lineRule="auto"/>
        <w:rPr>
          <w:sz w:val="20"/>
          <w:szCs w:val="20"/>
          <w:color w:val="auto"/>
        </w:rPr>
      </w:pPr>
      <w:r>
        <w:rPr>
          <w:rFonts w:ascii="Arial" w:cs="Arial" w:eastAsia="Arial" w:hAnsi="Arial"/>
          <w:sz w:val="13"/>
          <w:szCs w:val="13"/>
          <w:color w:val="auto"/>
        </w:rPr>
        <w:t xml:space="preserve">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3"/>
          <w:szCs w:val="13"/>
          <w:i w:val="1"/>
          <w:iCs w:val="1"/>
          <w:color w:val="auto"/>
        </w:rPr>
        <w:t>www.amdocs.com.</w:t>
      </w:r>
    </w:p>
    <w:p>
      <w:pPr>
        <w:spacing w:after="0" w:line="58"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Brodsky, Gardner and Kahan, all of whom are independent directors, as required by the NYSE listing standards, and pursuant to the categorical director independence standards adopted by our Board of Directors. The Nominating and Corporate Governance Committee written charter is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80"/>
        <w:spacing w:after="0" w:line="294" w:lineRule="auto"/>
        <w:rPr>
          <w:sz w:val="20"/>
          <w:szCs w:val="20"/>
          <w:color w:val="auto"/>
        </w:rPr>
      </w:pPr>
      <w:r>
        <w:rPr>
          <w:rFonts w:ascii="Arial" w:cs="Arial" w:eastAsia="Arial" w:hAnsi="Arial"/>
          <w:sz w:val="13"/>
          <w:szCs w:val="13"/>
          <w:color w:val="auto"/>
        </w:rPr>
        <w:t xml:space="preserve">available on our website at </w:t>
      </w:r>
      <w:r>
        <w:rPr>
          <w:rFonts w:ascii="Arial" w:cs="Arial" w:eastAsia="Arial" w:hAnsi="Arial"/>
          <w:sz w:val="13"/>
          <w:szCs w:val="13"/>
          <w:i w:val="1"/>
          <w:iCs w:val="1"/>
          <w:color w:val="auto"/>
        </w:rPr>
        <w:t>www.amdocs.com.</w:t>
      </w:r>
      <w:r>
        <w:rPr>
          <w:rFonts w:ascii="Arial" w:cs="Arial" w:eastAsia="Arial" w:hAnsi="Arial"/>
          <w:sz w:val="13"/>
          <w:szCs w:val="13"/>
          <w:color w:val="auto"/>
        </w:rPr>
        <w:t xml:space="preserve"> The Nominating and Corporate Governance Committee has approved corporate governance guidelines that are also available on our website at </w:t>
      </w:r>
      <w:r>
        <w:rPr>
          <w:rFonts w:ascii="Arial" w:cs="Arial" w:eastAsia="Arial" w:hAnsi="Arial"/>
          <w:sz w:val="13"/>
          <w:szCs w:val="13"/>
          <w:i w:val="1"/>
          <w:iCs w:val="1"/>
          <w:color w:val="auto"/>
        </w:rPr>
        <w:t>www.amdocs.com.</w:t>
      </w:r>
    </w:p>
    <w:p>
      <w:pPr>
        <w:spacing w:after="0" w:line="47"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 xml:space="preserve">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Executive Committee has such responsibilities as may be delegated to it from time to time by the Board of Directors. The current members of our Executive Committee are Messrs. Anderson (Chair), Baharav, Kahan, Lemelbaum and Minicucci.</w:t>
      </w:r>
    </w:p>
    <w:p>
      <w:pPr>
        <w:spacing w:after="0" w:line="4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Anderson, Gelman and Lemelbaum.</w:t>
      </w:r>
    </w:p>
    <w:p>
      <w:pPr>
        <w:spacing w:after="0" w:line="59"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Our independent directors receive no compensation from us, except in connection with their membership on the Board of Directors and its committees as described above regarding Non-Employee Directors under “— Compensation”.</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Workforce Personnel</w:t>
      </w:r>
    </w:p>
    <w:p>
      <w:pPr>
        <w:spacing w:after="0" w:line="104"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The following table presents the approximate number of our workforce as of each date indicated, by function and by geographical location (in each of which we operate at multiple sites):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As of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8"/>
                <w:szCs w:val="8"/>
                <w:color w:val="auto"/>
              </w:rPr>
            </w:pPr>
          </w:p>
        </w:tc>
        <w:tc>
          <w:tcPr>
            <w:tcW w:w="880" w:type="dxa"/>
            <w:vAlign w:val="bottom"/>
            <w:gridSpan w:val="2"/>
          </w:tcPr>
          <w:p>
            <w:pPr>
              <w:jc w:val="right"/>
              <w:ind w:right="73"/>
              <w:spacing w:after="0" w:line="101" w:lineRule="exact"/>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Software and Information Technology</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ind w:left="280"/>
              <w:spacing w:after="0"/>
              <w:rPr>
                <w:sz w:val="20"/>
                <w:szCs w:val="20"/>
                <w:color w:val="auto"/>
              </w:rPr>
            </w:pPr>
            <w:r>
              <w:rPr>
                <w:rFonts w:ascii="Arial" w:cs="Arial" w:eastAsia="Arial" w:hAnsi="Arial"/>
                <w:sz w:val="13"/>
                <w:szCs w:val="13"/>
                <w:color w:val="auto"/>
              </w:rPr>
              <w:t>North America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5,351</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4,541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4,391</w:t>
            </w:r>
          </w:p>
        </w:tc>
      </w:tr>
      <w:tr>
        <w:trPr>
          <w:trHeight w:val="161"/>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Israel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4,314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4,588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4,686</w:t>
            </w:r>
          </w:p>
        </w:tc>
      </w:tr>
      <w:tr>
        <w:trPr>
          <w:trHeight w:val="161"/>
        </w:trPr>
        <w:tc>
          <w:tcPr>
            <w:tcW w:w="7600" w:type="dxa"/>
            <w:vAlign w:val="bottom"/>
          </w:tcPr>
          <w:p>
            <w:pPr>
              <w:ind w:left="280"/>
              <w:spacing w:after="0"/>
              <w:rPr>
                <w:sz w:val="20"/>
                <w:szCs w:val="20"/>
                <w:color w:val="auto"/>
              </w:rPr>
            </w:pPr>
            <w:r>
              <w:rPr>
                <w:rFonts w:ascii="Arial" w:cs="Arial" w:eastAsia="Arial" w:hAnsi="Arial"/>
                <w:sz w:val="13"/>
                <w:szCs w:val="13"/>
                <w:color w:val="auto"/>
              </w:rPr>
              <w:t>India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3,767</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3,091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2,182</w:t>
            </w:r>
          </w:p>
        </w:tc>
      </w:tr>
      <w:tr>
        <w:trPr>
          <w:trHeight w:val="161"/>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 of the World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3,668</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3,758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3,567</w:t>
            </w:r>
          </w:p>
        </w:tc>
      </w:tr>
      <w:tr>
        <w:trPr>
          <w:trHeight w:val="161"/>
        </w:trPr>
        <w:tc>
          <w:tcPr>
            <w:tcW w:w="76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15,978</w:t>
            </w:r>
          </w:p>
        </w:tc>
        <w:tc>
          <w:tcPr>
            <w:tcW w:w="4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14,826</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Management and Administration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1,483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1,408</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Total Workforce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18,535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17,461</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16,234</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As a company with global operations, we are required to comply with various labor and immigration laws throughout the world, including laws and regulations in Australia, Brazil, Canada, China, Cyprus, Europe, India, Israel, Japan, Mexico, South Africa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 wages in relation to increases in the consumer price index, or CPI. The amount and frequency of these adjustments are modified from time to time.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Some employees in Canada have union representation. 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 In the Netherlands we have works council which represents the employees. We work closely with the works council to ensure compliance with the local law. In France, we have employee representatives.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consider our relationship with our employees to be good and have never experienced an organized labor dispute, strike or work stoppage.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 Ownership</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and Senior Management and Certain Key Employees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of November 24, 2008, the aggregate number of our ordinary shares beneficially owned by our directors and senior management was 5,893,734 shares. As of November 24, 2008, none of our directors or members of senior management beneficially owned 1% or more of our outstanding ordinary shares. Shares held by AT&amp;T are not included in shares beneficially owned by our directors and officers as of November 24, 2008. Historically, this number had included shares held by AT&amp;T, since Mr. Kahan, who served as Senior Executive Vice President of AT&amp;T until June 2007, serves on our Board of Directors.</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Beneficial ownership by a person, as of a particular date, assumes the exercise of all options and warrants held by such person that are currently exercisable or are exercisable within 60 days of such date.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and Incentive Plan</w:t>
      </w:r>
    </w:p>
    <w:p>
      <w:pPr>
        <w:spacing w:after="0" w:line="102"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Our Board of Directors has adopted, and our shareholders have approved, our 1998 Stock Option and Incentive Plan, as amended (the “1998 Plan”), pursuant to which up to 55,300,000 of our ordinary shares may be issued. The 1998 Plan expires on January 17, 2016.</w:t>
      </w:r>
    </w:p>
    <w:p>
      <w:pPr>
        <w:spacing w:after="0" w:line="47"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2008, of the 55,300,000 ordinary shares available for issuance under the 1998 Plan, 19,533,114 ordinary shares had been issued as a result of option exercises and restricted share issuances under the provisions of the 1998 Plan, and 13,563,452 ordinary shares remained available for future grants. As of October 31, 2008, there were outstanding options to purchase an aggregate of 22,073,665 ordinary shares at exercise prices ranging from $6.40 to $78.31 per share and an aggregate of 1,064,405 restricted shares outstanding under the 1998 Plan.</w:t>
      </w:r>
    </w:p>
    <w:p>
      <w:pPr>
        <w:spacing w:after="0" w:line="49"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 restricted stock award are subject to certain restrictions on sale, transfer or hypothecation. No awards may be granted after January 2016.</w:t>
      </w:r>
    </w:p>
    <w:p>
      <w:pPr>
        <w:spacing w:after="0" w:line="49"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As a result of acquisitions, as of September 30, 2008, we are obligated to issue (and have reserved for issuance) an additional 184,255 ordinary shares upon exercise of options that had previously been granted under the option plans of the acquired companies and were exchanged for options to purchase our ordinary shares. These options have exercise prices ranging from $0.38 to $67.59 per share. No additional options have been or will be granted under these predecessor plans.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MAJOR SHAREHOLDERS AND RELATED PARTY TRANSACTIONS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Major Shareholders</w:t>
      </w:r>
    </w:p>
    <w:p>
      <w:pPr>
        <w:spacing w:after="0" w:line="104"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The following table sets forth specified information with respect to the beneficial ownership of the ordinary shares as of November 24, 2008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203,615,917 ordinary shares outstanding as of November 24, 2008. Information concerning shareholders other than AT&amp;T and our directors and executive officers is based on periodic public filings made by such shareholders and may not necessarily be accurate as of November 24, 2008.</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Shares</w:t>
            </w:r>
          </w:p>
        </w:tc>
        <w:tc>
          <w:tcPr>
            <w:tcW w:w="7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21"/>
        </w:trPr>
        <w:tc>
          <w:tcPr>
            <w:tcW w:w="80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0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00" w:type="dxa"/>
            <w:vAlign w:val="bottom"/>
            <w:gridSpan w:val="2"/>
            <w:vMerge w:val="continue"/>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Owned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0"/>
        </w:trPr>
        <w:tc>
          <w:tcPr>
            <w:tcW w:w="80" w:type="dxa"/>
            <w:vAlign w:val="bottom"/>
            <w:tcBorders>
              <w:top w:val="single" w:sz="8" w:color="auto"/>
            </w:tcBorders>
          </w:tcPr>
          <w:p>
            <w:pPr>
              <w:spacing w:after="0"/>
              <w:rPr>
                <w:sz w:val="2"/>
                <w:szCs w:val="2"/>
                <w:color w:val="auto"/>
              </w:rPr>
            </w:pPr>
          </w:p>
        </w:tc>
        <w:tc>
          <w:tcPr>
            <w:tcW w:w="79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 Rowe Price Associates, Inc.(1)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17,360,591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1"/>
        </w:trPr>
        <w:tc>
          <w:tcPr>
            <w:tcW w:w="8000" w:type="dxa"/>
            <w:vAlign w:val="bottom"/>
            <w:gridSpan w:val="2"/>
          </w:tcPr>
          <w:p>
            <w:pPr>
              <w:spacing w:after="0"/>
              <w:rPr>
                <w:sz w:val="20"/>
                <w:szCs w:val="20"/>
                <w:color w:val="auto"/>
              </w:rPr>
            </w:pPr>
            <w:r>
              <w:rPr>
                <w:rFonts w:ascii="Arial" w:cs="Arial" w:eastAsia="Arial" w:hAnsi="Arial"/>
                <w:sz w:val="13"/>
                <w:szCs w:val="13"/>
                <w:color w:val="auto"/>
              </w:rPr>
              <w:t>Janus Capital Management LLC(2)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16,389,277</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1"/>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 &amp;W Seligman &amp; Co. Incorporated(3)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11,740,656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1"/>
        </w:trPr>
        <w:tc>
          <w:tcPr>
            <w:tcW w:w="8000" w:type="dxa"/>
            <w:vAlign w:val="bottom"/>
            <w:gridSpan w:val="2"/>
          </w:tcPr>
          <w:p>
            <w:pPr>
              <w:spacing w:after="0"/>
              <w:rPr>
                <w:sz w:val="20"/>
                <w:szCs w:val="20"/>
                <w:color w:val="auto"/>
              </w:rPr>
            </w:pPr>
            <w:r>
              <w:rPr>
                <w:rFonts w:ascii="Arial" w:cs="Arial" w:eastAsia="Arial" w:hAnsi="Arial"/>
                <w:sz w:val="13"/>
                <w:szCs w:val="13"/>
                <w:color w:val="auto"/>
              </w:rPr>
              <w:t>Glenview Capital Management, LLC(4)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11,639,877</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1"/>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AT&amp;T Inc.(5)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10,364,698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2"/>
        </w:trPr>
        <w:tc>
          <w:tcPr>
            <w:tcW w:w="8000" w:type="dxa"/>
            <w:vAlign w:val="bottom"/>
            <w:gridSpan w:val="2"/>
          </w:tcPr>
          <w:p>
            <w:pPr>
              <w:spacing w:after="0"/>
              <w:rPr>
                <w:sz w:val="20"/>
                <w:szCs w:val="20"/>
                <w:color w:val="auto"/>
              </w:rPr>
            </w:pPr>
            <w:r>
              <w:rPr>
                <w:rFonts w:ascii="Arial" w:cs="Arial" w:eastAsia="Arial" w:hAnsi="Arial"/>
                <w:sz w:val="13"/>
                <w:szCs w:val="13"/>
                <w:color w:val="auto"/>
              </w:rPr>
              <w:t>All directors and executive officers as a group (17 persons)(6)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5,893,734</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right="60" w:hanging="266"/>
        <w:spacing w:after="0" w:line="276"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address of T. Rowe Price Associates, Inc. (“T. Rowe Price”) is 100 E. Pratt Street, Baltimore, Maryland 21202. Based on a Schedule 13G filed by T. Rowe Price with the SEC on February 12, 2008, as of December 31, 2007, T. Rowe Price had sole voting power over 3,629,100 of our ordinary shares and sole dispositive power over 17,360,591 of our ordinary shares.</w:t>
      </w:r>
    </w:p>
    <w:p>
      <w:pPr>
        <w:spacing w:after="0" w:line="48" w:lineRule="exact"/>
        <w:rPr>
          <w:rFonts w:ascii="Arial" w:cs="Arial" w:eastAsia="Arial" w:hAnsi="Arial"/>
          <w:sz w:val="13"/>
          <w:szCs w:val="13"/>
          <w:color w:val="auto"/>
        </w:rPr>
      </w:pPr>
    </w:p>
    <w:p>
      <w:pPr>
        <w:ind w:left="1000" w:hanging="266"/>
        <w:spacing w:after="0" w:line="290" w:lineRule="auto"/>
        <w:tabs>
          <w:tab w:leader="none" w:pos="10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address of Janus Capital Management LLC (“Janus”) is 151 Detroit Street, Denver, Colorado 80206. Based on a Schedule 13G filed by Janus with the SEC on February 14, 2008, as of December 31, 2007, Janus Capital has an indirect 86.5% ownership stake in Enhanced Investment Technologies LLC (“INTECH”) and an indirect 30% ownership stake in Perkins, Wolf, McDonnell and Company, LLC (“Perkins Wolf”). Due to this ownership structure, holdings for Janus, Perkins Wolf and INTECH are aggregated. Janus, Perkins Wolf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16,389,277 ordinary shares held by the Managed Portfolios. However, Janus does not have the right to receive any dividends from, or the proceeds from the sale of, the securities held in the Managed Portfolios and disclaims any ownership associated with such rights.</w:t>
      </w:r>
    </w:p>
    <w:p>
      <w:pPr>
        <w:spacing w:after="0" w:line="41" w:lineRule="exact"/>
        <w:rPr>
          <w:rFonts w:ascii="Arial" w:cs="Arial" w:eastAsia="Arial" w:hAnsi="Arial"/>
          <w:sz w:val="12"/>
          <w:szCs w:val="12"/>
          <w:color w:val="auto"/>
        </w:rPr>
      </w:pPr>
    </w:p>
    <w:p>
      <w:pPr>
        <w:ind w:left="1000" w:right="120" w:hanging="266"/>
        <w:spacing w:after="0" w:line="270"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address of J &amp;W Seligman &amp; Co. Incorporated (“Seligman”) is 100 Park Avenue, New York, New York 10017. Based on a Schedule 13G filed by Seligman with the SEC on January 28, 2008, as of December 31, 2007, Seligman had shared voting power over 11,740,656 of our ordinary shares and shared dispositive power over 11,740,656 of our ordinary shares. William C. Morris, as the owner of a majority of the outstanding voting securities of Seligman, may be deemed to beneficially own the shares reported by Seligman.</w:t>
      </w:r>
    </w:p>
    <w:p>
      <w:pPr>
        <w:spacing w:after="0" w:line="52" w:lineRule="exact"/>
        <w:rPr>
          <w:rFonts w:ascii="Arial" w:cs="Arial" w:eastAsia="Arial" w:hAnsi="Arial"/>
          <w:sz w:val="13"/>
          <w:szCs w:val="13"/>
          <w:color w:val="auto"/>
        </w:rPr>
      </w:pPr>
    </w:p>
    <w:p>
      <w:pPr>
        <w:ind w:left="1000" w:right="40" w:hanging="266"/>
        <w:spacing w:after="0" w:line="267"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address of Glenview Capital Management, LLC (“Glenview”) is 767 Fifth Avenue, 44th Floor, New York, New York 10153. Based on a Schedule 13G filed by Glenview with the SEC on April 18, 2008, as of April 17, 2008, Glenview had shared voting power and shared dispositive power over all of these ordinary shares. Of these ordinary shares, 386,390 were held for the account of Glenview Capital Partners, L.P., 6,377,229 were held for the account of Glenview Capital Master Fund, Ltd., 2,595,536 were held for the account of Glenview Institutional Partners, L.P., 694,616 were held for the account of GCM Little Arbor Master Fund, Ltd., 120,812 were held for the account of GCM Little Arbor Institutional Partners, L.P.,</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right="60"/>
        <w:spacing w:after="0" w:line="276" w:lineRule="auto"/>
        <w:rPr>
          <w:sz w:val="20"/>
          <w:szCs w:val="20"/>
          <w:color w:val="auto"/>
        </w:rPr>
      </w:pPr>
      <w:r>
        <w:rPr>
          <w:rFonts w:ascii="Arial" w:cs="Arial" w:eastAsia="Arial" w:hAnsi="Arial"/>
          <w:sz w:val="13"/>
          <w:szCs w:val="13"/>
          <w:color w:val="auto"/>
        </w:rPr>
        <w:t>747,059 were held for the account of Glenview Capital Opportunity Fund, L.P., 686,270 were held for the account of Glenview Offshore Opportunity Master Fund, Ltd., 8,545 were held for the account of GCM Little Arbor Partners, L.P. and 23,420 were held for the account of GCM Opportunity Fund, L.P. Lawrence M. Robbins, as the Chief Executive Officer of Glenview, may be deemed to beneficially own the shares reported by Glenview.</w:t>
      </w:r>
    </w:p>
    <w:p>
      <w:pPr>
        <w:spacing w:after="0" w:line="49" w:lineRule="exact"/>
        <w:rPr>
          <w:sz w:val="20"/>
          <w:szCs w:val="20"/>
          <w:color w:val="auto"/>
        </w:rPr>
      </w:pPr>
    </w:p>
    <w:p>
      <w:pPr>
        <w:ind w:left="1000" w:hanging="266"/>
        <w:spacing w:after="0" w:line="294"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address of AT&amp;T Inc. is 175 East Houston, San Antonio, Texas 78205. Based upon information provided to us by AT&amp;T, as of November 24, 2008, AT&amp;T beneficially owned 10,364,698 of our ordinary shares.</w:t>
      </w:r>
    </w:p>
    <w:p>
      <w:pPr>
        <w:spacing w:after="0" w:line="36" w:lineRule="exact"/>
        <w:rPr>
          <w:rFonts w:ascii="Arial" w:cs="Arial" w:eastAsia="Arial" w:hAnsi="Arial"/>
          <w:sz w:val="13"/>
          <w:szCs w:val="13"/>
          <w:color w:val="auto"/>
        </w:rPr>
      </w:pPr>
    </w:p>
    <w:p>
      <w:pPr>
        <w:ind w:left="1000" w:hanging="266"/>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options held by such directors and executive officers that are exercisable within 60 days after November 24, 2008.</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Over the last three years, our major shareholders have included our directors and executive officers as a group, AT&amp;T, and other institutional investors, including T. Rowe Price, Massachusetts Financial Services Company (“MFS”) and Thornburg Investment Management, Inc (“Thornburg”). AT&amp;T’s share ownership has decreased to 5.1% as of November 24, 2008 from 9.1% in November 2002, and it has, at times during fiscal 2008, decreased to below 5.0%. MFS and Thornburg ceased to be major shareholders in fiscal 2008. Thornburg did not file a 13G for fiscal 2008.</w:t>
      </w:r>
    </w:p>
    <w:p>
      <w:pPr>
        <w:spacing w:after="0" w:line="63"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As of November 24, 2008, our ordinary shares were held by 1,296 record holders. Based on a review of the information provided to us by our transfer agent, 1,233 record holders, holding approximately 86.2% of our outstanding ordinary shares held of record, were residents of the United States.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addition to being a major shareholder at times during fiscal 2008, AT&amp;T and some of its operating subsidiaries are also significant customers of ours. During fiscal 2008, AT&amp;T and those subsidiaries accounted for approximately 28% of our revenue. AT&amp;T is also a beneficial owner of companies that provide certain miscellaneous support services to us in United States.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color w:val="auto"/>
        </w:rPr>
        <w:t>FINANCIAL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“Financial Statements” for our audited Consolidated Financial Statements and Financial Statement Schedule filed as part of this Annual Report.</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our revolving credit facility restrict, and the terms of any other debt that we may incur could effectively limit, our ability to pay dividends.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color w:val="auto"/>
        </w:rPr>
        <w:t>THE OFFER AND LISTING</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Our ordinary shares have been quoted on the NYSE since June 19, 1998, under the symbol “DOX”. The following table sets forth the high and low reported sale prices for our ordinary shares for the periods indicated:</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0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Low</w:t>
            </w:r>
          </w:p>
        </w:tc>
      </w:tr>
      <w:tr>
        <w:trPr>
          <w:trHeight w:val="30"/>
        </w:trPr>
        <w:tc>
          <w:tcPr>
            <w:tcW w:w="10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2004</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18.08</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2005</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20.70</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2006</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41.01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24.30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32.50</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2008</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24.65</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2007:</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35.22</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32.50</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34.39</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32.75</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Fiscal 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33.73</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30.69</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30.50</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28.72</w:t>
            </w: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2009:</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First Quarter (through November 24,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b w:val="1"/>
                <w:bCs w:val="1"/>
                <w:color w:val="auto"/>
              </w:rPr>
              <w:t>Most Recent Six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31.09</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July 2008</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29.13</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August 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29.76</w:t>
            </w:r>
          </w:p>
        </w:tc>
      </w:tr>
      <w:tr>
        <w:trPr>
          <w:trHeight w:val="161"/>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September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27.24</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October 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19.39</w:t>
            </w:r>
          </w:p>
        </w:tc>
      </w:tr>
      <w:tr>
        <w:trPr>
          <w:trHeight w:val="172"/>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November 2008 (through November 24,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16.19</w:t>
            </w:r>
          </w:p>
        </w:tc>
      </w:tr>
      <w:tr>
        <w:trPr>
          <w:trHeight w:val="322"/>
        </w:trPr>
        <w:tc>
          <w:tcPr>
            <w:tcW w:w="10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7500" w:type="dxa"/>
            <w:vAlign w:val="bottom"/>
          </w:tcPr>
          <w:p>
            <w:pPr>
              <w:spacing w:after="0"/>
              <w:rPr>
                <w:sz w:val="20"/>
                <w:szCs w:val="20"/>
                <w:color w:val="auto"/>
              </w:rPr>
            </w:pPr>
            <w:r>
              <w:rPr>
                <w:rFonts w:ascii="Arial" w:cs="Arial" w:eastAsia="Arial" w:hAnsi="Arial"/>
                <w:sz w:val="13"/>
                <w:szCs w:val="13"/>
                <w:b w:val="1"/>
                <w:bCs w:val="1"/>
                <w:color w:val="auto"/>
              </w:rPr>
              <w:t>ADDITIONAL INFORMATION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Memorandum and Articles of Association</w:t>
      </w:r>
    </w:p>
    <w:p>
      <w:pPr>
        <w:spacing w:after="0" w:line="104"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Amdocs Limited is registered at the Companies Registry in Guernsey and has been assigned company number 19528, with its registered office situated at Suite 5, Tower Hill House, Le Bordage, St Peter Port, Guernsey, GY1 3QT. The telephone number at that location is +44-1481-728444.</w:t>
      </w:r>
    </w:p>
    <w:p>
      <w:pPr>
        <w:spacing w:after="0" w:line="4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Amdocs Limited’s purpose is to engage in any and all corporate activities permissible under Guernsey law, as set forth in detail at Clause 3(1) to (37) of our Memorandum of Association (the “Memorandum of Association”). Article 21(2) of our Amended and Restated Articles of Association (the “Articles of Association”)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20 of the Articles of Association provides that the remuneration of the directors shall from time to time be determined by us by ordinary resolution of our shareholders, but that the directors are authorized to determine from time to time the remuneration for any outside or unaffiliated directors. Article 22</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provides that directors may exercise all the powers of Amdocs Limited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Our Memorandum of Association and Articles of Association do not impose a requirement on our directors to own shares of Amdocs Limited in order to serve as directors, however, our Board of Directors has adopted guidelines for minimum share ownership by our directors and senior managers, who have until January 2010 to be in compliance with the guidelines.</w:t>
      </w:r>
    </w:p>
    <w:p>
      <w:pPr>
        <w:spacing w:after="0" w:line="6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On July 1, 2008, a new companies law, the Companies (Guernsey) Law, 2008 (the “New Companies Law”), became effective in Guernsey. Under the New Companies Law, the term “Memorandum of Incorporation” is now used in place of the term “Memorandum of Association,” and the term “Articles of Incorporation” is now used in place of the term “Articles of Association.” Accordingly, we use these terms interchangeably below.</w:t>
      </w:r>
    </w:p>
    <w:p>
      <w:pPr>
        <w:spacing w:after="0" w:line="59" w:lineRule="exact"/>
        <w:rPr>
          <w:sz w:val="20"/>
          <w:szCs w:val="20"/>
          <w:color w:val="auto"/>
        </w:rPr>
      </w:pPr>
    </w:p>
    <w:p>
      <w:pPr>
        <w:ind w:left="680" w:right="80" w:firstLine="399"/>
        <w:spacing w:after="0" w:line="338" w:lineRule="auto"/>
        <w:rPr>
          <w:sz w:val="20"/>
          <w:szCs w:val="20"/>
          <w:color w:val="auto"/>
        </w:rPr>
      </w:pPr>
      <w:r>
        <w:rPr>
          <w:rFonts w:ascii="Arial" w:cs="Arial" w:eastAsia="Arial" w:hAnsi="Arial"/>
          <w:sz w:val="12"/>
          <w:szCs w:val="12"/>
          <w:color w:val="auto"/>
        </w:rPr>
        <w:t>In order to comply with the provisions of the New Companies Law, our Board of Directors has approved certain amendments to our Memorandum of Incorporation and Articles of Incorporation, which will be presented to shareholders for their approval at our annual meeting of shareholders scheduled for January 2009. The proposed amendments will:</w:t>
      </w:r>
    </w:p>
    <w:p>
      <w:pPr>
        <w:spacing w:after="0" w:line="24" w:lineRule="exact"/>
        <w:rPr>
          <w:sz w:val="20"/>
          <w:szCs w:val="20"/>
          <w:color w:val="auto"/>
        </w:rPr>
      </w:pPr>
    </w:p>
    <w:p>
      <w:pPr>
        <w:ind w:left="1080" w:right="360" w:firstLine="390"/>
        <w:spacing w:after="0" w:line="294" w:lineRule="auto"/>
        <w:tabs>
          <w:tab w:leader="none" w:pos="1623"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amend the Memorandum of Association to state that our purpose is to engage in any and all corporate activities permissible under Guernsey law and to delete the detailed specification of permissible activities contained in the current Memorandum of Association;</w:t>
      </w:r>
    </w:p>
    <w:p>
      <w:pPr>
        <w:spacing w:after="0" w:line="46" w:lineRule="exact"/>
        <w:rPr>
          <w:rFonts w:ascii="Arial" w:cs="Arial" w:eastAsia="Arial" w:hAnsi="Arial"/>
          <w:sz w:val="13"/>
          <w:szCs w:val="13"/>
          <w:color w:val="auto"/>
        </w:rPr>
      </w:pPr>
    </w:p>
    <w:p>
      <w:pPr>
        <w:ind w:left="1080" w:right="180" w:firstLine="390"/>
        <w:spacing w:after="0" w:line="294" w:lineRule="auto"/>
        <w:tabs>
          <w:tab w:leader="none" w:pos="1661" w:val="left"/>
        </w:tabs>
        <w:numPr>
          <w:ilvl w:val="0"/>
          <w:numId w:val="39"/>
        </w:numPr>
        <w:rPr>
          <w:rFonts w:ascii="Arial" w:cs="Arial" w:eastAsia="Arial" w:hAnsi="Arial"/>
          <w:sz w:val="13"/>
          <w:szCs w:val="13"/>
          <w:color w:val="auto"/>
        </w:rPr>
      </w:pPr>
      <w:r>
        <w:rPr>
          <w:rFonts w:ascii="Arial" w:cs="Arial" w:eastAsia="Arial" w:hAnsi="Arial"/>
          <w:sz w:val="13"/>
          <w:szCs w:val="13"/>
          <w:color w:val="auto"/>
        </w:rPr>
        <w:t>eliminate certain provisions of the current Articles of Association that are set forth in substantially the same terms in the New Companies Law, including provisions dealing with transactions between a director and us and the rights of shareholders to receive certificates for their shares;</w:t>
      </w:r>
    </w:p>
    <w:p>
      <w:pPr>
        <w:spacing w:after="0" w:line="46" w:lineRule="exact"/>
        <w:rPr>
          <w:rFonts w:ascii="Arial" w:cs="Arial" w:eastAsia="Arial" w:hAnsi="Arial"/>
          <w:sz w:val="13"/>
          <w:szCs w:val="13"/>
          <w:color w:val="auto"/>
        </w:rPr>
      </w:pPr>
    </w:p>
    <w:p>
      <w:pPr>
        <w:ind w:left="1080" w:right="380" w:firstLine="390"/>
        <w:spacing w:after="0" w:line="338" w:lineRule="auto"/>
        <w:tabs>
          <w:tab w:leader="none" w:pos="1698" w:val="left"/>
        </w:tabs>
        <w:numPr>
          <w:ilvl w:val="0"/>
          <w:numId w:val="39"/>
        </w:numPr>
        <w:rPr>
          <w:rFonts w:ascii="Arial" w:cs="Arial" w:eastAsia="Arial" w:hAnsi="Arial"/>
          <w:sz w:val="12"/>
          <w:szCs w:val="12"/>
          <w:color w:val="auto"/>
        </w:rPr>
      </w:pPr>
      <w:r>
        <w:rPr>
          <w:rFonts w:ascii="Arial" w:cs="Arial" w:eastAsia="Arial" w:hAnsi="Arial"/>
          <w:sz w:val="12"/>
          <w:szCs w:val="12"/>
          <w:color w:val="auto"/>
        </w:rPr>
        <w:t>permit our Board of Directors to issue up to 700 million ordinary shares and 25 million preferred shares for a period of up to five years after the adoption of the amended Articles of Incorporation, subject to the ability of shareholders to approve extensions of such authority for further periods not exceeding five years;</w:t>
      </w:r>
    </w:p>
    <w:p>
      <w:pPr>
        <w:spacing w:after="0" w:line="24" w:lineRule="exact"/>
        <w:rPr>
          <w:rFonts w:ascii="Arial" w:cs="Arial" w:eastAsia="Arial" w:hAnsi="Arial"/>
          <w:sz w:val="12"/>
          <w:szCs w:val="12"/>
          <w:color w:val="auto"/>
        </w:rPr>
      </w:pPr>
    </w:p>
    <w:p>
      <w:pPr>
        <w:ind w:left="1700" w:hanging="230"/>
        <w:spacing w:after="0"/>
        <w:tabs>
          <w:tab w:leader="none" w:pos="17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conform the provisions of the Articles of Incorporation dealing with the indemnification of directors and officers to the requirements of the New Companies Law;</w:t>
      </w:r>
    </w:p>
    <w:p>
      <w:pPr>
        <w:spacing w:after="0" w:line="113" w:lineRule="exact"/>
        <w:rPr>
          <w:rFonts w:ascii="Arial" w:cs="Arial" w:eastAsia="Arial" w:hAnsi="Arial"/>
          <w:sz w:val="12"/>
          <w:szCs w:val="12"/>
          <w:color w:val="auto"/>
        </w:rPr>
      </w:pPr>
    </w:p>
    <w:p>
      <w:pPr>
        <w:ind w:left="1660" w:hanging="190"/>
        <w:spacing w:after="0"/>
        <w:tabs>
          <w:tab w:leader="none" w:pos="1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expressly authorize us to obtain insurance to cover claims against directors and officers to the fullest extent permitted by the New Companies Law;</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permit our Board of Directors to determine the compensation of all directors, whether or not employed by us; and</w:t>
      </w:r>
    </w:p>
    <w:p>
      <w:pPr>
        <w:spacing w:after="0" w:line="102" w:lineRule="exact"/>
        <w:rPr>
          <w:rFonts w:ascii="Arial" w:cs="Arial" w:eastAsia="Arial" w:hAnsi="Arial"/>
          <w:sz w:val="13"/>
          <w:szCs w:val="13"/>
          <w:color w:val="auto"/>
        </w:rPr>
      </w:pPr>
    </w:p>
    <w:p>
      <w:pPr>
        <w:ind w:left="1080" w:right="180" w:firstLine="390"/>
        <w:spacing w:after="0" w:line="294" w:lineRule="auto"/>
        <w:tabs>
          <w:tab w:leader="none" w:pos="1728" w:val="left"/>
        </w:tabs>
        <w:numPr>
          <w:ilvl w:val="0"/>
          <w:numId w:val="39"/>
        </w:numPr>
        <w:rPr>
          <w:rFonts w:ascii="Arial" w:cs="Arial" w:eastAsia="Arial" w:hAnsi="Arial"/>
          <w:sz w:val="13"/>
          <w:szCs w:val="13"/>
          <w:color w:val="auto"/>
        </w:rPr>
      </w:pPr>
      <w:r>
        <w:rPr>
          <w:rFonts w:ascii="Arial" w:cs="Arial" w:eastAsia="Arial" w:hAnsi="Arial"/>
          <w:sz w:val="13"/>
          <w:szCs w:val="13"/>
          <w:color w:val="auto"/>
        </w:rPr>
        <w:t>state that the Board of Directors will have all the powers necessary for managing and for directing and supervising the management of our business and affairs and delete the specification of powers contained in the current Articles of Association.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current share capital is £5,750,000 divided into (i) 25,000,000 preferred shares with a par value of £0.01 per share and (ii) 550,000,000 ordinary shares with a par value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£0.01 per share, consisting of 500,000,000 voting ordinary shares and 50,000,000 non-voting ordinary shares. Under the New Companies Law, and subject to shareholder approval of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amended Memorandum of Incorporation and Articles of Incorporation, our share capital will continue to include 25,000,000 preferred shares and we will be permitted to issue up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700,000,000 ordinary shares. As of September 30, 2008, 203,915,726 ordinary shares were outstanding (net of treasury shares) and no non-voting ordinary shares or preferred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outstanding. The rights, preferences and restrictions attaching to each class of the shares, under our current Memorandum</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Association and Articles of Association, which would not change as a result of the amendments described above, are as follows: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Shares</w:t>
      </w:r>
    </w:p>
    <w:p>
      <w:pPr>
        <w:spacing w:after="0" w:line="102" w:lineRule="exact"/>
        <w:rPr>
          <w:sz w:val="20"/>
          <w:szCs w:val="20"/>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Issue </w:t>
      </w:r>
      <w:r>
        <w:rPr>
          <w:rFonts w:ascii="Arial" w:cs="Arial" w:eastAsia="Arial" w:hAnsi="Arial"/>
          <w:sz w:val="13"/>
          <w:szCs w:val="13"/>
          <w:color w:val="auto"/>
        </w:rPr>
        <w:t>— the preferred shares may be issued from time to time in one or more series of any number of shares up to the amount authorized.</w:t>
      </w:r>
    </w:p>
    <w:p>
      <w:pPr>
        <w:spacing w:after="0" w:line="92" w:lineRule="exact"/>
        <w:rPr>
          <w:rFonts w:ascii="Arial" w:cs="Arial" w:eastAsia="Arial" w:hAnsi="Arial"/>
          <w:sz w:val="13"/>
          <w:szCs w:val="13"/>
          <w:color w:val="auto"/>
        </w:rPr>
      </w:pPr>
    </w:p>
    <w:p>
      <w:pPr>
        <w:ind w:left="1300" w:right="60" w:hanging="208"/>
        <w:spacing w:after="0" w:line="338" w:lineRule="auto"/>
        <w:tabs>
          <w:tab w:leader="none" w:pos="130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Authorization to Issue Preferred Shares </w:t>
      </w:r>
      <w:r>
        <w:rPr>
          <w:rFonts w:ascii="Arial" w:cs="Arial" w:eastAsia="Arial" w:hAnsi="Arial"/>
          <w:sz w:val="12"/>
          <w:szCs w:val="12"/>
          <w:color w:val="auto"/>
        </w:rPr>
        <w:t>— authority is vested in the directors from time to time to authorize the issue of one or more series of preferred shares and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designations, powers, preferences and relative participating, optional or other special rights and qualifications, limitations or restrictions thereon.</w:t>
      </w:r>
    </w:p>
    <w:p>
      <w:pPr>
        <w:spacing w:after="0" w:line="14" w:lineRule="exact"/>
        <w:rPr>
          <w:rFonts w:ascii="Arial" w:cs="Arial" w:eastAsia="Arial" w:hAnsi="Arial"/>
          <w:sz w:val="12"/>
          <w:szCs w:val="12"/>
          <w:color w:val="auto"/>
        </w:rPr>
      </w:pPr>
    </w:p>
    <w:p>
      <w:pPr>
        <w:ind w:left="1300" w:hanging="208"/>
        <w:spacing w:after="0" w:line="294"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Relative Rights </w:t>
      </w:r>
      <w:r>
        <w:rPr>
          <w:rFonts w:ascii="Arial" w:cs="Arial" w:eastAsia="Arial" w:hAnsi="Arial"/>
          <w:sz w:val="13"/>
          <w:szCs w:val="13"/>
          <w:color w:val="auto"/>
        </w:rPr>
        <w:t>— all shares of any one series of preferred shares must be identical with each other in all respects, except that shares of any one series issued at different times</w:t>
      </w:r>
      <w:r>
        <w:rPr>
          <w:rFonts w:ascii="Arial" w:cs="Arial" w:eastAsia="Arial" w:hAnsi="Arial"/>
          <w:sz w:val="13"/>
          <w:szCs w:val="13"/>
          <w:i w:val="1"/>
          <w:iCs w:val="1"/>
          <w:color w:val="auto"/>
        </w:rPr>
        <w:t xml:space="preserve"> </w:t>
      </w:r>
      <w:r>
        <w:rPr>
          <w:rFonts w:ascii="Arial" w:cs="Arial" w:eastAsia="Arial" w:hAnsi="Arial"/>
          <w:sz w:val="13"/>
          <w:szCs w:val="13"/>
          <w:color w:val="auto"/>
        </w:rPr>
        <w:t>may differ as to the dates from which dividends shall be cumulative.</w:t>
      </w:r>
    </w:p>
    <w:p>
      <w:pPr>
        <w:spacing w:after="0" w:line="36"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in the event of any liquidation, dissolution or winding-up of Amdocs Limited, the holders of preferred shares are entitled to preference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w:t>
      </w:r>
    </w:p>
    <w:p>
      <w:pPr>
        <w:spacing w:after="0" w:line="52"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except as otherwise provided for by the directors upon the issue of any new series of preferred shares, the holders of preferred shares have no right or power</w:t>
      </w:r>
      <w:r>
        <w:rPr>
          <w:rFonts w:ascii="Arial" w:cs="Arial" w:eastAsia="Arial" w:hAnsi="Arial"/>
          <w:sz w:val="13"/>
          <w:szCs w:val="13"/>
          <w:i w:val="1"/>
          <w:iCs w:val="1"/>
          <w:color w:val="auto"/>
        </w:rPr>
        <w:t xml:space="preserve"> </w:t>
      </w:r>
      <w:r>
        <w:rPr>
          <w:rFonts w:ascii="Arial" w:cs="Arial" w:eastAsia="Arial" w:hAnsi="Arial"/>
          <w:sz w:val="13"/>
          <w:szCs w:val="13"/>
          <w:color w:val="auto"/>
        </w:rPr>
        <w:t>to vote on any question or in any proceeding or to be represented at, or to receive notice of, any meeting of members.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Ordinary Shares and Non-Voting Ordinary Shares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Except as otherwise provided by the Memorandum of Association and Articles of Association, the ordinary shares and non-voting ordinary shares are identical and entitle holders thereof to the same rights and privileges.</w:t>
      </w:r>
    </w:p>
    <w:p>
      <w:pPr>
        <w:spacing w:after="0" w:line="47" w:lineRule="exact"/>
        <w:rPr>
          <w:sz w:val="20"/>
          <w:szCs w:val="20"/>
          <w:color w:val="auto"/>
        </w:rPr>
      </w:pPr>
    </w:p>
    <w:p>
      <w:pPr>
        <w:jc w:val="both"/>
        <w:ind w:left="1300" w:right="160" w:hanging="208"/>
        <w:spacing w:after="0" w:line="276"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 when and as dividends are declared on our shares, the holders of voting ordinary shares and non-voting shares are entitled to share equally, share for share, in</w:t>
      </w:r>
      <w:r>
        <w:rPr>
          <w:rFonts w:ascii="Arial" w:cs="Arial" w:eastAsia="Arial" w:hAnsi="Arial"/>
          <w:sz w:val="13"/>
          <w:szCs w:val="13"/>
          <w:i w:val="1"/>
          <w:iCs w:val="1"/>
          <w:color w:val="auto"/>
        </w:rPr>
        <w:t xml:space="preserve"> </w:t>
      </w:r>
      <w:r>
        <w:rPr>
          <w:rFonts w:ascii="Arial" w:cs="Arial" w:eastAsia="Arial" w:hAnsi="Arial"/>
          <w:sz w:val="13"/>
          <w:szCs w:val="13"/>
          <w:color w:val="auto"/>
        </w:rPr>
        <w:t>such dividends except that if dividends are declared that are payable in voting ordinary shares or non-voting ordinary shares, dividends must be declared that are payable at the same rate in both classes of shares.</w:t>
      </w:r>
    </w:p>
    <w:p>
      <w:pPr>
        <w:spacing w:after="0" w:line="48" w:lineRule="exact"/>
        <w:rPr>
          <w:rFonts w:ascii="Arial" w:cs="Arial" w:eastAsia="Arial" w:hAnsi="Arial"/>
          <w:sz w:val="13"/>
          <w:szCs w:val="13"/>
          <w:color w:val="auto"/>
        </w:rPr>
      </w:pPr>
    </w:p>
    <w:p>
      <w:pPr>
        <w:jc w:val="both"/>
        <w:ind w:left="1300" w:right="20" w:hanging="208"/>
        <w:spacing w:after="0" w:line="276"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Conversion of Non-Voting Ordinary Shares into Voting Ordinary Shares </w:t>
      </w:r>
      <w:r>
        <w:rPr>
          <w:rFonts w:ascii="Arial" w:cs="Arial" w:eastAsia="Arial" w:hAnsi="Arial"/>
          <w:sz w:val="13"/>
          <w:szCs w:val="13"/>
          <w:color w:val="auto"/>
        </w:rPr>
        <w:t>— upon the transfer of non-voting ordinary shares from the original holder thereof to any third party</w:t>
      </w:r>
      <w:r>
        <w:rPr>
          <w:rFonts w:ascii="Arial" w:cs="Arial" w:eastAsia="Arial" w:hAnsi="Arial"/>
          <w:sz w:val="13"/>
          <w:szCs w:val="13"/>
          <w:i w:val="1"/>
          <w:iCs w:val="1"/>
          <w:color w:val="auto"/>
        </w:rPr>
        <w:t xml:space="preserve"> </w:t>
      </w:r>
      <w:r>
        <w:rPr>
          <w:rFonts w:ascii="Arial" w:cs="Arial" w:eastAsia="Arial" w:hAnsi="Arial"/>
          <w:sz w:val="13"/>
          <w:szCs w:val="13"/>
          <w:color w:val="auto"/>
        </w:rPr>
        <w:t>not affiliated with such original holder, non-voting ordinary shares are redesignated in our books as voting ordinary shares and automatically convert into the same number of voting ordinary shares.</w:t>
      </w:r>
    </w:p>
    <w:p>
      <w:pPr>
        <w:spacing w:after="0" w:line="48" w:lineRule="exact"/>
        <w:rPr>
          <w:rFonts w:ascii="Arial" w:cs="Arial" w:eastAsia="Arial" w:hAnsi="Arial"/>
          <w:sz w:val="13"/>
          <w:szCs w:val="13"/>
          <w:color w:val="auto"/>
        </w:rPr>
      </w:pPr>
    </w:p>
    <w:p>
      <w:pPr>
        <w:ind w:left="1300" w:right="24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upon any liquidation, dissolution or winding-up of Amdocs Limited, our assets remaining after creditors and the holders of any preferred shares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full shall be distributed to the holders of voting ordinary shares and non-voting ordinary shares equally share for share.</w:t>
      </w:r>
    </w:p>
    <w:p>
      <w:pPr>
        <w:spacing w:after="0" w:line="36"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the holders of voting ordinary shares are entitled to vote on all matters to be voted on by the members, and the holders of non-voting ordinary shares are not</w:t>
      </w:r>
      <w:r>
        <w:rPr>
          <w:rFonts w:ascii="Arial" w:cs="Arial" w:eastAsia="Arial" w:hAnsi="Arial"/>
          <w:sz w:val="13"/>
          <w:szCs w:val="13"/>
          <w:i w:val="1"/>
          <w:iCs w:val="1"/>
          <w:color w:val="auto"/>
        </w:rPr>
        <w:t xml:space="preserve"> </w:t>
      </w:r>
      <w:r>
        <w:rPr>
          <w:rFonts w:ascii="Arial" w:cs="Arial" w:eastAsia="Arial" w:hAnsi="Arial"/>
          <w:sz w:val="13"/>
          <w:szCs w:val="13"/>
          <w:color w:val="auto"/>
        </w:rPr>
        <w:t>entitled to any voting rights.</w:t>
      </w:r>
    </w:p>
    <w:p>
      <w:pPr>
        <w:spacing w:after="0" w:line="36"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Preferences </w:t>
      </w:r>
      <w:r>
        <w:rPr>
          <w:rFonts w:ascii="Arial" w:cs="Arial" w:eastAsia="Arial" w:hAnsi="Arial"/>
          <w:sz w:val="13"/>
          <w:szCs w:val="13"/>
          <w:color w:val="auto"/>
        </w:rPr>
        <w:t>— the voting ordinary shares and non-voting ordinary shares are subject to all the powers, rights, privileges, preferences and priorities of the preferred shares as</w:t>
      </w:r>
      <w:r>
        <w:rPr>
          <w:rFonts w:ascii="Arial" w:cs="Arial" w:eastAsia="Arial" w:hAnsi="Arial"/>
          <w:sz w:val="13"/>
          <w:szCs w:val="13"/>
          <w:i w:val="1"/>
          <w:iCs w:val="1"/>
          <w:color w:val="auto"/>
        </w:rPr>
        <w:t xml:space="preserve"> </w:t>
      </w:r>
      <w:r>
        <w:rPr>
          <w:rFonts w:ascii="Arial" w:cs="Arial" w:eastAsia="Arial" w:hAnsi="Arial"/>
          <w:sz w:val="13"/>
          <w:szCs w:val="13"/>
          <w:color w:val="auto"/>
        </w:rPr>
        <w:t>are set out in the Articles of Association.</w:t>
      </w:r>
    </w:p>
    <w:p>
      <w:pPr>
        <w:spacing w:after="0" w:line="4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As regards both preferred shares and voting and non-voting ordinary shares, we have the power to purchase any of its own shares, whether or not they are redeemable and may make a payment out of capital</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94" w:lineRule="auto"/>
        <w:rPr>
          <w:sz w:val="20"/>
          <w:szCs w:val="20"/>
          <w:color w:val="auto"/>
        </w:rPr>
      </w:pPr>
      <w:r>
        <w:rPr>
          <w:rFonts w:ascii="Arial" w:cs="Arial" w:eastAsia="Arial" w:hAnsi="Arial"/>
          <w:sz w:val="13"/>
          <w:szCs w:val="13"/>
          <w:color w:val="auto"/>
        </w:rPr>
        <w:t>for such purchase, however the terms of such repurchases must be approved in advance by a special resolution of the holders of our ordinary shares. Our subsidiaries may purchase our ordinary shares without the approval of our shareholders.</w:t>
      </w:r>
    </w:p>
    <w:p>
      <w:pPr>
        <w:spacing w:after="0" w:line="47"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The current Articles of Association provide that our directors, officers and other agents will be indemnified against liabilities sustained in connection with the performance of their duties as directors, officers or agents, except to the extent attributable to their own willful act or default. In accordance with the New Companies Law, the Articles will be amended, subject to shareholder approval, to provide that our directors, officers and other agents will be indemnified by us from and against all liabilities sustained in connection with their performance of their duties, except to the extent prohibited by the New Companies Law. Under that Law, we may not indemnify for certain excluded liabilities, which are:</w:t>
      </w:r>
    </w:p>
    <w:p>
      <w:pPr>
        <w:spacing w:after="0" w:line="48" w:lineRule="exact"/>
        <w:rPr>
          <w:sz w:val="20"/>
          <w:szCs w:val="20"/>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fines imposed in criminal proceedings;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regulatory fines;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defending criminal proceedings resulting in a conviction;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defending civil proceedings brought by the company or an affiliated company in which judgment is rendered against the director;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unsuccessfully seeking judicial relief from claims of a breach of duty.</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Although our directors may not be exempted from, or indemnified for, liabilities to Amdocs Limited arising out of negligence, default, breach of duty or breach of trust, liabilities to third parties (including to our shareholders) arising out of negligence, default, breach of duty or breach of trust may be indemnified by us and the New Companies Law authorizes Guernsey companies to purchase insurance against such liabilities to companies or to third parties for the benefit of directors and we do maintain such insurance. In any event, judicial relief is available for an officer charged with a neglect of duty if the court determines that such person acted honestly and reasonably, having regard to all the circumstances of the case.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provisions for a classified Board of Directors or for cumulative voting for directors.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Article 8 of the Articles of Association provides that all or any of the rights, privileges, or conditions attached to any class or group of shares may be changed as follows:</w:t>
      </w:r>
    </w:p>
    <w:p>
      <w:pPr>
        <w:spacing w:after="0" w:line="114" w:lineRule="exact"/>
        <w:rPr>
          <w:sz w:val="20"/>
          <w:szCs w:val="20"/>
          <w:color w:val="auto"/>
        </w:rPr>
      </w:pPr>
    </w:p>
    <w:p>
      <w:pPr>
        <w:ind w:left="1300" w:right="40" w:hanging="208"/>
        <w:spacing w:after="0" w:line="294" w:lineRule="auto"/>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by an agreement between us and any person purporting to contract on behalf of the holders of shares of the class or group affected, provided that such agreement is ratified in writing by the holders of at least two-thirds of the issued shares of the class affected; or</w:t>
      </w:r>
    </w:p>
    <w:p>
      <w:pPr>
        <w:spacing w:after="0" w:line="36" w:lineRule="exact"/>
        <w:rPr>
          <w:rFonts w:ascii="Arial" w:cs="Arial" w:eastAsia="Arial" w:hAnsi="Arial"/>
          <w:sz w:val="13"/>
          <w:szCs w:val="13"/>
          <w:color w:val="auto"/>
        </w:rPr>
      </w:pPr>
    </w:p>
    <w:p>
      <w:pPr>
        <w:ind w:left="1300" w:right="60" w:hanging="208"/>
        <w:spacing w:after="0" w:line="276" w:lineRule="auto"/>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5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 special resolution must be passed by not less than three-quarters of the votes recorded at a meeting called for purposes of voting on the matter. As such, the conditions set out above are as significant as the requirements of Guernsey law.</w:t>
      </w:r>
    </w:p>
    <w:p>
      <w:pPr>
        <w:spacing w:after="0" w:line="47"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our share capital. The directors may, whenever they deem fit, convene an extraordinary general meeting, and extraordinary general meetings will also be convened on the requisition in writing of holders of at least 20% of our issued share capital carrying voting rights or, if the directors fail upon such requisition to convene such meeting within 21 days, then such meeting may be convened by such holders in such manner as provided by Guernsey Law. A minimum of 10 days’ written notice is required in connection with an annual general</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70" w:lineRule="auto"/>
        <w:rPr>
          <w:sz w:val="20"/>
          <w:szCs w:val="20"/>
          <w:color w:val="auto"/>
        </w:rPr>
      </w:pPr>
      <w:r>
        <w:rPr>
          <w:rFonts w:ascii="Arial" w:cs="Arial" w:eastAsia="Arial" w:hAnsi="Arial"/>
          <w:sz w:val="13"/>
          <w:szCs w:val="13"/>
          <w:color w:val="auto"/>
        </w:rPr>
        <w:t>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us provided that a meeting shall, notwithstanding that it is called by shorter notice than that specified in the Articles, be deemed to have been duly called if it is so agreed by all the members entitled to attend and vote thereat.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limitations on the rights to own securities, including the rights of non-resident or foreign shareholders to hold or exercise voting rights on the securities.</w:t>
      </w:r>
    </w:p>
    <w:p>
      <w:pPr>
        <w:spacing w:after="0" w:line="102"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There are no provisions in the Memorandum of Association or Articles of Association that would have the effect of delaying, deferring or preventing a change in control of Amdocs Limited and that would operate only with respect to a merger, acquisition or corporate restructuring involving us (or any of our subsidiaries).</w:t>
      </w:r>
    </w:p>
    <w:p>
      <w:pPr>
        <w:spacing w:after="0" w:line="4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There are no provisions in the Memorandum of Association or Articles of Association governing the ownership threshold above which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Pursuant to Article 13 of the Articles of Association, we may from time to time by ordinary resolution increase our share capital by such sum, to be divided into shares of such amount, as the resolution prescribes. A restructuring of the existing share capital must be done by extraordinary resolution (which requires the same vote as a special resolution), and we may by special resolution reduce our share capital, any capital redemption reserve fund or any share premium account in accordance with Guernsey law. These provisions in relation to the alteration of our capital are in accordance with but no more onerous than the Companies Law.</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Contracts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November 27, 2007, we entered into a Credit Agreement among us, certain of our subsidiaries, the lenders from time to time party thereto, JPMorgan Chase Bank, N.A., as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administrative agent, J.P. Morgan Europe Limited, as London agent, and JPMorgan Chase Bank, N.A., Toronto branch, as Canadian agent. The agreement provides for an unsecured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five-year revolving credit facility with a syndicate of banks, which is available for general corporate purposes, including acquisitions and repurchases of our ordinary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we may consider from time to time.</w:t>
      </w:r>
    </w:p>
    <w:p>
      <w:pPr>
        <w:spacing w:after="0" w:line="9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On December 28, 2007, we entered into an Amended and Restated Information Technology Services Agreement, which amends and restates in its entirety the Information Technology Services Agreement that we entered into with AT&amp;T Services, Inc. effective April 17, 2007. The agreement provides that Amdocs will provide services for application software to AT&amp;T for fees as specified therein.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two years, we have not entered into any other material contracts other than contracts entered into in the ordinary course of our business.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the Company</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General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was 9.3% for the year ended September 30, 2008, compared to 10.6% for fiscal 2007 and 14.8% for fiscal 2006.</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the past we qualified as an exempt company (i.e., our shareholders are not Guernsey residents and we do not carry on business in Guernsey) so we generally were not subject to taxation in Guernsey. Tax legislation enacted in Guernsey with effect from January 1, 2008 repealed the exemption and subjected us to a zero percent corporate tax rate, which we believe will not impact our effective tax rate.</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Indian Tax Considerations</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Through subsidiaries, we operate a development center and a business processing operations center in Pune, India, and another development center in Delhi, India. In 2008, the corporation tax rate applicable in India on trading activities was 33.99%. Our subsidiaries in India operate under specific favorable tax entitlements that are based upon pre-approved information technology related services activity. As a result, our subsidiaries based in Pune are entitled to corporate income tax exemptions on all income derived from such pre-approved information technology activity, provided they continue to meet the conditions required for such tax benefits. The benefits applicable for our Pune-based subsidiaries are scheduled to expire on April 1, 2010. However, as of April 1, 2007, the Minimum Alternative Tax (“MAT”) became applicable to our Indian subsidiaries based in Pune. The MAT is levied on book profits at the rate of 11.33% and can be carried forward for five years to be credited against corporate income tax. Our-Delhi based subsidiary is subject to a separate tax entitlement under which, it is exempt from tax on its tax incentive-eligible activity for its first five years of operation and it will enjoy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subsidiaries would be subject to a dividend distribution tax at the rate of 16.995% to be paid by such subsidiaries.</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Israeli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Israeli subsidiary, Amdocs (Israel) Limited, operates our largest development center. Discussed below are certain Israeli tax considerations relating to this subsidiary.</w:t>
      </w:r>
    </w:p>
    <w:p>
      <w:pPr>
        <w:spacing w:after="0" w:line="11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i w:val="1"/>
          <w:iCs w:val="1"/>
          <w:color w:val="auto"/>
        </w:rPr>
        <w:t xml:space="preserve">General Corporate Taxation in Israel. </w:t>
      </w:r>
      <w:r>
        <w:rPr>
          <w:rFonts w:ascii="Arial" w:cs="Arial" w:eastAsia="Arial" w:hAnsi="Arial"/>
          <w:sz w:val="13"/>
          <w:szCs w:val="13"/>
          <w:color w:val="auto"/>
        </w:rPr>
        <w:t>In August 2005, the Israeli parliament enacted legislation, which has gradually reduced the “Companies Tax” rates of taxable income</w:t>
      </w:r>
      <w:r>
        <w:rPr>
          <w:rFonts w:ascii="Arial" w:cs="Arial" w:eastAsia="Arial" w:hAnsi="Arial"/>
          <w:sz w:val="13"/>
          <w:szCs w:val="13"/>
          <w:i w:val="1"/>
          <w:iCs w:val="1"/>
          <w:color w:val="auto"/>
        </w:rPr>
        <w:t xml:space="preserve"> </w:t>
      </w:r>
      <w:r>
        <w:rPr>
          <w:rFonts w:ascii="Arial" w:cs="Arial" w:eastAsia="Arial" w:hAnsi="Arial"/>
          <w:sz w:val="13"/>
          <w:szCs w:val="13"/>
          <w:color w:val="auto"/>
        </w:rPr>
        <w:t>apply to Israeli companies. According to this legislation, the Companies Tax rate on taxable income in 2005 and upcoming years was and will be as follows: 34% in 2005, 31% in 2006, and 29% in 2007, 27% in 2008, 26% in 2009 and 25% for 2010 and thereafter. However, the effective tax rate payable by an Israeli company that derives income from an Approved Enterprise may be considerably less.</w:t>
      </w:r>
    </w:p>
    <w:p>
      <w:pPr>
        <w:spacing w:after="0" w:line="6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Law for the Encouragement of Capital Investments, 1959. </w:t>
      </w:r>
      <w:r>
        <w:rPr>
          <w:rFonts w:ascii="Arial" w:cs="Arial" w:eastAsia="Arial" w:hAnsi="Arial"/>
          <w:sz w:val="13"/>
          <w:szCs w:val="13"/>
          <w:color w:val="auto"/>
        </w:rPr>
        <w:t>Certain production and development facilities of our Israeli subsidiary have been granted “Approved Enterprise”</w:t>
      </w:r>
      <w:r>
        <w:rPr>
          <w:rFonts w:ascii="Arial" w:cs="Arial" w:eastAsia="Arial" w:hAnsi="Arial"/>
          <w:sz w:val="13"/>
          <w:szCs w:val="13"/>
          <w:i w:val="1"/>
          <w:iCs w:val="1"/>
          <w:color w:val="auto"/>
        </w:rPr>
        <w:t xml:space="preserve"> </w:t>
      </w:r>
      <w:r>
        <w:rPr>
          <w:rFonts w:ascii="Arial" w:cs="Arial" w:eastAsia="Arial" w:hAnsi="Arial"/>
          <w:sz w:val="13"/>
          <w:szCs w:val="13"/>
          <w:color w:val="auto"/>
        </w:rPr>
        <w:t>status pursuant to the Law for the Encouragement of Capital Investments, 1959 (the “Investment Law”), which provides certain tax and financial benefits to investment programs that have been granted such status.</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 April 2005, the Israeli parliament enacted legislation that significantly revised the Investment Law. Generally, investment programs of our Israeli subsidiary that have already obtained instruments of approval for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an Approved Enterprise by the Israeli Investment Center will continue to be subject to the old provisions as described below of the Investment Law prior to being revised. The revisions that were introduced into the Investment Law did not affect our effective tax rate for year ended September 30, 2008 and we do not expect them to have a significant impact on our effective tax rate in fiscal 2009.</w:t>
      </w:r>
    </w:p>
    <w:p>
      <w:pPr>
        <w:spacing w:after="0" w:line="59"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 Benefits. </w:t>
      </w:r>
      <w:r>
        <w:rPr>
          <w:rFonts w:ascii="Arial" w:cs="Arial" w:eastAsia="Arial" w:hAnsi="Arial"/>
          <w:sz w:val="13"/>
          <w:szCs w:val="13"/>
          <w:color w:val="auto"/>
        </w:rPr>
        <w:t>Taxable income derived from an Approved Enterprise is subject to a reduced corporate tax rate of 25% until the earliest of:</w:t>
      </w:r>
    </w:p>
    <w:p>
      <w:pPr>
        <w:spacing w:after="0" w:line="102" w:lineRule="exact"/>
        <w:rPr>
          <w:sz w:val="20"/>
          <w:szCs w:val="20"/>
          <w:color w:val="auto"/>
        </w:rPr>
      </w:pPr>
    </w:p>
    <w:p>
      <w:pPr>
        <w:ind w:left="1300" w:hanging="208"/>
        <w:spacing w:after="0"/>
        <w:tabs>
          <w:tab w:leader="none" w:pos="13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seven consecutive years (or ten in the case of an FIC (as defined below)) commencing in the year in which the Approved Enterprise first generates taxable income,</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12 years from the year of commencement of production,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14 years from the year of the approval of the Approved Enterprise status.</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71"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the subsidiary is entitled to a reduced tax rate period of 13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spacing w:after="0" w:line="299" w:lineRule="auto"/>
        <w:rPr>
          <w:sz w:val="20"/>
          <w:szCs w:val="20"/>
          <w:color w:val="auto"/>
        </w:rPr>
      </w:pPr>
      <w:r>
        <w:rPr>
          <w:rFonts w:ascii="Arial" w:cs="Arial" w:eastAsia="Arial" w:hAnsi="Arial"/>
          <w:sz w:val="12"/>
          <w:szCs w:val="12"/>
          <w:color w:val="auto"/>
        </w:rPr>
        <w:t>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Dividends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12 years thereafter. This withholding tax is in addition to the corporate tax that a company is subject to in the event it pays a dividend out of income earned during the tax holiday period related to its Approved Enterprise status.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Holders Of Ordinary Shares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United States Federal Income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describes the material U.S. federal income tax consequences to the ownership or disposition of our ordinary shares to a U.S. holder. A U.S. holder is:</w:t>
      </w:r>
    </w:p>
    <w:p>
      <w:pPr>
        <w:spacing w:after="0" w:line="114" w:lineRule="exact"/>
        <w:rPr>
          <w:sz w:val="20"/>
          <w:szCs w:val="20"/>
          <w:color w:val="auto"/>
        </w:rPr>
      </w:pPr>
    </w:p>
    <w:p>
      <w:pPr>
        <w:ind w:left="1640" w:hanging="170"/>
        <w:spacing w:after="0"/>
        <w:tabs>
          <w:tab w:leader="none" w:pos="1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corporation created or organized in, or under the laws of, the United States or of any state thereof;</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estate, the income of which is includable in gross income for U.S. federal income tax purposes regardless of its source; or</w:t>
      </w:r>
    </w:p>
    <w:p>
      <w:pPr>
        <w:spacing w:after="0" w:line="102" w:lineRule="exact"/>
        <w:rPr>
          <w:rFonts w:ascii="Arial" w:cs="Arial" w:eastAsia="Arial" w:hAnsi="Arial"/>
          <w:sz w:val="13"/>
          <w:szCs w:val="13"/>
          <w:color w:val="auto"/>
        </w:rPr>
      </w:pPr>
    </w:p>
    <w:p>
      <w:pPr>
        <w:ind w:left="1080" w:firstLine="390"/>
        <w:spacing w:after="0" w:line="294" w:lineRule="auto"/>
        <w:tabs>
          <w:tab w:leader="none" w:pos="1691"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trust, if a court within the United States is able to exercise primary supervision over the administration of the trust and one or more U.S. persons has the authority to control all substantial decisions of the trust.</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This summary generally considers only U.S. holders that own ordinary shares as capital assets. This summary does not discuss the U.S. federal income tax consequences to a holder of ordinary shares that is not a U.S. holder.</w:t>
      </w:r>
    </w:p>
    <w:p>
      <w:pPr>
        <w:spacing w:after="0" w:line="4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52"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This summary is for general information only and is not binding on the Internal Revenue Service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In general, a U.S. holder receiving a distribution with respect to the ordinary shares will be required to include such distribution (including the amount of foreign</w:t>
      </w:r>
      <w:r>
        <w:rPr>
          <w:rFonts w:ascii="Arial" w:cs="Arial" w:eastAsia="Arial" w:hAnsi="Arial"/>
          <w:sz w:val="12"/>
          <w:szCs w:val="12"/>
          <w:i w:val="1"/>
          <w:iCs w:val="1"/>
          <w:color w:val="auto"/>
        </w:rPr>
        <w:t xml:space="preserve"> </w:t>
      </w:r>
      <w:r>
        <w:rPr>
          <w:rFonts w:ascii="Arial" w:cs="Arial" w:eastAsia="Arial" w:hAnsi="Arial"/>
          <w:sz w:val="12"/>
          <w:szCs w:val="12"/>
          <w:color w:val="auto"/>
        </w:rPr>
        <w:t>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See “Disposition of Ordinary Shares” below. In general, U.S. corporate shareholders will not be entitled to any deduction for distributions received as dividends on the ordinary shares.</w:t>
      </w:r>
    </w:p>
    <w:p>
      <w:pPr>
        <w:spacing w:after="0" w:line="49"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Dividend income is generally taxed as ordinary income. However, a maximum U.S. federal income tax rate of 15% will apply to “qualified dividend income” received by individuals (as well as certain trusts and estates) before January 1, 2011,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New York Stock Exchange, we believe that dividends paid by us with respect to our ordinary shares should constitute “qualified dividend income” for U.S. federal income tax purposes, provided that the holding period requirements are satisfied and none of the other special exceptions applies.</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Disposition of Ordinary Shares. </w:t>
      </w:r>
      <w:r>
        <w:rPr>
          <w:rFonts w:ascii="Arial" w:cs="Arial" w:eastAsia="Arial" w:hAnsi="Arial"/>
          <w:sz w:val="13"/>
          <w:szCs w:val="13"/>
          <w:color w:val="auto"/>
        </w:rPr>
        <w:t>Upon the sale, exchange or other disposition of our ordinary shares, a U.S. holder generally will recognize capital gain or loss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during taxable years beginning before January 1, 2011 generally will be subject to a maximum U.S. federal tax income rate of 15%. Gains realized by a U.S. holder on a sale, exchange or other disposition of ordinary shares generally will be treated as U.S. source income for U.S. foreign tax credit purposes.</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Information Reporting and Backup Withholding. </w:t>
      </w:r>
      <w:r>
        <w:rPr>
          <w:rFonts w:ascii="Arial" w:cs="Arial" w:eastAsia="Arial" w:hAnsi="Arial"/>
          <w:sz w:val="13"/>
          <w:szCs w:val="13"/>
          <w:color w:val="auto"/>
        </w:rPr>
        <w:t>Dividend payments with respect to the ordinary shares and proceeds from the sale, exchange or redemption of ordinary shares</w:t>
      </w:r>
      <w:r>
        <w:rPr>
          <w:rFonts w:ascii="Arial" w:cs="Arial" w:eastAsia="Arial" w:hAnsi="Arial"/>
          <w:sz w:val="13"/>
          <w:szCs w:val="13"/>
          <w:i w:val="1"/>
          <w:iCs w:val="1"/>
          <w:color w:val="auto"/>
        </w:rPr>
        <w:t xml:space="preserve"> </w:t>
      </w:r>
      <w:r>
        <w:rPr>
          <w:rFonts w:ascii="Arial" w:cs="Arial" w:eastAsia="Arial" w:hAnsi="Arial"/>
          <w:sz w:val="13"/>
          <w:szCs w:val="13"/>
          <w:color w:val="auto"/>
        </w:rPr>
        <w:t>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withheld under the backup withholding rules may be credited against a U.S. holder’s tax liability or refunded if the holder provides the required information to the IRS.</w:t>
      </w:r>
    </w:p>
    <w:p>
      <w:pPr>
        <w:spacing w:after="0" w:line="114"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Passive Foreign Investment Company Considerations. </w:t>
      </w:r>
      <w:r>
        <w:rPr>
          <w:rFonts w:ascii="Arial" w:cs="Arial" w:eastAsia="Arial" w:hAnsi="Arial"/>
          <w:sz w:val="12"/>
          <w:szCs w:val="12"/>
          <w:color w:val="auto"/>
        </w:rPr>
        <w:t>If, during any taxable year, 75% or more of our gross income consists of certain types of passive income, or the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68" w:lineRule="exact"/>
        <w:rPr>
          <w:sz w:val="20"/>
          <w:szCs w:val="20"/>
          <w:color w:val="auto"/>
        </w:rPr>
      </w:pPr>
    </w:p>
    <w:p>
      <w:pPr>
        <w:ind w:left="680" w:right="800" w:firstLine="399"/>
        <w:spacing w:after="0" w:line="294" w:lineRule="auto"/>
        <w:rPr>
          <w:sz w:val="20"/>
          <w:szCs w:val="20"/>
          <w:color w:val="auto"/>
        </w:rPr>
      </w:pPr>
      <w:r>
        <w:rPr>
          <w:rFonts w:ascii="Arial" w:cs="Arial" w:eastAsia="Arial" w:hAnsi="Arial"/>
          <w:sz w:val="13"/>
          <w:szCs w:val="13"/>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There are no capital gains, gift or inheritance taxes levied by Guernsey, and the ordinary shares generally are not subject to any transfer taxes, stamp duties or similar charges on issuance or transfer.</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Corporate Governance</w:t>
      </w:r>
    </w:p>
    <w:p>
      <w:pPr>
        <w:spacing w:after="0" w:line="10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along with this Annual Report, and to our website at www.amdocs.com.</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Documents On Display</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Some of this information may also be found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copies of our reports, at no cost, by writing to or telephoning us as follows:</w:t>
      </w:r>
    </w:p>
    <w:p>
      <w:pPr>
        <w:spacing w:after="0" w:line="102"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Telephone: +1-314-212-8328</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QUANTITATIVE AND QUALITATIVE DISCLOSURE ABOUT MARKET RISK</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Risk</w:t>
      </w:r>
    </w:p>
    <w:p>
      <w:pPr>
        <w:spacing w:after="0" w:line="64"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We manage our foreign subsidiaries as integral direct components of our operations. The operations of our foreign subsidiaries provide the same type of services with the same type of expenditures throughout the Amdocs group. Based on the salient economic factors indicated in SFAS No. 52, “Foreign Currency Translation,” we have determined that the U.S. dollar is our functional currency. We periodically assess the applicability of the U.S. dollar as our functional currency by reviewing the salient indicators.</w:t>
      </w:r>
    </w:p>
    <w:p>
      <w:pPr>
        <w:spacing w:after="0" w:line="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fiscal 2008, our revenue and operating expenses in the U.S. dollar or linked to the U.S. dollar were approximately 70% and 50% to 60%, respectively. As a result of long-term contracts and more customers seeking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color w:val="auto"/>
        </w:rPr>
        <w:t>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and Indian rupees. We also use forward contracts to hedge the impact of the variability in exchange rates on certain balance sheet items such as accounts receivable and employee related accruals denominated primarily in Canadian dollars, Israeli shekels, British pounds, Australian dollars and Euros. We seek to minimize the net exposure that the anticipated cash flow from sales of our products and services and cash flow required for our expenses denominated in a currency other than our functional currency will be affected by changes in exchange rates. Please see Note 21 to our consolidated financial statements. The following table summarizes our foreign currency forward exchange agreements and options as of September 30, 2008. A significant portion of the forward contracts and options are expected to mature during fiscal 2009 and the rest during fiscal 2010. The table below (all dollar amounts in millions) presents the notional amounts and fair value of the total derivative instruments as of September 30, 2008. Notional values are calculated based on forward rates as of September 30, 2008, U.S. dollar translated.</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gridSpan w:val="7"/>
          </w:tcPr>
          <w:p>
            <w:pPr>
              <w:jc w:val="right"/>
              <w:ind w:right="800"/>
              <w:spacing w:after="0"/>
              <w:rPr>
                <w:sz w:val="20"/>
                <w:szCs w:val="20"/>
                <w:color w:val="auto"/>
              </w:rPr>
            </w:pPr>
            <w:r>
              <w:rPr>
                <w:rFonts w:ascii="Arial" w:cs="Arial" w:eastAsia="Arial" w:hAnsi="Arial"/>
                <w:sz w:val="11"/>
                <w:szCs w:val="11"/>
                <w:b w:val="1"/>
                <w:bCs w:val="1"/>
                <w:color w:val="auto"/>
                <w:w w:val="94"/>
              </w:rPr>
              <w:t>As of September 30, 2008</w:t>
            </w:r>
          </w:p>
        </w:tc>
      </w:tr>
      <w:tr>
        <w:trPr>
          <w:trHeight w:val="84"/>
        </w:trPr>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3"/>
          </w:tcPr>
          <w:p>
            <w:pPr>
              <w:jc w:val="center"/>
              <w:ind w:left="62"/>
              <w:spacing w:after="0" w:line="84" w:lineRule="exact"/>
              <w:rPr>
                <w:sz w:val="20"/>
                <w:szCs w:val="20"/>
                <w:color w:val="auto"/>
              </w:rPr>
            </w:pPr>
            <w:r>
              <w:rPr>
                <w:rFonts w:ascii="Arial" w:cs="Arial" w:eastAsia="Arial" w:hAnsi="Arial"/>
                <w:sz w:val="9"/>
                <w:szCs w:val="9"/>
                <w:b w:val="1"/>
                <w:bCs w:val="1"/>
                <w:color w:val="auto"/>
              </w:rPr>
              <w:t>Notional Amount</w:t>
            </w:r>
          </w:p>
        </w:tc>
        <w:tc>
          <w:tcPr>
            <w:tcW w:w="2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11"/>
        </w:trPr>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142"/>
              <w:spacing w:after="0" w:line="111" w:lineRule="exact"/>
              <w:rPr>
                <w:sz w:val="20"/>
                <w:szCs w:val="20"/>
                <w:color w:val="auto"/>
              </w:rPr>
            </w:pPr>
            <w:r>
              <w:rPr>
                <w:rFonts w:ascii="Arial" w:cs="Arial" w:eastAsia="Arial" w:hAnsi="Arial"/>
                <w:sz w:val="11"/>
                <w:szCs w:val="11"/>
                <w:b w:val="1"/>
                <w:bCs w:val="1"/>
                <w:color w:val="auto"/>
                <w:w w:val="86"/>
              </w:rPr>
              <w:t>Translated to</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8"/>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1"/>
                <w:szCs w:val="11"/>
                <w:b w:val="1"/>
                <w:bCs w:val="1"/>
                <w:color w:val="auto"/>
                <w:w w:val="95"/>
              </w:rPr>
              <w:t>U.S. Dollar(*)</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84"/>
        </w:trPr>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center"/>
              <w:ind w:left="142"/>
              <w:spacing w:after="0" w:line="84" w:lineRule="exact"/>
              <w:rPr>
                <w:sz w:val="20"/>
                <w:szCs w:val="20"/>
                <w:color w:val="auto"/>
              </w:rPr>
            </w:pPr>
            <w:r>
              <w:rPr>
                <w:rFonts w:ascii="Arial" w:cs="Arial" w:eastAsia="Arial" w:hAnsi="Arial"/>
                <w:sz w:val="9"/>
                <w:szCs w:val="9"/>
                <w:b w:val="1"/>
                <w:bCs w:val="1"/>
                <w:color w:val="auto"/>
              </w:rPr>
              <w:t>Derivatives</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11"/>
        </w:trPr>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102"/>
              <w:spacing w:after="0" w:line="111" w:lineRule="exact"/>
              <w:rPr>
                <w:sz w:val="20"/>
                <w:szCs w:val="20"/>
                <w:color w:val="auto"/>
              </w:rPr>
            </w:pPr>
            <w:r>
              <w:rPr>
                <w:rFonts w:ascii="Arial" w:cs="Arial" w:eastAsia="Arial" w:hAnsi="Arial"/>
                <w:sz w:val="11"/>
                <w:szCs w:val="11"/>
                <w:b w:val="1"/>
                <w:bCs w:val="1"/>
                <w:color w:val="auto"/>
                <w:w w:val="94"/>
              </w:rPr>
              <w:t>Maturing</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8"/>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1"/>
                <w:szCs w:val="11"/>
                <w:b w:val="1"/>
                <w:bCs w:val="1"/>
                <w:color w:val="auto"/>
                <w:w w:val="91"/>
              </w:rPr>
              <w:t>During Fiscal</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0"/>
              </w:rPr>
              <w:t>Fair Value of</w:t>
            </w:r>
          </w:p>
        </w:tc>
      </w:tr>
      <w:tr>
        <w:trPr>
          <w:trHeight w:val="101"/>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42"/>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32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280"/>
              <w:spacing w:after="0" w:line="101" w:lineRule="exact"/>
              <w:rPr>
                <w:sz w:val="20"/>
                <w:szCs w:val="20"/>
                <w:color w:val="auto"/>
              </w:rPr>
            </w:pPr>
            <w:r>
              <w:rPr>
                <w:rFonts w:ascii="Arial" w:cs="Arial" w:eastAsia="Arial" w:hAnsi="Arial"/>
                <w:sz w:val="11"/>
                <w:szCs w:val="11"/>
                <w:b w:val="1"/>
                <w:bCs w:val="1"/>
                <w:color w:val="auto"/>
                <w:w w:val="95"/>
              </w:rPr>
              <w:t>Derivatives</w:t>
            </w:r>
          </w:p>
        </w:tc>
      </w:tr>
      <w:tr>
        <w:trPr>
          <w:trHeight w:val="30"/>
        </w:trPr>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116.8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r>
      <w:tr>
        <w:trPr>
          <w:trHeight w:val="161"/>
        </w:trPr>
        <w:tc>
          <w:tcPr>
            <w:tcW w:w="7300" w:type="dxa"/>
            <w:vAlign w:val="bottom"/>
            <w:gridSpan w:val="3"/>
          </w:tcPr>
          <w:p>
            <w:pPr>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4"/>
                <w:szCs w:val="14"/>
                <w:color w:val="auto"/>
              </w:rPr>
            </w:pPr>
          </w:p>
        </w:tc>
        <w:tc>
          <w:tcPr>
            <w:tcW w:w="880" w:type="dxa"/>
            <w:vAlign w:val="bottom"/>
            <w:gridSpan w:val="2"/>
          </w:tcPr>
          <w:p>
            <w:pPr>
              <w:jc w:val="right"/>
              <w:ind w:right="306"/>
              <w:spacing w:after="0"/>
              <w:rPr>
                <w:sz w:val="20"/>
                <w:szCs w:val="20"/>
                <w:color w:val="auto"/>
              </w:rPr>
            </w:pPr>
            <w:r>
              <w:rPr>
                <w:rFonts w:ascii="Arial" w:cs="Arial" w:eastAsia="Arial" w:hAnsi="Arial"/>
                <w:sz w:val="13"/>
                <w:szCs w:val="13"/>
                <w:color w:val="auto"/>
              </w:rPr>
              <w:t>(354.9)</w:t>
            </w:r>
          </w:p>
        </w:tc>
        <w:tc>
          <w:tcPr>
            <w:tcW w:w="8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w w:val="97"/>
              </w:rPr>
              <w:t>(0.8)</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(11.4)</w:t>
            </w:r>
          </w:p>
        </w:tc>
      </w:tr>
      <w:tr>
        <w:trPr>
          <w:trHeight w:val="161"/>
        </w:trPr>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r>
      <w:tr>
        <w:trPr>
          <w:trHeight w:val="161"/>
        </w:trPr>
        <w:tc>
          <w:tcPr>
            <w:tcW w:w="7300" w:type="dxa"/>
            <w:vAlign w:val="bottom"/>
            <w:gridSpan w:val="3"/>
          </w:tcPr>
          <w:p>
            <w:pPr>
              <w:spacing w:after="0"/>
              <w:rPr>
                <w:sz w:val="20"/>
                <w:szCs w:val="20"/>
                <w:color w:val="auto"/>
              </w:rPr>
            </w:pPr>
            <w:r>
              <w:rPr>
                <w:rFonts w:ascii="Arial" w:cs="Arial" w:eastAsia="Arial" w:hAnsi="Arial"/>
                <w:sz w:val="13"/>
                <w:szCs w:val="13"/>
                <w:color w:val="auto"/>
              </w:rPr>
              <w:t>Liabilities</w:t>
            </w:r>
          </w:p>
        </w:tc>
        <w:tc>
          <w:tcPr>
            <w:tcW w:w="120" w:type="dxa"/>
            <w:vAlign w:val="bottom"/>
          </w:tcPr>
          <w:p>
            <w:pPr>
              <w:spacing w:after="0"/>
              <w:rPr>
                <w:sz w:val="14"/>
                <w:szCs w:val="14"/>
                <w:color w:val="auto"/>
              </w:rPr>
            </w:pPr>
          </w:p>
        </w:tc>
        <w:tc>
          <w:tcPr>
            <w:tcW w:w="880" w:type="dxa"/>
            <w:vAlign w:val="bottom"/>
            <w:gridSpan w:val="2"/>
          </w:tcPr>
          <w:p>
            <w:pPr>
              <w:jc w:val="right"/>
              <w:ind w:right="306"/>
              <w:spacing w:after="0"/>
              <w:rPr>
                <w:sz w:val="20"/>
                <w:szCs w:val="20"/>
                <w:color w:val="auto"/>
              </w:rPr>
            </w:pPr>
            <w:r>
              <w:rPr>
                <w:rFonts w:ascii="Arial" w:cs="Arial" w:eastAsia="Arial" w:hAnsi="Arial"/>
                <w:sz w:val="13"/>
                <w:szCs w:val="13"/>
                <w:color w:val="auto"/>
              </w:rPr>
              <w:t>(101.6)</w:t>
            </w:r>
          </w:p>
        </w:tc>
        <w:tc>
          <w:tcPr>
            <w:tcW w:w="80" w:type="dxa"/>
            <w:vAlign w:val="bottom"/>
          </w:tcPr>
          <w:p>
            <w:pPr>
              <w:spacing w:after="0"/>
              <w:rPr>
                <w:sz w:val="14"/>
                <w:szCs w:val="14"/>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(260.3)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w:t>
            </w: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
        </w:trPr>
        <w:tc>
          <w:tcPr>
            <w:tcW w:w="4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bl>
    <w:p>
      <w:pPr>
        <w:ind w:left="1500" w:hanging="408"/>
        <w:spacing w:after="0"/>
        <w:tabs>
          <w:tab w:leader="none" w:pos="15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Positive notional amounts represent forward contracts to sell foreign currency. Negative notional amounts represent forward contracts and options to buy foreign currency.</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6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Our interest expenses and income are sensitive to changes in interest rates, as all of our cash reserves and some of our borrowings, other than the 0.50% Notes, are subject to interest rate changes. Our short-term interest-bearing investments are invested in short term conservative debt instruments. Excess liquidity is invested in short-term high quality interest-bearing investments primarily U.S. dollar-denominated. Such short-term interest-bearing investments consist mainly of U.S. government treasuries, U.S. agencies, and corporate bonds. As of September 30, 2008, there were $1.5 million outstanding short term loans and there were no outstanding borrowings under our revolving lines of credit or our short-term credit facilities.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ind w:right="4199"/>
        <w:spacing w:after="0"/>
        <w:tabs>
          <w:tab w:leader="none" w:pos="434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DESCRIPTION OF SECURITIES OTHER THAN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239"/>
          </w:cols>
          <w:pgMar w:left="220" w:top="349" w:right="1440"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color w:val="auto"/>
        </w:rPr>
        <w:t>DEFAULTS, DIVIDEND ARREARAGES AND DELINQUENCIES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3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color w:val="auto"/>
        </w:rPr>
        <w:t>MATERIAL MODIFICATIONS TO THE RIGHTS OF SECURITY HOLDERS AND USE OF PROCEEDS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3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color w:val="auto"/>
        </w:rPr>
        <w:t>CONTROLS AND PROCEDURES</w:t>
      </w:r>
    </w:p>
    <w:p>
      <w:pPr>
        <w:spacing w:after="0" w:line="74"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2"/>
          <w:szCs w:val="12"/>
          <w:color w:val="auto"/>
        </w:rPr>
        <w:t>Our management, with the participation of the Chief Executive Officer and Chief Financial Officer of Amdocs Management Limited, evaluated the effectiveness of our disclosure controls and procedures as of September 30, 2008.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adequate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2008, the Chief Executive Officer and the Chief Financial Officer of Amdocs Management Limited concluded that, as of such date, our disclosure controls and procedures were effective at the reasonable assurance level.</w:t>
      </w:r>
    </w:p>
    <w:p>
      <w:pPr>
        <w:spacing w:after="0" w:line="38"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fiscal year ended September 30, 2008 that has materially affected, or is reasonably likely to materially affect, our internal control over financial reporting.</w:t>
      </w:r>
    </w:p>
    <w:p>
      <w:pPr>
        <w:spacing w:after="0" w:line="1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Management’s report on our internal control over financial reporting (as such defined in Rules 13a-15(f) and 15d-15(f) under the Exchange Act), and the related report of our independent public accounting firm, are included in on pages F-3 and F-4 of this Annual Report on Form 20-F, and are incorporated herein by reference.</w:t>
      </w:r>
    </w:p>
    <w:p>
      <w:pPr>
        <w:spacing w:after="0" w:line="7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3"/>
          <w:szCs w:val="13"/>
          <w:b w:val="1"/>
          <w:bCs w:val="1"/>
          <w:color w:val="auto"/>
        </w:rPr>
        <w:t>AUDIT COMMITTEE FINANCIAL EXPERT</w:t>
      </w:r>
    </w:p>
    <w:p>
      <w:pPr>
        <w:spacing w:after="0" w:line="7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7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3"/>
          <w:szCs w:val="13"/>
          <w:b w:val="1"/>
          <w:bCs w:val="1"/>
          <w:color w:val="auto"/>
        </w:rPr>
        <w:t>CODE OF ETHICS AND BUSINESS CONDUCT</w:t>
      </w:r>
    </w:p>
    <w:p>
      <w:pPr>
        <w:spacing w:after="0" w:line="7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w:t>
      </w:r>
    </w:p>
    <w:p>
      <w:pPr>
        <w:spacing w:after="0" w:line="17"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 xml:space="preserve">Our Code of Ethics and Business Conduct is available on our website at </w:t>
      </w:r>
      <w:r>
        <w:rPr>
          <w:rFonts w:ascii="Arial" w:cs="Arial" w:eastAsia="Arial" w:hAnsi="Arial"/>
          <w:sz w:val="13"/>
          <w:szCs w:val="13"/>
          <w:i w:val="1"/>
          <w:iCs w:val="1"/>
          <w:color w:val="auto"/>
        </w:rPr>
        <w:t>www.amdocs.com</w:t>
      </w:r>
      <w:r>
        <w:rPr>
          <w:rFonts w:ascii="Arial" w:cs="Arial" w:eastAsia="Arial" w:hAnsi="Arial"/>
          <w:sz w:val="13"/>
          <w:szCs w:val="13"/>
          <w:color w:val="auto"/>
        </w:rPr>
        <w:t>, or you may request a copy of our code of ethics, at no cost, by writing to or telephoning us as follows:</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Telephone: +1-314-212-8328</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post on our website all disclosures that are required by law or NYSE rules concerning any amendments to, or waivers from, any provision of the code.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00"/>
          </w:cols>
          <w:pgMar w:left="220" w:top="349" w:right="117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3"/>
          <w:szCs w:val="13"/>
          <w:b w:val="1"/>
          <w:bCs w:val="1"/>
          <w:color w:val="auto"/>
        </w:rPr>
        <w:t>PRINCIPAL ACCOUNTANT FEES AND SERVICES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each of the last three fiscal years, Ernst &amp; Young LLP has acted as our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Fees</w:t>
      </w:r>
    </w:p>
    <w:p>
      <w:pPr>
        <w:spacing w:after="0" w:line="104"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color w:val="auto"/>
        </w:rPr>
        <w:t>Ernst &amp; Young billed us approximately $3.8 million for audit services for fiscal 2008, including fees associated with the annual audit and reviews of our quarterly financial results submitted on Form 6-K, consultations on various accounting issues and performance of local statutory audits. Ernst &amp; Young billed us approximately $3.6 million for audit services for fiscal 2007.</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Audit-Related Fees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Ernst &amp; Young billed us approximately $1.0 million for audit-related services for fiscal 2008. Audit-related services principally include due diligence examinations and SAS 70 report issuances. Ernst &amp; Young billed us approximately $0.7 million for audit-related services for fiscal 2007.</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Fees</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Ernst &amp; Young billed us approximately $1.6 million for tax advice, including fees associated with tax compliance, tax advice and tax planning services for fiscal 2008. Ernst &amp; Young billed us approximately $1.9 million for tax advice in fiscal 2007.</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Fees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Ernst &amp; Young did not bill us for services other than Audit Fees, Audit-Related Fees and Tax Fees described above for fiscal 2008 or fiscal 2007.</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Policies for Non-Audit Services</w:t>
      </w:r>
    </w:p>
    <w:p>
      <w:pPr>
        <w:spacing w:after="0" w:line="104" w:lineRule="exact"/>
        <w:rPr>
          <w:sz w:val="20"/>
          <w:szCs w:val="20"/>
          <w:color w:val="auto"/>
        </w:rPr>
      </w:pPr>
    </w:p>
    <w:p>
      <w:pPr>
        <w:jc w:val="both"/>
        <w:ind w:left="680" w:right="240" w:firstLine="399"/>
        <w:spacing w:after="0" w:line="309" w:lineRule="auto"/>
        <w:rPr>
          <w:sz w:val="20"/>
          <w:szCs w:val="20"/>
          <w:color w:val="auto"/>
        </w:rPr>
      </w:pPr>
      <w:r>
        <w:rPr>
          <w:rFonts w:ascii="Arial" w:cs="Arial" w:eastAsia="Arial" w:hAnsi="Arial"/>
          <w:sz w:val="12"/>
          <w:szCs w:val="12"/>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2008, our Audit Committee approved all of the services provided by Ernst &amp; Young.</w:t>
      </w:r>
    </w:p>
    <w:p>
      <w:pPr>
        <w:spacing w:after="0" w:line="137"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3"/>
          <w:szCs w:val="13"/>
          <w:b w:val="1"/>
          <w:bCs w:val="1"/>
          <w:color w:val="auto"/>
        </w:rPr>
        <w:t>EXEMPTION FROM THE LISTING STANDARDS FOR AUDIT COMMITTEES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3"/>
          <w:szCs w:val="13"/>
          <w:b w:val="1"/>
          <w:bCs w:val="1"/>
          <w:color w:val="auto"/>
        </w:rPr>
        <w:t>PURCHASES OF EQUITY SECURITIES BY THE ISSUER AND AFFILIATED PURCHASERS</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The following table provides information about purchases by us and our affiliated purchasers during the fiscal year ended September 30, 2008 of equity securities that are registered by us pursuant to Section 12 of the Exchange Act: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Ordinary Shares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(c)</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1"/>
              </w:rPr>
              <w:t>Shares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3"/>
              </w:rPr>
              <w:t>Maximum Number (or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5"/>
              </w:rPr>
              <w:t>(b)</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Purchased as Part</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1"/>
              </w:rPr>
              <w:t>Approximate Dollar Value)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of Publicly</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of Shares that</w:t>
            </w:r>
          </w:p>
        </w:tc>
        <w:tc>
          <w:tcPr>
            <w:tcW w:w="0" w:type="dxa"/>
            <w:vAlign w:val="bottom"/>
          </w:tcPr>
          <w:p>
            <w:pPr>
              <w:spacing w:after="0"/>
              <w:rPr>
                <w:sz w:val="1"/>
                <w:szCs w:val="1"/>
                <w:color w:val="auto"/>
              </w:rPr>
            </w:pPr>
          </w:p>
        </w:tc>
      </w:tr>
      <w:tr>
        <w:trPr>
          <w:trHeight w:val="121"/>
        </w:trPr>
        <w:tc>
          <w:tcPr>
            <w:tcW w:w="3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15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0"/>
                <w:szCs w:val="10"/>
                <w:color w:val="auto"/>
              </w:rPr>
            </w:pPr>
          </w:p>
        </w:tc>
        <w:tc>
          <w:tcPr>
            <w:tcW w:w="1300" w:type="dxa"/>
            <w:vAlign w:val="bottom"/>
            <w:gridSpan w:val="2"/>
          </w:tcPr>
          <w:p>
            <w:pPr>
              <w:jc w:val="center"/>
              <w:ind w:right="500"/>
              <w:spacing w:after="0" w:line="121" w:lineRule="exact"/>
              <w:rPr>
                <w:sz w:val="20"/>
                <w:szCs w:val="20"/>
                <w:color w:val="auto"/>
              </w:rPr>
            </w:pPr>
            <w:r>
              <w:rPr>
                <w:rFonts w:ascii="Arial" w:cs="Arial" w:eastAsia="Arial" w:hAnsi="Arial"/>
                <w:sz w:val="11"/>
                <w:szCs w:val="11"/>
                <w:b w:val="1"/>
                <w:bCs w:val="1"/>
                <w:color w:val="auto"/>
                <w:w w:val="87"/>
              </w:rPr>
              <w:t>Average Price</w:t>
            </w:r>
          </w:p>
        </w:tc>
        <w:tc>
          <w:tcPr>
            <w:tcW w:w="158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6"/>
              </w:rPr>
              <w:t>Announced Plans</w:t>
            </w:r>
          </w:p>
        </w:tc>
        <w:tc>
          <w:tcPr>
            <w:tcW w:w="220" w:type="dxa"/>
            <w:vAlign w:val="bottom"/>
          </w:tcPr>
          <w:p>
            <w:pPr>
              <w:spacing w:after="0"/>
              <w:rPr>
                <w:sz w:val="10"/>
                <w:szCs w:val="10"/>
                <w:color w:val="auto"/>
              </w:rPr>
            </w:pPr>
          </w:p>
        </w:tc>
        <w:tc>
          <w:tcPr>
            <w:tcW w:w="19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May Yet Be Purchased Under</w:t>
            </w:r>
          </w:p>
        </w:tc>
        <w:tc>
          <w:tcPr>
            <w:tcW w:w="0" w:type="dxa"/>
            <w:vAlign w:val="bottom"/>
          </w:tcPr>
          <w:p>
            <w:pPr>
              <w:spacing w:after="0"/>
              <w:rPr>
                <w:sz w:val="1"/>
                <w:szCs w:val="1"/>
                <w:color w:val="auto"/>
              </w:rPr>
            </w:pPr>
          </w:p>
        </w:tc>
      </w:tr>
      <w:tr>
        <w:trPr>
          <w:trHeight w:val="128"/>
        </w:trPr>
        <w:tc>
          <w:tcPr>
            <w:tcW w:w="3300" w:type="dxa"/>
            <w:vAlign w:val="bottom"/>
            <w:gridSpan w:val="2"/>
            <w:vMerge w:val="continue"/>
          </w:tcPr>
          <w:p>
            <w:pPr>
              <w:spacing w:after="0"/>
              <w:rPr>
                <w:sz w:val="11"/>
                <w:szCs w:val="1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Purchased</w:t>
            </w:r>
          </w:p>
        </w:tc>
        <w:tc>
          <w:tcPr>
            <w:tcW w:w="100" w:type="dxa"/>
            <w:vAlign w:val="bottom"/>
          </w:tcPr>
          <w:p>
            <w:pPr>
              <w:spacing w:after="0"/>
              <w:rPr>
                <w:sz w:val="11"/>
                <w:szCs w:val="11"/>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8"/>
              </w:rPr>
              <w:t>Paid per Share</w:t>
            </w: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or Programs</w:t>
            </w:r>
          </w:p>
        </w:tc>
        <w:tc>
          <w:tcPr>
            <w:tcW w:w="220" w:type="dxa"/>
            <w:vAlign w:val="bottom"/>
          </w:tcPr>
          <w:p>
            <w:pPr>
              <w:spacing w:after="0"/>
              <w:rPr>
                <w:sz w:val="11"/>
                <w:szCs w:val="11"/>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the Plans or Programs(1)</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10/1/07 — 10/31/07</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565,106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33.77</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565,106</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331,109,793</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11/1/07 — 11/30/07</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997,700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32.85</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997,700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298,333,727</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12/1/07 — 12/31/07</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33.63</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612,800</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277,725,141</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1/1/08 — 1/31/08</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405,448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32.06</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405,448</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264,725,486</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2/1/08 — 2/28/08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31.27</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359,000</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253,500,920</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3/1/08 — 3/31/08</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886,100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28.97</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886,100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227,826,473</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6/1/08 — 6/30/08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1,562,184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31.92</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1,562,184</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177,959,939</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7/1/08 — 7/31/08</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8,600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28.00</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8,600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177,719,165</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8/1/08 — 8/31/08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270,000</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169,613,360</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9/1/08 — 9/30/08</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2,702,979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27.49</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2,702,979</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95,307,756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8,369,917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30.45</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8,369,917</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95,307,756</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-1240790</wp:posOffset>
            </wp:positionV>
            <wp:extent cx="190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1000" w:right="280" w:hanging="266"/>
        <w:spacing w:after="0" w:line="264"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 fiscal 2008, we repurchased approximately 8.4 million ordinary shares at an average price of $30.45 per share (excluding broker and transaction fees) under this plan, leaving us with authority as of September 30, 2008, to repurchase up to $95.3 million of our ordinary shares under the share repurchase plan. In the first quarter of 2009 (through November 30, 2008), we repurchased approximately 0.5 million ordinary shares at an average price of $26.90 per share (excluding broker and transaction fees). Although we currently do not plan to repurchase additional ordinary shares in the immediate future, we have authority, as of November 30, 2008, to repurchase up to $82.7 million of our ordinary shares under this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Convertible Notes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November 2008, our Board of Directors authorized us to repurchase up to $100 million aggregate principal amount of our notes in such amounts, at such prices and at such times that we deem appropriate. During the first quarter of fiscal 2009, using loan proceeds from our revolving credit facility, we purchased $100 million aggregate principal amount of our notes at an average price of 98% of the principal amount, excluding accrued interest and transaction fees. In March 2009, the remaining notes are redeemable by us, and if we do not elect to redeem the notes, then the holders of the notes may require us to repurchase the notes at a purchase price equal to 100% of the principal amount of the notes plus accrued and unpaid interest. We anticipate that a substantial portion of the outstanding notes will be put to us in March 2009 if we do not elect to redeem them. As of November 30, 2008, $350,000 aggregate principal amount of our notes was outstanding.</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PART III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Statements And Schedule</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Financial Statements and Financial Statement Schedule of Amdocs Limited, with respect to financial results for the fiscal years ended September 30, 2008, 2007 and 2006, are included at the end of this Annual Report: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Audited Financial Statements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Balance Sheets as of September 30,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Income for the years ended September 30, 2008, 2007 and 2006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Changes in Shareholders’ Equity for the years ended September 30, 2008, 2007 and 2006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Cash Flows for the years ended September 30, 2008, 2007 and 2006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to Consolidated Financial Statements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 Schedules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Valuation and Qualifying Accounts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since they are either not required or not applicable, or the information has otherwise been included.</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19.</w:t>
      </w:r>
      <w:r>
        <w:rPr>
          <w:sz w:val="20"/>
          <w:szCs w:val="20"/>
          <w:color w:val="auto"/>
        </w:rPr>
        <w:tab/>
      </w:r>
      <w:r>
        <w:rPr>
          <w:rFonts w:ascii="Arial" w:cs="Arial" w:eastAsia="Arial" w:hAnsi="Arial"/>
          <w:sz w:val="13"/>
          <w:szCs w:val="13"/>
          <w:b w:val="1"/>
          <w:bCs w:val="1"/>
          <w:color w:val="auto"/>
        </w:rPr>
        <w:t>EXHIBITS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exhibits listed on the Exhibit Index hereof are filed herewith in response to this Item.</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Amdocs Limited</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w:t>
      </w:r>
      <w:r>
        <w:rPr>
          <w:rFonts w:ascii="Arial" w:cs="Arial" w:eastAsia="Arial" w:hAnsi="Arial"/>
          <w:sz w:val="9"/>
          <w:szCs w:val="9"/>
          <w:color w:val="auto"/>
        </w:rPr>
        <w:t>HOMAS</w:t>
      </w:r>
      <w:r>
        <w:rPr>
          <w:rFonts w:ascii="Arial" w:cs="Arial" w:eastAsia="Arial" w:hAnsi="Arial"/>
          <w:sz w:val="13"/>
          <w:szCs w:val="13"/>
          <w:color w:val="auto"/>
        </w:rPr>
        <w:t xml:space="preserve"> G. O’B</w:t>
      </w:r>
      <w:r>
        <w:rPr>
          <w:rFonts w:ascii="Arial" w:cs="Arial" w:eastAsia="Arial" w:hAnsi="Arial"/>
          <w:sz w:val="9"/>
          <w:szCs w:val="9"/>
          <w:color w:val="auto"/>
        </w:rPr>
        <w:t>RIEN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Treasurer and Secretary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Authorized U.S. Representative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December 8, 2008</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3400" w:type="dxa"/>
            <w:vAlign w:val="bottom"/>
            <w:gridSpan w:val="3"/>
          </w:tcPr>
          <w:p>
            <w:pPr>
              <w:ind w:left="20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88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2"/>
              </w:rPr>
              <w:t>Description</w:t>
            </w:r>
          </w:p>
        </w:tc>
        <w:tc>
          <w:tcPr>
            <w:tcW w:w="0" w:type="dxa"/>
            <w:vAlign w:val="bottom"/>
          </w:tcPr>
          <w:p>
            <w:pPr>
              <w:spacing w:after="0"/>
              <w:rPr>
                <w:sz w:val="1"/>
                <w:szCs w:val="1"/>
                <w:color w:val="auto"/>
              </w:rPr>
            </w:pPr>
          </w:p>
        </w:tc>
      </w:tr>
      <w:tr>
        <w:trPr>
          <w:trHeight w:val="138"/>
        </w:trPr>
        <w:tc>
          <w:tcPr>
            <w:tcW w:w="2340" w:type="dxa"/>
            <w:vAlign w:val="bottom"/>
          </w:tcPr>
          <w:p>
            <w:pPr>
              <w:ind w:left="160"/>
              <w:spacing w:after="0"/>
              <w:rPr>
                <w:sz w:val="20"/>
                <w:szCs w:val="20"/>
                <w:color w:val="auto"/>
              </w:rPr>
            </w:pPr>
            <w:r>
              <w:rPr>
                <w:rFonts w:ascii="Arial" w:cs="Arial" w:eastAsia="Arial" w:hAnsi="Arial"/>
                <w:sz w:val="11"/>
                <w:szCs w:val="11"/>
                <w:b w:val="1"/>
                <w:bCs w:val="1"/>
                <w:color w:val="auto"/>
              </w:rPr>
              <w:t>No.</w:t>
            </w:r>
          </w:p>
        </w:tc>
        <w:tc>
          <w:tcPr>
            <w:tcW w:w="28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 w:lineRule="exact"/>
        <w:rPr>
          <w:sz w:val="20"/>
          <w:szCs w:val="20"/>
          <w:color w:val="auto"/>
        </w:rPr>
      </w:pPr>
    </w:p>
    <w:p>
      <w:pPr>
        <w:ind w:left="1500" w:right="960" w:hanging="811"/>
        <w:spacing w:after="0" w:line="267" w:lineRule="auto"/>
        <w:tabs>
          <w:tab w:leader="none" w:pos="1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Memorandum and Articles of Association of Amdocs Limited (incorporated by reference to Exhibits 3.1 and 3.2 to Amdocs’ Registration Statement on Form F-1 dated June 19, 1998; Registration No. 333-8826)</w:t>
      </w:r>
    </w:p>
    <w:tbl>
      <w:tblPr>
        <w:tblLayout w:type="fixed"/>
        <w:tblInd w:w="0" w:type="dxa"/>
        <w:tblCellMar>
          <w:top w:w="0" w:type="dxa"/>
          <w:left w:w="0" w:type="dxa"/>
          <w:bottom w:w="0" w:type="dxa"/>
          <w:right w:w="0" w:type="dxa"/>
        </w:tblCellMar>
      </w:tblPr>
      <w:tr>
        <w:trPr>
          <w:trHeight w:val="151"/>
        </w:trPr>
        <w:tc>
          <w:tcPr>
            <w:tcW w:w="1220" w:type="dxa"/>
            <w:vAlign w:val="bottom"/>
          </w:tcPr>
          <w:p>
            <w:pPr>
              <w:ind w:left="680"/>
              <w:spacing w:after="0"/>
              <w:rPr>
                <w:sz w:val="20"/>
                <w:szCs w:val="20"/>
                <w:color w:val="auto"/>
              </w:rPr>
            </w:pPr>
            <w:r>
              <w:rPr>
                <w:rFonts w:ascii="Arial" w:cs="Arial" w:eastAsia="Arial" w:hAnsi="Arial"/>
                <w:sz w:val="13"/>
                <w:szCs w:val="13"/>
                <w:color w:val="auto"/>
              </w:rPr>
              <w:t>2.a.1</w:t>
            </w:r>
          </w:p>
        </w:tc>
        <w:tc>
          <w:tcPr>
            <w:tcW w:w="10240" w:type="dxa"/>
            <w:vAlign w:val="bottom"/>
          </w:tcPr>
          <w:p>
            <w:pPr>
              <w:ind w:left="280"/>
              <w:spacing w:after="0"/>
              <w:rPr>
                <w:sz w:val="20"/>
                <w:szCs w:val="20"/>
                <w:color w:val="auto"/>
              </w:rPr>
            </w:pPr>
            <w:r>
              <w:rPr>
                <w:rFonts w:ascii="Arial" w:cs="Arial" w:eastAsia="Arial" w:hAnsi="Arial"/>
                <w:sz w:val="13"/>
                <w:szCs w:val="13"/>
                <w:color w:val="auto"/>
              </w:rPr>
              <w:t>Indenture dated May 30, 2001 between Amdocs and United States Trust Company of New York (incorporated by reference to Exhibit 4.1 to Amdocs’ Form 6-K dated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May 31, 2001)</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2.a.2</w:t>
            </w:r>
          </w:p>
        </w:tc>
        <w:tc>
          <w:tcPr>
            <w:tcW w:w="10240" w:type="dxa"/>
            <w:vAlign w:val="bottom"/>
          </w:tcPr>
          <w:p>
            <w:pPr>
              <w:ind w:left="280"/>
              <w:spacing w:after="0"/>
              <w:rPr>
                <w:sz w:val="20"/>
                <w:szCs w:val="20"/>
                <w:color w:val="auto"/>
              </w:rPr>
            </w:pPr>
            <w:r>
              <w:rPr>
                <w:rFonts w:ascii="Arial" w:cs="Arial" w:eastAsia="Arial" w:hAnsi="Arial"/>
                <w:sz w:val="13"/>
                <w:szCs w:val="13"/>
                <w:color w:val="auto"/>
              </w:rPr>
              <w:t>Registration Rights Agreement dated May 30, 2001 between Amdocs and Goldman, Sachs &amp; Co. (incorporated by reference to Exhibit 4.2 to Amdocs’ Form 6-K dated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May 31, 2001)</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2.a.3</w:t>
            </w:r>
          </w:p>
        </w:tc>
        <w:tc>
          <w:tcPr>
            <w:tcW w:w="10240" w:type="dxa"/>
            <w:vAlign w:val="bottom"/>
          </w:tcPr>
          <w:p>
            <w:pPr>
              <w:ind w:left="280"/>
              <w:spacing w:after="0"/>
              <w:rPr>
                <w:sz w:val="20"/>
                <w:szCs w:val="20"/>
                <w:color w:val="auto"/>
              </w:rPr>
            </w:pPr>
            <w:r>
              <w:rPr>
                <w:rFonts w:ascii="Arial" w:cs="Arial" w:eastAsia="Arial" w:hAnsi="Arial"/>
                <w:sz w:val="13"/>
                <w:szCs w:val="13"/>
                <w:color w:val="auto"/>
              </w:rPr>
              <w:t>Indenture, dated March 5, 2004, between Amdocs Limited and The Bank of New York, as trustee, for 0.50% Convertible Senior Notes due 2024 (incorporated by</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reference to Exhibit 99.1 to Amdocs’ Form 6-K, filed March 5, 2004)</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2.a.4</w:t>
            </w:r>
          </w:p>
        </w:tc>
        <w:tc>
          <w:tcPr>
            <w:tcW w:w="10240" w:type="dxa"/>
            <w:vAlign w:val="bottom"/>
          </w:tcPr>
          <w:p>
            <w:pPr>
              <w:ind w:left="280"/>
              <w:spacing w:after="0"/>
              <w:rPr>
                <w:sz w:val="20"/>
                <w:szCs w:val="20"/>
                <w:color w:val="auto"/>
              </w:rPr>
            </w:pPr>
            <w:r>
              <w:rPr>
                <w:rFonts w:ascii="Arial" w:cs="Arial" w:eastAsia="Arial" w:hAnsi="Arial"/>
                <w:sz w:val="13"/>
                <w:szCs w:val="13"/>
                <w:color w:val="auto"/>
              </w:rPr>
              <w:t>Registration Rights Agreement, dated March 5, 2004, among Amdocs Limited and Morgan Stanley &amp; Co. Incorporated, Goldman, Sachs &amp; Co. and Merrill Lynch, Pierce</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Fenner &amp; Smith Incorporated (incorporated by reference to Exhibit 99.2 to Amdocs’ Form 6-K, filed March 5, 2004)</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4.a.1</w:t>
            </w:r>
          </w:p>
        </w:tc>
        <w:tc>
          <w:tcPr>
            <w:tcW w:w="10240" w:type="dxa"/>
            <w:vAlign w:val="bottom"/>
          </w:tcPr>
          <w:p>
            <w:pPr>
              <w:ind w:left="280"/>
              <w:spacing w:after="0"/>
              <w:rPr>
                <w:sz w:val="20"/>
                <w:szCs w:val="20"/>
                <w:color w:val="auto"/>
              </w:rPr>
            </w:pPr>
            <w:r>
              <w:rPr>
                <w:rFonts w:ascii="Arial" w:cs="Arial" w:eastAsia="Arial" w:hAnsi="Arial"/>
                <w:sz w:val="13"/>
                <w:szCs w:val="13"/>
                <w:color w:val="auto"/>
              </w:rPr>
              <w:t>Share Sale and Purchase Agreement, dated as of July 1, 2005, by and among DST Systems, Inc., Amdocs, Inc. and Amdocs Limited (incorporated by reference to</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Exhibit 99.1 to Amdocs’ Form 6-K dated July 5, 2005)</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4.a.2</w:t>
            </w:r>
          </w:p>
        </w:tc>
        <w:tc>
          <w:tcPr>
            <w:tcW w:w="10240" w:type="dxa"/>
            <w:vAlign w:val="bottom"/>
          </w:tcPr>
          <w:p>
            <w:pPr>
              <w:ind w:left="280"/>
              <w:spacing w:after="0"/>
              <w:rPr>
                <w:sz w:val="20"/>
                <w:szCs w:val="20"/>
                <w:color w:val="auto"/>
              </w:rPr>
            </w:pPr>
            <w:r>
              <w:rPr>
                <w:rFonts w:ascii="Arial" w:cs="Arial" w:eastAsia="Arial" w:hAnsi="Arial"/>
                <w:sz w:val="13"/>
                <w:szCs w:val="13"/>
                <w:color w:val="auto"/>
              </w:rPr>
              <w:t>Agreement and Plan of Merger, dated as of April 17, 2006, by and among Amdocs Limited, Amdocs Thesaurus, Inc., Qpass Inc. and Ray A. Rothrock, as Shareholders’</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Agent (incorporated by reference to Exhibit 99.1 to Amdocs’ Form 6-K dated April 21, 2006)</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4.a.3</w:t>
            </w:r>
          </w:p>
        </w:tc>
        <w:tc>
          <w:tcPr>
            <w:tcW w:w="10240" w:type="dxa"/>
            <w:vAlign w:val="bottom"/>
          </w:tcPr>
          <w:p>
            <w:pPr>
              <w:ind w:left="280"/>
              <w:spacing w:after="0"/>
              <w:rPr>
                <w:sz w:val="20"/>
                <w:szCs w:val="20"/>
                <w:color w:val="auto"/>
              </w:rPr>
            </w:pPr>
            <w:r>
              <w:rPr>
                <w:rFonts w:ascii="Arial" w:cs="Arial" w:eastAsia="Arial" w:hAnsi="Arial"/>
                <w:sz w:val="13"/>
                <w:szCs w:val="13"/>
                <w:color w:val="auto"/>
              </w:rPr>
              <w:t>Share Sale and Purchase Agreement relating to Cramer Systems Group Limited, dated July 18, 2006, by and among Amdocs Limited, Amdocs Astrum Limited and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certain shareholders of Cramer Systems Group Limited (incorporated by reference to Exhibit 99.1 to Amdocs’ Form 6-K dated July 20, 2006)</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4.a.4</w:t>
            </w:r>
          </w:p>
        </w:tc>
        <w:tc>
          <w:tcPr>
            <w:tcW w:w="10240" w:type="dxa"/>
            <w:vAlign w:val="bottom"/>
          </w:tcPr>
          <w:p>
            <w:pPr>
              <w:ind w:left="280"/>
              <w:spacing w:after="0"/>
              <w:rPr>
                <w:sz w:val="20"/>
                <w:szCs w:val="20"/>
                <w:color w:val="auto"/>
              </w:rPr>
            </w:pPr>
            <w:r>
              <w:rPr>
                <w:rFonts w:ascii="Arial" w:cs="Arial" w:eastAsia="Arial" w:hAnsi="Arial"/>
                <w:sz w:val="13"/>
                <w:szCs w:val="13"/>
                <w:color w:val="auto"/>
              </w:rPr>
              <w:t>Agreement, dated August 14, 2006, amending the Share Sale and Purchase Agreement relating to Cramer Systems Group Limited dated July 18, 2006, by and among</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Amdocs Limited, Amdocs Astrum Limited and certain shareholders of Cramer Systems Group Limited (incorporated by reference to Exhibit 99.1 to Amdocs’ Form 6-K</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dated August 17, 2006)</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4.a.5</w:t>
            </w:r>
          </w:p>
        </w:tc>
        <w:tc>
          <w:tcPr>
            <w:tcW w:w="10240" w:type="dxa"/>
            <w:vAlign w:val="bottom"/>
          </w:tcPr>
          <w:p>
            <w:pPr>
              <w:ind w:left="280"/>
              <w:spacing w:after="0"/>
              <w:rPr>
                <w:sz w:val="20"/>
                <w:szCs w:val="20"/>
                <w:color w:val="auto"/>
              </w:rPr>
            </w:pPr>
            <w:r>
              <w:rPr>
                <w:rFonts w:ascii="Arial" w:cs="Arial" w:eastAsia="Arial" w:hAnsi="Arial"/>
                <w:sz w:val="13"/>
                <w:szCs w:val="13"/>
                <w:color w:val="auto"/>
              </w:rPr>
              <w:t>Agreement, dated September 14, 2006, amending the Share Sale and Purchase Agreement relating to Cramer Systems Group Limited dated July 18, 2006, by and among</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Amdocs Limited, Amdocs Astrum Limited and certain shareholders of Cramer Systems Group Limited, as amended (incorporated by reference to Exhibit 99.1 to</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Amdocs’ Form 6-K dated September 14, 2006)</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4.b.1</w:t>
            </w:r>
          </w:p>
        </w:tc>
        <w:tc>
          <w:tcPr>
            <w:tcW w:w="10240" w:type="dxa"/>
            <w:vAlign w:val="bottom"/>
          </w:tcPr>
          <w:p>
            <w:pPr>
              <w:ind w:left="280"/>
              <w:spacing w:after="0"/>
              <w:rPr>
                <w:sz w:val="20"/>
                <w:szCs w:val="20"/>
                <w:color w:val="auto"/>
              </w:rPr>
            </w:pPr>
            <w:r>
              <w:rPr>
                <w:rFonts w:ascii="Arial" w:cs="Arial" w:eastAsia="Arial" w:hAnsi="Arial"/>
                <w:sz w:val="13"/>
                <w:szCs w:val="13"/>
                <w:color w:val="auto"/>
              </w:rPr>
              <w:t>Further Amended and Restated Information Technology Services Agreement, dated September 1, 2007, between Amdocs, Inc. and AT&amp;T Services, Inc. (confidential</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material has been redacted and complete exhibits have been separately filed with the Securities and Exchange Commission) (incorporated by reference to Exhibit 99.3 to</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Amdocs’ Report of Foreign Private Issuer on Form 6-K dated December 3, 2007)</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4.b.2</w:t>
            </w:r>
          </w:p>
        </w:tc>
        <w:tc>
          <w:tcPr>
            <w:tcW w:w="10240" w:type="dxa"/>
            <w:vAlign w:val="bottom"/>
          </w:tcPr>
          <w:p>
            <w:pPr>
              <w:ind w:left="280"/>
              <w:spacing w:after="0"/>
              <w:rPr>
                <w:sz w:val="20"/>
                <w:szCs w:val="20"/>
                <w:color w:val="auto"/>
              </w:rPr>
            </w:pPr>
            <w:r>
              <w:rPr>
                <w:rFonts w:ascii="Arial" w:cs="Arial" w:eastAsia="Arial" w:hAnsi="Arial"/>
                <w:sz w:val="13"/>
                <w:szCs w:val="13"/>
                <w:color w:val="auto"/>
              </w:rPr>
              <w:t>Master Agreement for Software and Services between Amdocs, Inc. and SBC Operations, Inc., effective July 7, 1998 (confidential material has been redacted and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complete exhibits have been separately filed with the Securities and Exchange Commission) (incorporated by reference to Exhibit 10.13 to Amdocs’ Amendment No. 1 to</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Registration Statement on Form F-1, dated May 21, 1999, Registration No. 333-75151)</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4.b.3</w:t>
            </w:r>
          </w:p>
        </w:tc>
        <w:tc>
          <w:tcPr>
            <w:tcW w:w="10240" w:type="dxa"/>
            <w:vAlign w:val="bottom"/>
          </w:tcPr>
          <w:p>
            <w:pPr>
              <w:ind w:left="280"/>
              <w:spacing w:after="0"/>
              <w:rPr>
                <w:sz w:val="20"/>
                <w:szCs w:val="20"/>
                <w:color w:val="auto"/>
              </w:rPr>
            </w:pPr>
            <w:r>
              <w:rPr>
                <w:rFonts w:ascii="Arial" w:cs="Arial" w:eastAsia="Arial" w:hAnsi="Arial"/>
                <w:sz w:val="13"/>
                <w:szCs w:val="13"/>
                <w:color w:val="auto"/>
              </w:rPr>
              <w:t>Software Master Agreement between Amdocs Software Systems Limited and SBC Services, Inc., effective December 10, 2003 (confidential material has been redacted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and complete exhibits have been separately filed with the Securities and Exchange Commission) (incorporated by reference to Exhibit 99.2 to Amdocs’ Amendment</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No. 1 to Registration Statement on Form F-3, dated September 21, 2004, Registration No. 333-114344)</w:t>
            </w:r>
          </w:p>
        </w:tc>
      </w:tr>
      <w:tr>
        <w:trPr>
          <w:trHeight w:val="161"/>
        </w:trPr>
        <w:tc>
          <w:tcPr>
            <w:tcW w:w="1220" w:type="dxa"/>
            <w:vAlign w:val="bottom"/>
          </w:tcPr>
          <w:p>
            <w:pPr>
              <w:ind w:left="680"/>
              <w:spacing w:after="0"/>
              <w:rPr>
                <w:sz w:val="20"/>
                <w:szCs w:val="20"/>
                <w:color w:val="auto"/>
              </w:rPr>
            </w:pPr>
            <w:r>
              <w:rPr>
                <w:rFonts w:ascii="Arial" w:cs="Arial" w:eastAsia="Arial" w:hAnsi="Arial"/>
                <w:sz w:val="13"/>
                <w:szCs w:val="13"/>
                <w:color w:val="auto"/>
              </w:rPr>
              <w:t>4.b.4</w:t>
            </w:r>
          </w:p>
        </w:tc>
        <w:tc>
          <w:tcPr>
            <w:tcW w:w="10240" w:type="dxa"/>
            <w:vAlign w:val="bottom"/>
          </w:tcPr>
          <w:p>
            <w:pPr>
              <w:ind w:left="280"/>
              <w:spacing w:after="0"/>
              <w:rPr>
                <w:sz w:val="20"/>
                <w:szCs w:val="20"/>
                <w:color w:val="auto"/>
              </w:rPr>
            </w:pPr>
            <w:r>
              <w:rPr>
                <w:rFonts w:ascii="Arial" w:cs="Arial" w:eastAsia="Arial" w:hAnsi="Arial"/>
                <w:sz w:val="13"/>
                <w:szCs w:val="13"/>
                <w:color w:val="auto"/>
              </w:rPr>
              <w:t>Agreement between Amdocs, Inc. and SBC Services, Inc. for Software and Professional Services, effective August 7, 2003 (confidential material has been redacted and</w:t>
            </w:r>
          </w:p>
        </w:tc>
      </w:tr>
      <w:tr>
        <w:trPr>
          <w:trHeight w:val="161"/>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complete exhibits have been separately filed with the Securities and Exchange Commission) (incorporated by reference to Exhibit 99.3 to Amdocs’ Amendment No. 1 to</w:t>
            </w:r>
          </w:p>
        </w:tc>
      </w:tr>
      <w:tr>
        <w:trPr>
          <w:trHeight w:val="172"/>
        </w:trPr>
        <w:tc>
          <w:tcPr>
            <w:tcW w:w="1220" w:type="dxa"/>
            <w:vAlign w:val="bottom"/>
          </w:tcPr>
          <w:p>
            <w:pPr>
              <w:spacing w:after="0"/>
              <w:rPr>
                <w:sz w:val="14"/>
                <w:szCs w:val="14"/>
                <w:color w:val="auto"/>
              </w:rPr>
            </w:pPr>
          </w:p>
        </w:tc>
        <w:tc>
          <w:tcPr>
            <w:tcW w:w="10240" w:type="dxa"/>
            <w:vAlign w:val="bottom"/>
          </w:tcPr>
          <w:p>
            <w:pPr>
              <w:ind w:left="280"/>
              <w:spacing w:after="0"/>
              <w:rPr>
                <w:sz w:val="20"/>
                <w:szCs w:val="20"/>
                <w:color w:val="auto"/>
              </w:rPr>
            </w:pPr>
            <w:r>
              <w:rPr>
                <w:rFonts w:ascii="Arial" w:cs="Arial" w:eastAsia="Arial" w:hAnsi="Arial"/>
                <w:sz w:val="13"/>
                <w:szCs w:val="13"/>
                <w:color w:val="auto"/>
              </w:rPr>
              <w:t>Registration Statement on Form F-3, dated September 21, 2004, Registration No. 333-114344)</w:t>
            </w:r>
          </w:p>
        </w:tc>
      </w:tr>
      <w:tr>
        <w:trPr>
          <w:trHeight w:val="464"/>
        </w:trPr>
        <w:tc>
          <w:tcPr>
            <w:tcW w:w="1220" w:type="dxa"/>
            <w:vAlign w:val="bottom"/>
          </w:tcPr>
          <w:p>
            <w:pPr>
              <w:spacing w:after="0"/>
              <w:rPr>
                <w:sz w:val="24"/>
                <w:szCs w:val="24"/>
                <w:color w:val="auto"/>
              </w:rPr>
            </w:pPr>
          </w:p>
        </w:tc>
        <w:tc>
          <w:tcPr>
            <w:tcW w:w="10240" w:type="dxa"/>
            <w:vAlign w:val="bottom"/>
          </w:tcPr>
          <w:p>
            <w:pPr>
              <w:ind w:left="4380"/>
              <w:spacing w:after="0"/>
              <w:rPr>
                <w:sz w:val="20"/>
                <w:szCs w:val="20"/>
                <w:color w:val="auto"/>
              </w:rPr>
            </w:pPr>
            <w:r>
              <w:rPr>
                <w:rFonts w:ascii="Arial" w:cs="Arial" w:eastAsia="Arial" w:hAnsi="Arial"/>
                <w:sz w:val="13"/>
                <w:szCs w:val="13"/>
                <w:color w:val="auto"/>
              </w:rPr>
              <w:t>73</w:t>
            </w:r>
          </w:p>
        </w:tc>
      </w:tr>
      <w:tr>
        <w:trPr>
          <w:trHeight w:val="167"/>
        </w:trPr>
        <w:tc>
          <w:tcPr>
            <w:tcW w:w="1220" w:type="dxa"/>
            <w:vAlign w:val="bottom"/>
            <w:tcBorders>
              <w:bottom w:val="single" w:sz="8" w:color="808080"/>
            </w:tcBorders>
          </w:tcPr>
          <w:p>
            <w:pPr>
              <w:spacing w:after="0"/>
              <w:rPr>
                <w:sz w:val="14"/>
                <w:szCs w:val="14"/>
                <w:color w:val="auto"/>
              </w:rPr>
            </w:pPr>
          </w:p>
        </w:tc>
        <w:tc>
          <w:tcPr>
            <w:tcW w:w="10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Exhibit</w:t>
            </w:r>
          </w:p>
        </w:tc>
        <w:tc>
          <w:tcPr>
            <w:tcW w:w="4720" w:type="dxa"/>
            <w:vAlign w:val="bottom"/>
          </w:tcPr>
          <w:p>
            <w:pPr>
              <w:spacing w:after="0"/>
              <w:rPr>
                <w:sz w:val="10"/>
                <w:szCs w:val="10"/>
                <w:color w:val="auto"/>
              </w:rPr>
            </w:pPr>
          </w:p>
        </w:tc>
        <w:tc>
          <w:tcPr>
            <w:tcW w:w="4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No.</w:t>
            </w:r>
          </w:p>
        </w:tc>
        <w:tc>
          <w:tcPr>
            <w:tcW w:w="4720" w:type="dxa"/>
            <w:vAlign w:val="bottom"/>
          </w:tcPr>
          <w:p>
            <w:pPr>
              <w:spacing w:after="0"/>
              <w:rPr>
                <w:sz w:val="11"/>
                <w:szCs w:val="11"/>
                <w:color w:val="auto"/>
              </w:rPr>
            </w:pPr>
          </w:p>
        </w:tc>
        <w:tc>
          <w:tcPr>
            <w:tcW w:w="4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3"/>
                <w:szCs w:val="13"/>
                <w:color w:val="auto"/>
              </w:rPr>
              <w:t>4.b.5</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4"/>
              </w:rPr>
              <w:t>Amended and Restated Customer Care and Billing Services Agreement, dated as of July 1, 2006, between Sprint/United Management Company and Amdocs Software</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4"/>
              </w:rPr>
              <w:t>Systems Limited (confidential material has been redacted and complete exhibits have been separately filed with the Securities and Exchange Commission) (incorporated</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by reference to Exhibit 99.1 to Amdocs’ Form 6-K dated December 13, 2006)</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4.b.6</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5"/>
              </w:rPr>
              <w:t>Agreement Amending the Further Amended and Restated Master Outsourcing Agreement and Master License and Services Agreement, dated as of October 5, 2006,</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4"/>
              </w:rPr>
              <w:t>between Bell Canada and Amdocs Canadian Managed Services Inc. (confidential material has been redacted and complete exhibits have been separately filed with the</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5"/>
              </w:rPr>
              <w:t>Securities and Exchange Commission) (incorporated by reference to Exhibit 4.c.1 to Amdocs’ Report of Foreign Private Issuer on Form 6-K dated December 13, 2006)</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4.b.7</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6"/>
              </w:rPr>
              <w:t>Information Technology Services Agreement, dated as of April 1, 2007, between Amdocs, Inc. and AT&amp;T Services, Inc. (confidential material has been redacted and</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6"/>
              </w:rPr>
              <w:t>complete exhibits have been separately filed with the Securities and Exchange Commission) (incorporated by reference to Exhibit 99.1 to Amdocs’ Report of Foreign</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Private Issuer on Form 6-K dated December 3, 2007)</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4.b.8</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7"/>
              </w:rPr>
              <w:t>Amended and Restated Information Technology Services Agreement, dated as of December 28, 2007, between Amdocs, Inc. and AT&amp;T Services, Inc. (confidential</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3"/>
              </w:rPr>
              <w:t>material has been redacted and complete exhibits have been separately filed with the Securities and Exchange Commission) (incorporated by reference to Exhibit 99.1 to</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Amdocs’ Report of Foreign Private Issuer on Form 6-K dated December 8, 2008)</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4.b.9</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7"/>
              </w:rPr>
              <w:t>Credit Agreement, dated as of November 27, 2007, among Amdocs Limited, certain of its subsidiaries, the lenders from time to time party thereto, JPMorgan Chase</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w w:val="92"/>
              </w:rPr>
              <w:t>Bank, N.A., as administrative agent, J.P. Morgan Europe Limited, as London agent, and JPMorgan Chase Bank, N.A., Toronto branch, as Canadian agent (incorporated by</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reference to Exhibit 4.B.9 to Amdocs’ Annual Report on Form 20-F filed December 3, 2007)</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4.c.1</w:t>
            </w: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Amdocs Limited 1998 Stock Option and Incentive Plan, as amended (incorporated by reference to Exhibit 4.c.1 to Amdocs’ Annual Report on Form 20-F filed</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9340" w:type="dxa"/>
            <w:vAlign w:val="bottom"/>
            <w:gridSpan w:val="3"/>
          </w:tcPr>
          <w:p>
            <w:pPr>
              <w:ind w:left="180"/>
              <w:spacing w:after="0"/>
              <w:rPr>
                <w:sz w:val="20"/>
                <w:szCs w:val="20"/>
                <w:color w:val="auto"/>
              </w:rPr>
            </w:pPr>
            <w:r>
              <w:rPr>
                <w:rFonts w:ascii="Arial" w:cs="Arial" w:eastAsia="Arial" w:hAnsi="Arial"/>
                <w:sz w:val="13"/>
                <w:szCs w:val="13"/>
                <w:color w:val="auto"/>
              </w:rPr>
              <w:t>December 13,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-1771650</wp:posOffset>
            </wp:positionV>
            <wp:extent cx="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500" w:hanging="811"/>
        <w:spacing w:after="0"/>
        <w:tabs>
          <w:tab w:leader="none" w:pos="1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Subsidiaries of Amdocs Limited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00" w:type="dxa"/>
            <w:vAlign w:val="bottom"/>
          </w:tcPr>
          <w:p>
            <w:pPr>
              <w:jc w:val="right"/>
              <w:ind w:right="213"/>
              <w:spacing w:after="0"/>
              <w:rPr>
                <w:sz w:val="20"/>
                <w:szCs w:val="20"/>
                <w:color w:val="auto"/>
              </w:rPr>
            </w:pPr>
            <w:r>
              <w:rPr>
                <w:rFonts w:ascii="Arial" w:cs="Arial" w:eastAsia="Arial" w:hAnsi="Arial"/>
                <w:sz w:val="13"/>
                <w:szCs w:val="13"/>
                <w:color w:val="auto"/>
              </w:rPr>
              <w:t>12.1</w:t>
            </w:r>
          </w:p>
        </w:tc>
        <w:tc>
          <w:tcPr>
            <w:tcW w:w="10260" w:type="dxa"/>
            <w:vAlign w:val="bottom"/>
          </w:tcPr>
          <w:p>
            <w:pPr>
              <w:ind w:left="300"/>
              <w:spacing w:after="0"/>
              <w:rPr>
                <w:sz w:val="20"/>
                <w:szCs w:val="20"/>
                <w:color w:val="auto"/>
              </w:rPr>
            </w:pPr>
            <w:r>
              <w:rPr>
                <w:rFonts w:ascii="Arial" w:cs="Arial" w:eastAsia="Arial" w:hAnsi="Arial"/>
                <w:sz w:val="13"/>
                <w:szCs w:val="13"/>
                <w:color w:val="auto"/>
              </w:rPr>
              <w:t>Certification of Chief Executive Officer pursuant to Rule 13a-14(a)/15d-14(a)</w:t>
            </w:r>
          </w:p>
        </w:tc>
      </w:tr>
      <w:tr>
        <w:trPr>
          <w:trHeight w:val="161"/>
        </w:trPr>
        <w:tc>
          <w:tcPr>
            <w:tcW w:w="1200" w:type="dxa"/>
            <w:vAlign w:val="bottom"/>
          </w:tcPr>
          <w:p>
            <w:pPr>
              <w:jc w:val="right"/>
              <w:ind w:right="213"/>
              <w:spacing w:after="0"/>
              <w:rPr>
                <w:sz w:val="20"/>
                <w:szCs w:val="20"/>
                <w:color w:val="auto"/>
              </w:rPr>
            </w:pPr>
            <w:r>
              <w:rPr>
                <w:rFonts w:ascii="Arial" w:cs="Arial" w:eastAsia="Arial" w:hAnsi="Arial"/>
                <w:sz w:val="13"/>
                <w:szCs w:val="13"/>
                <w:color w:val="auto"/>
              </w:rPr>
              <w:t>12.2</w:t>
            </w:r>
          </w:p>
        </w:tc>
        <w:tc>
          <w:tcPr>
            <w:tcW w:w="10260" w:type="dxa"/>
            <w:vAlign w:val="bottom"/>
          </w:tcPr>
          <w:p>
            <w:pPr>
              <w:ind w:left="300"/>
              <w:spacing w:after="0"/>
              <w:rPr>
                <w:sz w:val="20"/>
                <w:szCs w:val="20"/>
                <w:color w:val="auto"/>
              </w:rPr>
            </w:pPr>
            <w:r>
              <w:rPr>
                <w:rFonts w:ascii="Arial" w:cs="Arial" w:eastAsia="Arial" w:hAnsi="Arial"/>
                <w:sz w:val="13"/>
                <w:szCs w:val="13"/>
                <w:color w:val="auto"/>
              </w:rPr>
              <w:t>Certification of Chief Financial Officer pursuant to Rule 13a-14(a)/15d-14(a)</w:t>
            </w:r>
          </w:p>
        </w:tc>
      </w:tr>
      <w:tr>
        <w:trPr>
          <w:trHeight w:val="161"/>
        </w:trPr>
        <w:tc>
          <w:tcPr>
            <w:tcW w:w="1200" w:type="dxa"/>
            <w:vAlign w:val="bottom"/>
          </w:tcPr>
          <w:p>
            <w:pPr>
              <w:jc w:val="right"/>
              <w:ind w:right="213"/>
              <w:spacing w:after="0"/>
              <w:rPr>
                <w:sz w:val="20"/>
                <w:szCs w:val="20"/>
                <w:color w:val="auto"/>
              </w:rPr>
            </w:pPr>
            <w:r>
              <w:rPr>
                <w:rFonts w:ascii="Arial" w:cs="Arial" w:eastAsia="Arial" w:hAnsi="Arial"/>
                <w:sz w:val="13"/>
                <w:szCs w:val="13"/>
                <w:color w:val="auto"/>
              </w:rPr>
              <w:t>13.1</w:t>
            </w:r>
          </w:p>
        </w:tc>
        <w:tc>
          <w:tcPr>
            <w:tcW w:w="10260" w:type="dxa"/>
            <w:vAlign w:val="bottom"/>
          </w:tcPr>
          <w:p>
            <w:pPr>
              <w:ind w:left="300"/>
              <w:spacing w:after="0"/>
              <w:rPr>
                <w:sz w:val="20"/>
                <w:szCs w:val="20"/>
                <w:color w:val="auto"/>
              </w:rPr>
            </w:pPr>
            <w:r>
              <w:rPr>
                <w:rFonts w:ascii="Arial" w:cs="Arial" w:eastAsia="Arial" w:hAnsi="Arial"/>
                <w:sz w:val="13"/>
                <w:szCs w:val="13"/>
                <w:color w:val="auto"/>
              </w:rPr>
              <w:t>Certification of Chief Executive Officer pursuant to 18 U.S.C. 1350</w:t>
            </w:r>
          </w:p>
        </w:tc>
      </w:tr>
      <w:tr>
        <w:trPr>
          <w:trHeight w:val="161"/>
        </w:trPr>
        <w:tc>
          <w:tcPr>
            <w:tcW w:w="1200" w:type="dxa"/>
            <w:vAlign w:val="bottom"/>
          </w:tcPr>
          <w:p>
            <w:pPr>
              <w:jc w:val="right"/>
              <w:ind w:right="213"/>
              <w:spacing w:after="0"/>
              <w:rPr>
                <w:sz w:val="20"/>
                <w:szCs w:val="20"/>
                <w:color w:val="auto"/>
              </w:rPr>
            </w:pPr>
            <w:r>
              <w:rPr>
                <w:rFonts w:ascii="Arial" w:cs="Arial" w:eastAsia="Arial" w:hAnsi="Arial"/>
                <w:sz w:val="13"/>
                <w:szCs w:val="13"/>
                <w:color w:val="auto"/>
              </w:rPr>
              <w:t>13.2</w:t>
            </w:r>
          </w:p>
        </w:tc>
        <w:tc>
          <w:tcPr>
            <w:tcW w:w="10260" w:type="dxa"/>
            <w:vAlign w:val="bottom"/>
          </w:tcPr>
          <w:p>
            <w:pPr>
              <w:ind w:left="300"/>
              <w:spacing w:after="0"/>
              <w:rPr>
                <w:sz w:val="20"/>
                <w:szCs w:val="20"/>
                <w:color w:val="auto"/>
              </w:rPr>
            </w:pPr>
            <w:r>
              <w:rPr>
                <w:rFonts w:ascii="Arial" w:cs="Arial" w:eastAsia="Arial" w:hAnsi="Arial"/>
                <w:sz w:val="13"/>
                <w:szCs w:val="13"/>
                <w:color w:val="auto"/>
              </w:rPr>
              <w:t>Certification of Chief Financial Officer pursuant to 18 U.S.C. 1350</w:t>
            </w:r>
          </w:p>
        </w:tc>
      </w:tr>
      <w:tr>
        <w:trPr>
          <w:trHeight w:val="172"/>
        </w:trPr>
        <w:tc>
          <w:tcPr>
            <w:tcW w:w="1200" w:type="dxa"/>
            <w:vAlign w:val="bottom"/>
          </w:tcPr>
          <w:p>
            <w:pPr>
              <w:jc w:val="right"/>
              <w:ind w:right="213"/>
              <w:spacing w:after="0"/>
              <w:rPr>
                <w:sz w:val="20"/>
                <w:szCs w:val="20"/>
                <w:color w:val="auto"/>
              </w:rPr>
            </w:pPr>
            <w:r>
              <w:rPr>
                <w:rFonts w:ascii="Arial" w:cs="Arial" w:eastAsia="Arial" w:hAnsi="Arial"/>
                <w:sz w:val="13"/>
                <w:szCs w:val="13"/>
                <w:color w:val="auto"/>
              </w:rPr>
              <w:t>14.1</w:t>
            </w:r>
          </w:p>
        </w:tc>
        <w:tc>
          <w:tcPr>
            <w:tcW w:w="10260" w:type="dxa"/>
            <w:vAlign w:val="bottom"/>
          </w:tcPr>
          <w:p>
            <w:pPr>
              <w:ind w:left="300"/>
              <w:spacing w:after="0"/>
              <w:rPr>
                <w:sz w:val="20"/>
                <w:szCs w:val="20"/>
                <w:color w:val="auto"/>
              </w:rPr>
            </w:pPr>
            <w:r>
              <w:rPr>
                <w:rFonts w:ascii="Arial" w:cs="Arial" w:eastAsia="Arial" w:hAnsi="Arial"/>
                <w:sz w:val="13"/>
                <w:szCs w:val="13"/>
                <w:color w:val="auto"/>
              </w:rPr>
              <w:t>Consent of Ernst &amp; Young LLP</w:t>
            </w:r>
          </w:p>
        </w:tc>
      </w:tr>
      <w:tr>
        <w:trPr>
          <w:trHeight w:val="302"/>
        </w:trPr>
        <w:tc>
          <w:tcPr>
            <w:tcW w:w="1200" w:type="dxa"/>
            <w:vAlign w:val="bottom"/>
          </w:tcPr>
          <w:p>
            <w:pPr>
              <w:spacing w:after="0"/>
              <w:rPr>
                <w:sz w:val="24"/>
                <w:szCs w:val="24"/>
                <w:color w:val="auto"/>
              </w:rPr>
            </w:pPr>
          </w:p>
        </w:tc>
        <w:tc>
          <w:tcPr>
            <w:tcW w:w="10260" w:type="dxa"/>
            <w:vAlign w:val="bottom"/>
          </w:tcPr>
          <w:p>
            <w:pPr>
              <w:ind w:left="4400"/>
              <w:spacing w:after="0"/>
              <w:rPr>
                <w:sz w:val="20"/>
                <w:szCs w:val="20"/>
                <w:color w:val="auto"/>
              </w:rPr>
            </w:pPr>
            <w:r>
              <w:rPr>
                <w:rFonts w:ascii="Arial" w:cs="Arial" w:eastAsia="Arial" w:hAnsi="Arial"/>
                <w:sz w:val="13"/>
                <w:szCs w:val="13"/>
                <w:color w:val="auto"/>
              </w:rPr>
              <w:t>74</w:t>
            </w:r>
          </w:p>
        </w:tc>
      </w:tr>
      <w:tr>
        <w:trPr>
          <w:trHeight w:val="167"/>
        </w:trPr>
        <w:tc>
          <w:tcPr>
            <w:tcW w:w="1200" w:type="dxa"/>
            <w:vAlign w:val="bottom"/>
            <w:tcBorders>
              <w:bottom w:val="single" w:sz="8" w:color="808080"/>
            </w:tcBorders>
          </w:tcPr>
          <w:p>
            <w:pPr>
              <w:spacing w:after="0"/>
              <w:rPr>
                <w:sz w:val="14"/>
                <w:szCs w:val="14"/>
                <w:color w:val="auto"/>
              </w:rPr>
            </w:pPr>
          </w:p>
        </w:tc>
        <w:tc>
          <w:tcPr>
            <w:tcW w:w="10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AMDOCS LIMITED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11"/>
                <w:szCs w:val="11"/>
                <w:color w:val="auto"/>
              </w:rPr>
            </w:pPr>
          </w:p>
        </w:tc>
      </w:tr>
      <w:tr>
        <w:trPr>
          <w:trHeight w:val="181"/>
        </w:trPr>
        <w:tc>
          <w:tcPr>
            <w:tcW w:w="10220" w:type="dxa"/>
            <w:vAlign w:val="bottom"/>
            <w:gridSpan w:val="10"/>
          </w:tcPr>
          <w:p>
            <w:pPr>
              <w:ind w:left="680"/>
              <w:spacing w:after="0"/>
              <w:rPr>
                <w:sz w:val="20"/>
                <w:szCs w:val="20"/>
                <w:color w:val="auto"/>
              </w:rPr>
            </w:pPr>
            <w:r>
              <w:rPr>
                <w:rFonts w:ascii="Arial" w:cs="Arial" w:eastAsia="Arial" w:hAnsi="Arial"/>
                <w:sz w:val="13"/>
                <w:szCs w:val="13"/>
                <w:b w:val="1"/>
                <w:bCs w:val="1"/>
                <w:color w:val="auto"/>
              </w:rPr>
              <w:t>Audited Consolidated Financial Statements</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820" w:type="dxa"/>
            <w:vAlign w:val="bottom"/>
          </w:tcPr>
          <w:p>
            <w:pPr>
              <w:spacing w:after="0"/>
              <w:rPr>
                <w:sz w:val="12"/>
                <w:szCs w:val="12"/>
                <w:color w:val="auto"/>
              </w:rPr>
            </w:pPr>
          </w:p>
        </w:tc>
        <w:tc>
          <w:tcPr>
            <w:tcW w:w="9400" w:type="dxa"/>
            <w:vAlign w:val="bottom"/>
            <w:gridSpan w:val="9"/>
          </w:tcPr>
          <w:p>
            <w:pPr>
              <w:spacing w:after="0" w:line="142" w:lineRule="exact"/>
              <w:rPr>
                <w:rFonts w:ascii="Arial" w:cs="Arial" w:eastAsia="Arial" w:hAnsi="Arial"/>
                <w:sz w:val="13"/>
                <w:szCs w:val="13"/>
                <w:color w:val="0000EE"/>
              </w:rPr>
            </w:pPr>
            <w:hyperlink w:anchor="page78">
              <w:r>
                <w:rPr>
                  <w:rFonts w:ascii="Arial" w:cs="Arial" w:eastAsia="Arial" w:hAnsi="Arial"/>
                  <w:sz w:val="13"/>
                  <w:szCs w:val="13"/>
                  <w:color w:val="0000EE"/>
                </w:rPr>
                <w:t>Management’s Report on Internal Control Over Financial Reporting</w:t>
              </w:r>
            </w:hyperlink>
          </w:p>
        </w:tc>
        <w:tc>
          <w:tcPr>
            <w:tcW w:w="440" w:type="dxa"/>
            <w:vAlign w:val="bottom"/>
          </w:tcPr>
          <w:p>
            <w:pPr>
              <w:jc w:val="right"/>
              <w:ind w:right="14"/>
              <w:spacing w:after="0" w:line="142" w:lineRule="exact"/>
              <w:rPr>
                <w:sz w:val="20"/>
                <w:szCs w:val="20"/>
                <w:color w:val="auto"/>
              </w:rPr>
            </w:pPr>
            <w:r>
              <w:rPr>
                <w:rFonts w:ascii="Arial" w:cs="Arial" w:eastAsia="Arial" w:hAnsi="Arial"/>
                <w:sz w:val="13"/>
                <w:szCs w:val="13"/>
                <w:color w:val="auto"/>
              </w:rPr>
              <w:t>F-2</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3660" w:type="dxa"/>
            <w:vAlign w:val="bottom"/>
            <w:tcBorders>
              <w:top w:val="single" w:sz="8" w:color="0000EE"/>
            </w:tcBorders>
            <w:gridSpan w:val="5"/>
          </w:tcPr>
          <w:p>
            <w:pPr>
              <w:spacing w:after="0" w:line="141" w:lineRule="exact"/>
              <w:rPr>
                <w:rFonts w:ascii="Arial" w:cs="Arial" w:eastAsia="Arial" w:hAnsi="Arial"/>
                <w:sz w:val="13"/>
                <w:szCs w:val="13"/>
                <w:color w:val="0000EE"/>
              </w:rPr>
            </w:pPr>
            <w:hyperlink w:anchor="page79">
              <w:r>
                <w:rPr>
                  <w:rFonts w:ascii="Arial" w:cs="Arial" w:eastAsia="Arial" w:hAnsi="Arial"/>
                  <w:sz w:val="13"/>
                  <w:szCs w:val="13"/>
                  <w:color w:val="0000EE"/>
                </w:rPr>
                <w:t>Reports of Independent Registered Public Accounting Firm</w:t>
              </w:r>
            </w:hyperlink>
          </w:p>
        </w:tc>
        <w:tc>
          <w:tcPr>
            <w:tcW w:w="5740" w:type="dxa"/>
            <w:vAlign w:val="bottom"/>
            <w:gridSpan w:val="4"/>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3500" w:type="dxa"/>
            <w:vAlign w:val="bottom"/>
            <w:tcBorders>
              <w:bottom w:val="single" w:sz="8" w:color="0000EE"/>
            </w:tcBorders>
            <w:gridSpan w:val="4"/>
          </w:tcPr>
          <w:p>
            <w:pPr>
              <w:spacing w:after="0" w:line="141" w:lineRule="exact"/>
              <w:rPr>
                <w:rFonts w:ascii="Arial" w:cs="Arial" w:eastAsia="Arial" w:hAnsi="Arial"/>
                <w:sz w:val="13"/>
                <w:szCs w:val="13"/>
                <w:color w:val="0000EE"/>
                <w:w w:val="91"/>
              </w:rPr>
            </w:pPr>
            <w:hyperlink w:anchor="page81">
              <w:r>
                <w:rPr>
                  <w:rFonts w:ascii="Arial" w:cs="Arial" w:eastAsia="Arial" w:hAnsi="Arial"/>
                  <w:sz w:val="13"/>
                  <w:szCs w:val="13"/>
                  <w:color w:val="0000EE"/>
                  <w:w w:val="91"/>
                </w:rPr>
                <w:t>Consolidated Balance Sheets as of September 30, 2008 and 2007</w:t>
              </w:r>
            </w:hyperlink>
          </w:p>
        </w:tc>
        <w:tc>
          <w:tcPr>
            <w:tcW w:w="5900" w:type="dxa"/>
            <w:vAlign w:val="bottom"/>
            <w:gridSpan w:val="5"/>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4960" w:type="dxa"/>
            <w:vAlign w:val="bottom"/>
            <w:tcBorders>
              <w:bottom w:val="single" w:sz="8" w:color="0000EE"/>
            </w:tcBorders>
            <w:gridSpan w:val="6"/>
          </w:tcPr>
          <w:p>
            <w:pPr>
              <w:spacing w:after="0" w:line="141" w:lineRule="exact"/>
              <w:rPr>
                <w:rFonts w:ascii="Arial" w:cs="Arial" w:eastAsia="Arial" w:hAnsi="Arial"/>
                <w:sz w:val="13"/>
                <w:szCs w:val="13"/>
                <w:color w:val="0000EE"/>
                <w:w w:val="91"/>
              </w:rPr>
            </w:pPr>
            <w:hyperlink w:anchor="page82">
              <w:r>
                <w:rPr>
                  <w:rFonts w:ascii="Arial" w:cs="Arial" w:eastAsia="Arial" w:hAnsi="Arial"/>
                  <w:sz w:val="13"/>
                  <w:szCs w:val="13"/>
                  <w:color w:val="0000EE"/>
                  <w:w w:val="91"/>
                </w:rPr>
                <w:t>Consolidated Statements of Income for the years ended September 30, 2008, 2007 and 2006</w:t>
              </w:r>
            </w:hyperlink>
          </w:p>
        </w:tc>
        <w:tc>
          <w:tcPr>
            <w:tcW w:w="4440" w:type="dxa"/>
            <w:vAlign w:val="bottom"/>
            <w:gridSpan w:val="3"/>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9400" w:type="dxa"/>
            <w:vAlign w:val="bottom"/>
            <w:gridSpan w:val="9"/>
          </w:tcPr>
          <w:p>
            <w:pPr>
              <w:spacing w:after="0" w:line="141" w:lineRule="exact"/>
              <w:rPr>
                <w:rFonts w:ascii="Arial" w:cs="Arial" w:eastAsia="Arial" w:hAnsi="Arial"/>
                <w:sz w:val="13"/>
                <w:szCs w:val="13"/>
                <w:color w:val="0000EE"/>
              </w:rPr>
            </w:pPr>
            <w:hyperlink w:anchor="page83">
              <w:r>
                <w:rPr>
                  <w:rFonts w:ascii="Arial" w:cs="Arial" w:eastAsia="Arial" w:hAnsi="Arial"/>
                  <w:sz w:val="13"/>
                  <w:szCs w:val="13"/>
                  <w:color w:val="0000EE"/>
                </w:rPr>
                <w:t>Consolidated Statements of Changes in Shareholders’ Equity for the years ended September 30, 2008, 2007 and 2006</w:t>
              </w:r>
            </w:hyperlink>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5180" w:type="dxa"/>
            <w:vAlign w:val="bottom"/>
            <w:tcBorders>
              <w:top w:val="single" w:sz="8" w:color="0000EE"/>
              <w:bottom w:val="single" w:sz="8" w:color="0000EE"/>
            </w:tcBorders>
            <w:gridSpan w:val="7"/>
          </w:tcPr>
          <w:p>
            <w:pPr>
              <w:spacing w:after="0" w:line="141" w:lineRule="exact"/>
              <w:rPr>
                <w:rFonts w:ascii="Arial" w:cs="Arial" w:eastAsia="Arial" w:hAnsi="Arial"/>
                <w:sz w:val="13"/>
                <w:szCs w:val="13"/>
                <w:color w:val="0000EE"/>
                <w:w w:val="91"/>
              </w:rPr>
            </w:pPr>
            <w:hyperlink w:anchor="page84">
              <w:r>
                <w:rPr>
                  <w:rFonts w:ascii="Arial" w:cs="Arial" w:eastAsia="Arial" w:hAnsi="Arial"/>
                  <w:sz w:val="13"/>
                  <w:szCs w:val="13"/>
                  <w:color w:val="0000EE"/>
                  <w:w w:val="91"/>
                </w:rPr>
                <w:t>Consolidated Statements of Cash Flows for the years ended September 30, 2008, 2007 and 2006</w:t>
              </w:r>
            </w:hyperlink>
          </w:p>
        </w:tc>
        <w:tc>
          <w:tcPr>
            <w:tcW w:w="1140" w:type="dxa"/>
            <w:vAlign w:val="bottom"/>
            <w:tcBorders>
              <w:top w:val="single" w:sz="8" w:color="0000EE"/>
            </w:tcBorders>
          </w:tcPr>
          <w:p>
            <w:pPr>
              <w:spacing w:after="0"/>
              <w:rPr>
                <w:sz w:val="12"/>
                <w:szCs w:val="12"/>
                <w:color w:val="auto"/>
              </w:rPr>
            </w:pPr>
          </w:p>
        </w:tc>
        <w:tc>
          <w:tcPr>
            <w:tcW w:w="3080" w:type="dxa"/>
            <w:vAlign w:val="bottom"/>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2560" w:type="dxa"/>
            <w:vAlign w:val="bottom"/>
            <w:tcBorders>
              <w:bottom w:val="single" w:sz="8" w:color="0000EE"/>
            </w:tcBorders>
            <w:gridSpan w:val="2"/>
          </w:tcPr>
          <w:p>
            <w:pPr>
              <w:spacing w:after="0" w:line="141" w:lineRule="exact"/>
              <w:rPr>
                <w:rFonts w:ascii="Arial" w:cs="Arial" w:eastAsia="Arial" w:hAnsi="Arial"/>
                <w:sz w:val="13"/>
                <w:szCs w:val="13"/>
                <w:color w:val="0000EE"/>
                <w:w w:val="92"/>
              </w:rPr>
            </w:pPr>
            <w:hyperlink w:anchor="page86">
              <w:r>
                <w:rPr>
                  <w:rFonts w:ascii="Arial" w:cs="Arial" w:eastAsia="Arial" w:hAnsi="Arial"/>
                  <w:sz w:val="13"/>
                  <w:szCs w:val="13"/>
                  <w:color w:val="0000EE"/>
                  <w:w w:val="92"/>
                </w:rPr>
                <w:t>Notes to the Consolidated Financial Statements</w:t>
              </w:r>
            </w:hyperlink>
          </w:p>
        </w:tc>
        <w:tc>
          <w:tcPr>
            <w:tcW w:w="6840" w:type="dxa"/>
            <w:vAlign w:val="bottom"/>
            <w:gridSpan w:val="7"/>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F-10</w:t>
            </w:r>
          </w:p>
        </w:tc>
        <w:tc>
          <w:tcPr>
            <w:tcW w:w="800" w:type="dxa"/>
            <w:vAlign w:val="bottom"/>
          </w:tcPr>
          <w:p>
            <w:pPr>
              <w:spacing w:after="0"/>
              <w:rPr>
                <w:sz w:val="12"/>
                <w:szCs w:val="12"/>
                <w:color w:val="auto"/>
              </w:rPr>
            </w:pPr>
          </w:p>
        </w:tc>
      </w:tr>
      <w:tr>
        <w:trPr>
          <w:trHeight w:val="161"/>
        </w:trPr>
        <w:tc>
          <w:tcPr>
            <w:tcW w:w="10220" w:type="dxa"/>
            <w:vAlign w:val="bottom"/>
            <w:gridSpan w:val="10"/>
          </w:tcPr>
          <w:p>
            <w:pPr>
              <w:ind w:left="680"/>
              <w:spacing w:after="0"/>
              <w:rPr>
                <w:sz w:val="20"/>
                <w:szCs w:val="20"/>
                <w:color w:val="auto"/>
              </w:rPr>
            </w:pPr>
            <w:r>
              <w:rPr>
                <w:rFonts w:ascii="Arial" w:cs="Arial" w:eastAsia="Arial" w:hAnsi="Arial"/>
                <w:sz w:val="13"/>
                <w:szCs w:val="13"/>
                <w:b w:val="1"/>
                <w:bCs w:val="1"/>
                <w:color w:val="auto"/>
              </w:rPr>
              <w:t>Financial Statement Schedule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9400" w:type="dxa"/>
            <w:vAlign w:val="bottom"/>
            <w:gridSpan w:val="9"/>
          </w:tcPr>
          <w:p>
            <w:pPr>
              <w:spacing w:after="0" w:line="142" w:lineRule="exact"/>
              <w:rPr>
                <w:rFonts w:ascii="Arial" w:cs="Arial" w:eastAsia="Arial" w:hAnsi="Arial"/>
                <w:sz w:val="13"/>
                <w:szCs w:val="13"/>
                <w:color w:val="0000EE"/>
              </w:rPr>
            </w:pPr>
            <w:hyperlink w:anchor="page116">
              <w:r>
                <w:rPr>
                  <w:rFonts w:ascii="Arial" w:cs="Arial" w:eastAsia="Arial" w:hAnsi="Arial"/>
                  <w:sz w:val="13"/>
                  <w:szCs w:val="13"/>
                  <w:color w:val="0000EE"/>
                </w:rPr>
                <w:t>Valuation and Qualifying Accounts</w:t>
              </w:r>
            </w:hyperlink>
          </w:p>
        </w:tc>
        <w:tc>
          <w:tcPr>
            <w:tcW w:w="440" w:type="dxa"/>
            <w:vAlign w:val="bottom"/>
          </w:tcPr>
          <w:p>
            <w:pPr>
              <w:jc w:val="right"/>
              <w:ind w:right="14"/>
              <w:spacing w:after="0" w:line="142" w:lineRule="exact"/>
              <w:rPr>
                <w:sz w:val="20"/>
                <w:szCs w:val="20"/>
                <w:color w:val="auto"/>
              </w:rPr>
            </w:pPr>
            <w:r>
              <w:rPr>
                <w:rFonts w:ascii="Arial" w:cs="Arial" w:eastAsia="Arial" w:hAnsi="Arial"/>
                <w:sz w:val="13"/>
                <w:szCs w:val="13"/>
                <w:color w:val="auto"/>
              </w:rPr>
              <w:t>F-40</w:t>
            </w:r>
          </w:p>
        </w:tc>
        <w:tc>
          <w:tcPr>
            <w:tcW w:w="800" w:type="dxa"/>
            <w:vAlign w:val="bottom"/>
          </w:tcPr>
          <w:p>
            <w:pPr>
              <w:spacing w:after="0"/>
              <w:rPr>
                <w:sz w:val="12"/>
                <w:szCs w:val="12"/>
                <w:color w:val="auto"/>
              </w:rPr>
            </w:pPr>
          </w:p>
        </w:tc>
      </w:tr>
      <w:tr>
        <w:trPr>
          <w:trHeight w:val="473"/>
        </w:trPr>
        <w:tc>
          <w:tcPr>
            <w:tcW w:w="82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4"/>
          </w:tcPr>
          <w:p>
            <w:pPr>
              <w:ind w:left="1100"/>
              <w:spacing w:after="0"/>
              <w:rPr>
                <w:sz w:val="20"/>
                <w:szCs w:val="20"/>
                <w:color w:val="auto"/>
              </w:rPr>
            </w:pPr>
            <w:r>
              <w:rPr>
                <w:rFonts w:ascii="Arial" w:cs="Arial" w:eastAsia="Arial" w:hAnsi="Arial"/>
                <w:sz w:val="13"/>
                <w:szCs w:val="13"/>
                <w:color w:val="auto"/>
              </w:rPr>
              <w:t>F-1</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8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ind w:left="1300" w:hanging="208"/>
        <w:spacing w:after="0"/>
        <w:tabs>
          <w:tab w:leader="none" w:pos="1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2" w:lineRule="exact"/>
        <w:rPr>
          <w:rFonts w:ascii="Arial" w:cs="Arial" w:eastAsia="Arial" w:hAnsi="Arial"/>
          <w:sz w:val="13"/>
          <w:szCs w:val="13"/>
          <w:color w:val="auto"/>
        </w:rPr>
      </w:pPr>
    </w:p>
    <w:p>
      <w:pPr>
        <w:jc w:val="both"/>
        <w:ind w:left="1300" w:right="220" w:hanging="208"/>
        <w:spacing w:after="0" w:line="338" w:lineRule="auto"/>
        <w:tabs>
          <w:tab w:leader="none" w:pos="13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 w:lineRule="exact"/>
        <w:rPr>
          <w:rFonts w:ascii="Arial" w:cs="Arial" w:eastAsia="Arial" w:hAnsi="Arial"/>
          <w:sz w:val="12"/>
          <w:szCs w:val="12"/>
          <w:color w:val="auto"/>
        </w:rPr>
      </w:pPr>
    </w:p>
    <w:p>
      <w:pPr>
        <w:ind w:left="1300" w:right="200" w:hanging="208"/>
        <w:spacing w:after="0" w:line="294" w:lineRule="auto"/>
        <w:tabs>
          <w:tab w:leader="none" w:pos="1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jc w:val="both"/>
        <w:ind w:left="680" w:right="180" w:firstLine="399"/>
        <w:spacing w:after="0" w:line="338" w:lineRule="auto"/>
        <w:rPr>
          <w:sz w:val="20"/>
          <w:szCs w:val="20"/>
          <w:color w:val="auto"/>
        </w:rPr>
      </w:pPr>
      <w:r>
        <w:rPr>
          <w:rFonts w:ascii="Arial" w:cs="Arial" w:eastAsia="Arial" w:hAnsi="Arial"/>
          <w:sz w:val="12"/>
          <w:szCs w:val="12"/>
          <w:color w:val="auto"/>
        </w:rPr>
        <w:t>The Company’s management assessed the effectiveness of the Company’s internal control over financial reporting as of September 30, 2008. In making this assessment, the Company’s management used the criteria set forth by the Committee of Sponsoring Organizations of the Treadway Commission (COSO) in Internal Control-Integrated Framework.</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its assessment, management concluded that, as of September 30, 2008, the Company’s internal control over financial reporting is effective based on those criteria.</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and internal control over financial reporting have been audited by Ernst &amp; Young LLP, an independent registered public accounting firm.</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Amdocs Limited as of September 30, 2008 and 2007, and the related consolidated statements of income, changes in shareholders’ equity, and cash flows for each of the three years in the period ended September 30, 2008. Our audits also included the financial statement schedule listed in the Index at Item 18 of Part III. These financial statements and the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Amdocs Limited at September 30, 2008 and 2007, and the consolidated results of its operations and its cash flows for each of the three years in the period ended September 30,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jc w:val="both"/>
        <w:ind w:left="680" w:right="240" w:firstLine="399"/>
        <w:spacing w:after="0" w:line="276" w:lineRule="auto"/>
        <w:rPr>
          <w:sz w:val="20"/>
          <w:szCs w:val="20"/>
          <w:color w:val="auto"/>
        </w:rPr>
      </w:pPr>
      <w:r>
        <w:rPr>
          <w:rFonts w:ascii="Arial" w:cs="Arial" w:eastAsia="Arial" w:hAnsi="Arial"/>
          <w:sz w:val="13"/>
          <w:szCs w:val="13"/>
          <w:color w:val="auto"/>
        </w:rPr>
        <w:t>As discussed in the Notes to the consolidated financial statements, the Company adopted FASB Interpretation No. 48, Accounting For Uncertainty in Income Taxes, effective October 1, 2007 and the Company changed its method of accounting for equity-based compensation to adopt Statement of Financial Accounting Standards No. 123(R), Share-Based Payment, effective October 1, 2005.</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Amdocs Limited’s internal control over financial reporting as of September 30, 2008, based on criteria established in Internal Control-Integrated Framework issued by the Committee of Sponsoring Organizations of the Treadway Commission and our report dated December 8, 2008 expressed an unqualified opinion thereon.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8, 2008</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We have audited Amdocs Limited’s internal control over financial reporting as of September 30, 2008, based on criteria established in Internal 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Amdocs Limited maintained, in all material respects, effective internal control over financial reporting as of September 30, 2008, based on the COSO criteria.</w:t>
      </w:r>
    </w:p>
    <w:p>
      <w:pPr>
        <w:spacing w:after="0" w:line="11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Amdocs Limited as of September 30, 2008 and 2007, and the related consolidated statements of income, changes in shareholders’ equity, and cash flows for each of the three years in the period ended September 30, 2008 of Amdocs Limited and our report dated December 8, 2008 expressed an unqualified opinion thereon.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8, 2008</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33"/>
              <w:spacing w:after="0" w:line="101" w:lineRule="exact"/>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8"/>
                <w:szCs w:val="8"/>
                <w:color w:val="auto"/>
              </w:rPr>
            </w:pPr>
          </w:p>
        </w:tc>
      </w:tr>
      <w:tr>
        <w:trPr>
          <w:trHeight w:val="30"/>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718,850</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615,501</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Short-term interest-bearing investments</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525,528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563,779</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573,764</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473,847</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Deferred income taxes and taxes receivable</w:t>
            </w:r>
          </w:p>
        </w:tc>
        <w:tc>
          <w:tcPr>
            <w:tcW w:w="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3"/>
                <w:szCs w:val="13"/>
                <w:color w:val="auto"/>
              </w:rPr>
              <w:t>84,515</w:t>
            </w: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117,623</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102,930</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98,746</w:t>
            </w:r>
          </w:p>
        </w:tc>
      </w:tr>
      <w:tr>
        <w:trPr>
          <w:trHeight w:val="161"/>
        </w:trPr>
        <w:tc>
          <w:tcPr>
            <w:tcW w:w="7900" w:type="dxa"/>
            <w:vAlign w:val="bottom"/>
          </w:tcPr>
          <w:p>
            <w:pPr>
              <w:ind w:left="540"/>
              <w:spacing w:after="0"/>
              <w:rPr>
                <w:sz w:val="20"/>
                <w:szCs w:val="20"/>
                <w:color w:val="auto"/>
              </w:rPr>
            </w:pPr>
            <w:r>
              <w:rPr>
                <w:rFonts w:ascii="Arial" w:cs="Arial" w:eastAsia="Arial" w:hAnsi="Arial"/>
                <w:sz w:val="13"/>
                <w:szCs w:val="13"/>
                <w:b w:val="1"/>
                <w:bCs w:val="1"/>
                <w:color w:val="auto"/>
              </w:rPr>
              <w:t>Total current assets</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2,005,587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1,869,496</w:t>
            </w: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Equipment, vehicles and leasehold improvements, net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317,081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283,839</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187,173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192,761</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1,526,371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1,489,132</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270,551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303,456</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272,300</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206,666</w:t>
            </w:r>
          </w:p>
        </w:tc>
      </w:tr>
      <w:tr>
        <w:trPr>
          <w:trHeight w:val="161"/>
        </w:trPr>
        <w:tc>
          <w:tcPr>
            <w:tcW w:w="7900" w:type="dxa"/>
            <w:vAlign w:val="bottom"/>
          </w:tcPr>
          <w:p>
            <w:pPr>
              <w:ind w:left="54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4,579,063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4,345,350</w:t>
            </w:r>
          </w:p>
        </w:tc>
        <w:tc>
          <w:tcPr>
            <w:tcW w:w="8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1"/>
        </w:trPr>
        <w:tc>
          <w:tcPr>
            <w:tcW w:w="7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157,357</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192,395</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224,699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222,616</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personnel costs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218,229</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177,926</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Short-term portion of financing arrangements and capital lease obligations</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1,660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2,055</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197,851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174,526</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Deferred income taxes and taxes payable</w:t>
            </w:r>
          </w:p>
        </w:tc>
        <w:tc>
          <w:tcPr>
            <w:tcW w:w="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3"/>
                <w:szCs w:val="13"/>
                <w:color w:val="auto"/>
              </w:rPr>
              <w:t>30,228</w:t>
            </w: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205,960</w:t>
            </w:r>
          </w:p>
        </w:tc>
      </w:tr>
      <w:tr>
        <w:trPr>
          <w:trHeight w:val="161"/>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current liabilities</w:t>
            </w: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830,024</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975,478</w:t>
            </w:r>
          </w:p>
        </w:tc>
        <w:tc>
          <w:tcPr>
            <w:tcW w:w="80" w:type="dxa"/>
            <w:vAlign w:val="bottom"/>
            <w:shd w:val="clear" w:color="auto" w:fill="CCEEFF"/>
          </w:tcPr>
          <w:p>
            <w:pPr>
              <w:spacing w:after="0"/>
              <w:rPr>
                <w:sz w:val="14"/>
                <w:szCs w:val="14"/>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Convertible notes</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450,000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450,000</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 and taxes payable</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266,548</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122,983</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Noncurrent liabilities and other</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227,300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196,646</w:t>
            </w: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1,773,872</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1,745,107</w:t>
            </w:r>
          </w:p>
        </w:tc>
      </w:tr>
      <w:tr>
        <w:trPr>
          <w:trHeight w:val="161"/>
        </w:trPr>
        <w:tc>
          <w:tcPr>
            <w:tcW w:w="7900" w:type="dxa"/>
            <w:vAlign w:val="bottom"/>
          </w:tcPr>
          <w:p>
            <w:pPr>
              <w:spacing w:after="0"/>
              <w:rPr>
                <w:sz w:val="20"/>
                <w:szCs w:val="20"/>
                <w:color w:val="auto"/>
              </w:rPr>
            </w:pPr>
            <w:r>
              <w:rPr>
                <w:rFonts w:ascii="Arial" w:cs="Arial" w:eastAsia="Arial" w:hAnsi="Arial"/>
                <w:sz w:val="13"/>
                <w:szCs w:val="13"/>
                <w:b w:val="1"/>
                <w:bCs w:val="1"/>
                <w:color w:val="auto"/>
              </w:rPr>
              <w:t>Shareholders’ equity:</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Shares — Authorized 25,000 shares; £0.01 par value; 0 shares issued and outstanding</w:t>
            </w:r>
          </w:p>
        </w:tc>
        <w:tc>
          <w:tcPr>
            <w:tcW w:w="1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50"/>
        </w:trPr>
        <w:tc>
          <w:tcPr>
            <w:tcW w:w="7900" w:type="dxa"/>
            <w:vAlign w:val="bottom"/>
          </w:tcPr>
          <w:p>
            <w:pPr>
              <w:ind w:left="140"/>
              <w:spacing w:after="0"/>
              <w:rPr>
                <w:sz w:val="20"/>
                <w:szCs w:val="20"/>
                <w:color w:val="auto"/>
              </w:rPr>
            </w:pPr>
            <w:r>
              <w:rPr>
                <w:rFonts w:ascii="Arial" w:cs="Arial" w:eastAsia="Arial" w:hAnsi="Arial"/>
                <w:sz w:val="13"/>
                <w:szCs w:val="13"/>
                <w:color w:val="auto"/>
                <w:w w:val="95"/>
              </w:rPr>
              <w:t>Ordinary Shares — Authorized 550,000 shares; £0.01 par value 240,836 and 238,312 issued and 203,916 and 209,762 outstanding, in 2008</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7900" w:type="dxa"/>
            <w:vAlign w:val="bottom"/>
          </w:tcPr>
          <w:p>
            <w:pPr>
              <w:ind w:left="280"/>
              <w:spacing w:after="0"/>
              <w:rPr>
                <w:sz w:val="20"/>
                <w:szCs w:val="20"/>
                <w:color w:val="auto"/>
              </w:rPr>
            </w:pPr>
            <w:r>
              <w:rPr>
                <w:rFonts w:ascii="Arial" w:cs="Arial" w:eastAsia="Arial" w:hAnsi="Arial"/>
                <w:sz w:val="13"/>
                <w:szCs w:val="13"/>
                <w:color w:val="auto"/>
              </w:rPr>
              <w:t>and 2007, respectively</w:t>
            </w: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3,900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3,850</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2,264,800</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2,168,234</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Treasury stock, at cost — 36,920 and 28,550 Ordinary Shares in 2008 and 2007</w:t>
            </w:r>
          </w:p>
        </w:tc>
        <w:tc>
          <w:tcPr>
            <w:tcW w:w="16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3"/>
                <w:szCs w:val="13"/>
                <w:color w:val="auto"/>
              </w:rPr>
              <w:t>(907,280)</w:t>
            </w:r>
          </w:p>
        </w:tc>
        <w:tc>
          <w:tcPr>
            <w:tcW w:w="2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(652,229)</w:t>
            </w:r>
          </w:p>
        </w:tc>
      </w:tr>
      <w:tr>
        <w:trPr>
          <w:trHeight w:val="161"/>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 income</w:t>
            </w:r>
          </w:p>
        </w:tc>
        <w:tc>
          <w:tcPr>
            <w:tcW w:w="1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(14,834)</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689</w:t>
            </w: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1,458,605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1,079,699</w:t>
            </w:r>
          </w:p>
        </w:tc>
        <w:tc>
          <w:tcPr>
            <w:tcW w:w="80" w:type="dxa"/>
            <w:vAlign w:val="bottom"/>
          </w:tcPr>
          <w:p>
            <w:pPr>
              <w:spacing w:after="0"/>
              <w:rPr>
                <w:sz w:val="14"/>
                <w:szCs w:val="14"/>
                <w:color w:val="auto"/>
              </w:rPr>
            </w:pPr>
          </w:p>
        </w:tc>
      </w:tr>
      <w:tr>
        <w:trPr>
          <w:trHeight w:val="161"/>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shareholders’ equity</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2,805,191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2,600,243</w:t>
            </w:r>
          </w:p>
        </w:tc>
      </w:tr>
      <w:tr>
        <w:trPr>
          <w:trHeight w:val="161"/>
        </w:trPr>
        <w:tc>
          <w:tcPr>
            <w:tcW w:w="7900" w:type="dxa"/>
            <w:vAlign w:val="bottom"/>
          </w:tcPr>
          <w:p>
            <w:pPr>
              <w:ind w:left="540"/>
              <w:spacing w:after="0"/>
              <w:rPr>
                <w:sz w:val="20"/>
                <w:szCs w:val="20"/>
                <w:color w:val="auto"/>
              </w:rPr>
            </w:pPr>
            <w:r>
              <w:rPr>
                <w:rFonts w:ascii="Arial" w:cs="Arial" w:eastAsia="Arial" w:hAnsi="Arial"/>
                <w:sz w:val="13"/>
                <w:szCs w:val="13"/>
                <w:b w:val="1"/>
                <w:bCs w:val="1"/>
                <w:color w:val="auto"/>
              </w:rPr>
              <w:t>Total liabilities and shareholders’ equity</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4,579,063</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4,345,350</w:t>
            </w:r>
          </w:p>
        </w:tc>
        <w:tc>
          <w:tcPr>
            <w:tcW w:w="8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CONSOLIDATED STATEMENTS OF INCOME</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License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135,487</w:t>
            </w:r>
          </w:p>
        </w:tc>
        <w:tc>
          <w:tcPr>
            <w:tcW w:w="4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159,357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116,285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3,026,609</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2,676,816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2,363,765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2,836,173</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2,480,050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2,729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3,914</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4,003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2,023,562</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1,792,468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1,579,823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225,492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230,444</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186,760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404,134</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370,194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313,997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86,687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74,959</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37,610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 acquisition-related costs</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13,896</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6,761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2,756,500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2,478,740</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2,147,918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405,596</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357,433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332,132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Interest income and other, net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11,955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50,566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41,741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417,551</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407,999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373,873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Income taxes</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38,645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43,062</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55,237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378,906</w:t>
            </w:r>
          </w:p>
        </w:tc>
        <w:tc>
          <w:tcPr>
            <w:tcW w:w="4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364,937</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318,636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3"/>
                <w:szCs w:val="13"/>
                <w:b w:val="1"/>
                <w:bCs w:val="1"/>
                <w:color w:val="auto"/>
              </w:rPr>
              <w:t>Basic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w:t>
            </w:r>
          </w:p>
        </w:tc>
        <w:tc>
          <w:tcPr>
            <w:tcW w:w="38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earnings per share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1.74</w:t>
            </w:r>
          </w:p>
        </w:tc>
        <w:tc>
          <w:tcPr>
            <w:tcW w:w="480" w:type="dxa"/>
            <w:vAlign w:val="bottom"/>
            <w:gridSpan w:val="2"/>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1.65</w:t>
            </w: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1.48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3"/>
                <w:szCs w:val="13"/>
                <w:b w:val="1"/>
                <w:bCs w:val="1"/>
                <w:color w:val="auto"/>
              </w:rPr>
              <w:t>Basic weighted average number of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206,590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207,846</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203,194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weighted average number of shares outstanding</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219,606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223,256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218,534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 w:type="dxa"/>
            <w:vAlign w:val="bottom"/>
          </w:tcPr>
          <w:p>
            <w:pPr>
              <w:spacing w:after="0"/>
              <w:rPr>
                <w:sz w:val="16"/>
                <w:szCs w:val="16"/>
                <w:color w:val="auto"/>
              </w:rPr>
            </w:pPr>
          </w:p>
        </w:tc>
        <w:tc>
          <w:tcPr>
            <w:tcW w:w="7600" w:type="dxa"/>
            <w:vAlign w:val="bottom"/>
            <w:gridSpan w:val="4"/>
          </w:tcPr>
          <w:p>
            <w:pPr>
              <w:ind w:left="2660"/>
              <w:spacing w:after="0"/>
              <w:rPr>
                <w:sz w:val="20"/>
                <w:szCs w:val="20"/>
                <w:color w:val="auto"/>
              </w:rPr>
            </w:pPr>
            <w:r>
              <w:rPr>
                <w:rFonts w:ascii="Arial" w:cs="Arial" w:eastAsia="Arial" w:hAnsi="Arial"/>
                <w:sz w:val="13"/>
                <w:szCs w:val="13"/>
                <w:color w:val="auto"/>
                <w:w w:val="97"/>
              </w:rPr>
              <w:t>The accompanying notes are an integral part of these consolidated financial statements.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6700" w:type="dxa"/>
            <w:vAlign w:val="bottom"/>
          </w:tcPr>
          <w:p>
            <w:pPr>
              <w:ind w:left="4900"/>
              <w:spacing w:after="0"/>
              <w:rPr>
                <w:sz w:val="20"/>
                <w:szCs w:val="20"/>
                <w:color w:val="auto"/>
              </w:rPr>
            </w:pPr>
            <w:r>
              <w:rPr>
                <w:rFonts w:ascii="Arial" w:cs="Arial" w:eastAsia="Arial" w:hAnsi="Arial"/>
                <w:sz w:val="13"/>
                <w:szCs w:val="13"/>
                <w:color w:val="auto"/>
              </w:rPr>
              <w:t>F-6</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5"/>
              </w:rPr>
              <w:t>Accumulated</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900" w:type="dxa"/>
            <w:vAlign w:val="bottom"/>
          </w:tcPr>
          <w:p>
            <w:pPr>
              <w:spacing w:after="0"/>
              <w:rPr>
                <w:sz w:val="9"/>
                <w:szCs w:val="9"/>
                <w:color w:val="auto"/>
              </w:rPr>
            </w:pPr>
          </w:p>
        </w:tc>
        <w:tc>
          <w:tcPr>
            <w:tcW w:w="1180" w:type="dxa"/>
            <w:vAlign w:val="bottom"/>
            <w:gridSpan w:val="5"/>
            <w:vMerge w:val="restart"/>
          </w:tcPr>
          <w:p>
            <w:pPr>
              <w:jc w:val="right"/>
              <w:ind w:right="340"/>
              <w:spacing w:after="0"/>
              <w:rPr>
                <w:sz w:val="20"/>
                <w:szCs w:val="20"/>
                <w:color w:val="auto"/>
              </w:rPr>
            </w:pPr>
            <w:r>
              <w:rPr>
                <w:rFonts w:ascii="Arial" w:cs="Arial" w:eastAsia="Arial" w:hAnsi="Arial"/>
                <w:sz w:val="9"/>
                <w:szCs w:val="9"/>
                <w:b w:val="1"/>
                <w:bCs w:val="1"/>
                <w:color w:val="auto"/>
              </w:rPr>
              <w:t>Ordinary Shares</w:t>
            </w:r>
          </w:p>
        </w:tc>
        <w:tc>
          <w:tcPr>
            <w:tcW w:w="70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Comprehensive</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62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Treasury</w:t>
            </w:r>
          </w:p>
        </w:tc>
        <w:tc>
          <w:tcPr>
            <w:tcW w:w="80" w:type="dxa"/>
            <w:vAlign w:val="bottom"/>
          </w:tcPr>
          <w:p>
            <w:pPr>
              <w:spacing w:after="0"/>
              <w:rPr>
                <w:sz w:val="9"/>
                <w:szCs w:val="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5"/>
              </w:rPr>
              <w:t>Income</w:t>
            </w:r>
          </w:p>
        </w:tc>
        <w:tc>
          <w:tcPr>
            <w:tcW w:w="6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Unearned</w:t>
            </w:r>
          </w:p>
        </w:tc>
        <w:tc>
          <w:tcPr>
            <w:tcW w:w="60" w:type="dxa"/>
            <w:vAlign w:val="bottom"/>
          </w:tcPr>
          <w:p>
            <w:pPr>
              <w:spacing w:after="0"/>
              <w:rPr>
                <w:sz w:val="9"/>
                <w:szCs w:val="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9"/>
              </w:rPr>
              <w:t>Retained</w:t>
            </w:r>
          </w:p>
        </w:tc>
        <w:tc>
          <w:tcPr>
            <w:tcW w:w="80" w:type="dxa"/>
            <w:vAlign w:val="bottom"/>
          </w:tcPr>
          <w:p>
            <w:pPr>
              <w:spacing w:after="0"/>
              <w:rPr>
                <w:sz w:val="9"/>
                <w:szCs w:val="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91"/>
        </w:trPr>
        <w:tc>
          <w:tcPr>
            <w:tcW w:w="3900" w:type="dxa"/>
            <w:vAlign w:val="bottom"/>
          </w:tcPr>
          <w:p>
            <w:pPr>
              <w:spacing w:after="0"/>
              <w:rPr>
                <w:sz w:val="7"/>
                <w:szCs w:val="7"/>
                <w:color w:val="auto"/>
              </w:rPr>
            </w:pPr>
          </w:p>
        </w:tc>
        <w:tc>
          <w:tcPr>
            <w:tcW w:w="580" w:type="dxa"/>
            <w:vAlign w:val="bottom"/>
            <w:tcBorders>
              <w:top w:val="single" w:sz="8" w:color="auto"/>
            </w:tcBorders>
            <w:gridSpan w:val="2"/>
          </w:tcPr>
          <w:p>
            <w:pPr>
              <w:jc w:val="right"/>
              <w:ind w:right="260"/>
              <w:spacing w:after="0" w:line="91" w:lineRule="exact"/>
              <w:rPr>
                <w:sz w:val="20"/>
                <w:szCs w:val="20"/>
                <w:color w:val="auto"/>
              </w:rPr>
            </w:pPr>
            <w:r>
              <w:rPr>
                <w:rFonts w:ascii="Arial" w:cs="Arial" w:eastAsia="Arial" w:hAnsi="Arial"/>
                <w:sz w:val="9"/>
                <w:szCs w:val="9"/>
                <w:b w:val="1"/>
                <w:bCs w:val="1"/>
                <w:color w:val="auto"/>
                <w:w w:val="99"/>
              </w:rPr>
              <w:t>Shares</w:t>
            </w:r>
          </w:p>
        </w:tc>
        <w:tc>
          <w:tcPr>
            <w:tcW w:w="400" w:type="dxa"/>
            <w:vAlign w:val="bottom"/>
            <w:tcBorders>
              <w:top w:val="single" w:sz="8" w:color="auto"/>
            </w:tcBorders>
            <w:gridSpan w:val="2"/>
          </w:tcPr>
          <w:p>
            <w:pPr>
              <w:jc w:val="right"/>
              <w:spacing w:after="0" w:line="91"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300"/>
              <w:spacing w:after="0" w:line="91" w:lineRule="exact"/>
              <w:rPr>
                <w:sz w:val="20"/>
                <w:szCs w:val="20"/>
                <w:color w:val="auto"/>
              </w:rPr>
            </w:pPr>
            <w:r>
              <w:rPr>
                <w:rFonts w:ascii="Arial" w:cs="Arial" w:eastAsia="Arial" w:hAnsi="Arial"/>
                <w:sz w:val="9"/>
                <w:szCs w:val="9"/>
                <w:b w:val="1"/>
                <w:bCs w:val="1"/>
                <w:color w:val="auto"/>
                <w:w w:val="99"/>
              </w:rPr>
              <w:t>Capital</w:t>
            </w:r>
          </w:p>
        </w:tc>
        <w:tc>
          <w:tcPr>
            <w:tcW w:w="80" w:type="dxa"/>
            <w:vAlign w:val="bottom"/>
          </w:tcPr>
          <w:p>
            <w:pPr>
              <w:spacing w:after="0"/>
              <w:rPr>
                <w:sz w:val="7"/>
                <w:szCs w:val="7"/>
                <w:color w:val="auto"/>
              </w:rPr>
            </w:pPr>
          </w:p>
        </w:tc>
        <w:tc>
          <w:tcPr>
            <w:tcW w:w="540" w:type="dxa"/>
            <w:vAlign w:val="bottom"/>
            <w:gridSpan w:val="2"/>
          </w:tcPr>
          <w:p>
            <w:pPr>
              <w:jc w:val="right"/>
              <w:ind w:right="300"/>
              <w:spacing w:after="0" w:line="9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7"/>
                <w:szCs w:val="7"/>
                <w:color w:val="auto"/>
              </w:rPr>
            </w:pPr>
          </w:p>
        </w:tc>
        <w:tc>
          <w:tcPr>
            <w:tcW w:w="1000" w:type="dxa"/>
            <w:vAlign w:val="bottom"/>
            <w:gridSpan w:val="2"/>
          </w:tcPr>
          <w:p>
            <w:pPr>
              <w:jc w:val="center"/>
              <w:ind w:right="280"/>
              <w:spacing w:after="0" w:line="91" w:lineRule="exact"/>
              <w:rPr>
                <w:sz w:val="20"/>
                <w:szCs w:val="20"/>
                <w:color w:val="auto"/>
              </w:rPr>
            </w:pPr>
            <w:r>
              <w:rPr>
                <w:rFonts w:ascii="Arial" w:cs="Arial" w:eastAsia="Arial" w:hAnsi="Arial"/>
                <w:sz w:val="9"/>
                <w:szCs w:val="9"/>
                <w:b w:val="1"/>
                <w:bCs w:val="1"/>
                <w:color w:val="auto"/>
                <w:w w:val="88"/>
              </w:rPr>
              <w:t>(Loss)</w:t>
            </w:r>
          </w:p>
        </w:tc>
        <w:tc>
          <w:tcPr>
            <w:tcW w:w="60" w:type="dxa"/>
            <w:vAlign w:val="bottom"/>
          </w:tcPr>
          <w:p>
            <w:pPr>
              <w:spacing w:after="0"/>
              <w:rPr>
                <w:sz w:val="7"/>
                <w:szCs w:val="7"/>
                <w:color w:val="auto"/>
              </w:rPr>
            </w:pPr>
          </w:p>
        </w:tc>
        <w:tc>
          <w:tcPr>
            <w:tcW w:w="900" w:type="dxa"/>
            <w:vAlign w:val="bottom"/>
            <w:gridSpan w:val="2"/>
          </w:tcPr>
          <w:p>
            <w:pPr>
              <w:jc w:val="right"/>
              <w:ind w:right="280"/>
              <w:spacing w:after="0" w:line="91" w:lineRule="exact"/>
              <w:rPr>
                <w:sz w:val="20"/>
                <w:szCs w:val="20"/>
                <w:color w:val="auto"/>
              </w:rPr>
            </w:pPr>
            <w:r>
              <w:rPr>
                <w:rFonts w:ascii="Arial" w:cs="Arial" w:eastAsia="Arial" w:hAnsi="Arial"/>
                <w:sz w:val="9"/>
                <w:szCs w:val="9"/>
                <w:b w:val="1"/>
                <w:bCs w:val="1"/>
                <w:color w:val="auto"/>
                <w:w w:val="95"/>
              </w:rPr>
              <w:t>Compensation</w:t>
            </w:r>
          </w:p>
        </w:tc>
        <w:tc>
          <w:tcPr>
            <w:tcW w:w="60" w:type="dxa"/>
            <w:vAlign w:val="bottom"/>
          </w:tcPr>
          <w:p>
            <w:pPr>
              <w:spacing w:after="0"/>
              <w:rPr>
                <w:sz w:val="7"/>
                <w:szCs w:val="7"/>
                <w:color w:val="auto"/>
              </w:rPr>
            </w:pPr>
          </w:p>
        </w:tc>
        <w:tc>
          <w:tcPr>
            <w:tcW w:w="600" w:type="dxa"/>
            <w:vAlign w:val="bottom"/>
            <w:gridSpan w:val="2"/>
          </w:tcPr>
          <w:p>
            <w:pPr>
              <w:jc w:val="right"/>
              <w:ind w:right="240"/>
              <w:spacing w:after="0" w:line="91" w:lineRule="exact"/>
              <w:rPr>
                <w:sz w:val="20"/>
                <w:szCs w:val="20"/>
                <w:color w:val="auto"/>
              </w:rPr>
            </w:pPr>
            <w:r>
              <w:rPr>
                <w:rFonts w:ascii="Arial" w:cs="Arial" w:eastAsia="Arial" w:hAnsi="Arial"/>
                <w:sz w:val="9"/>
                <w:szCs w:val="9"/>
                <w:b w:val="1"/>
                <w:bCs w:val="1"/>
                <w:color w:val="auto"/>
                <w:w w:val="88"/>
              </w:rPr>
              <w:t>Earnings</w:t>
            </w:r>
          </w:p>
        </w:tc>
        <w:tc>
          <w:tcPr>
            <w:tcW w:w="80" w:type="dxa"/>
            <w:vAlign w:val="bottom"/>
          </w:tcPr>
          <w:p>
            <w:pPr>
              <w:spacing w:after="0"/>
              <w:rPr>
                <w:sz w:val="7"/>
                <w:szCs w:val="7"/>
                <w:color w:val="auto"/>
              </w:rPr>
            </w:pPr>
          </w:p>
        </w:tc>
        <w:tc>
          <w:tcPr>
            <w:tcW w:w="800" w:type="dxa"/>
            <w:vAlign w:val="bottom"/>
            <w:gridSpan w:val="2"/>
          </w:tcPr>
          <w:p>
            <w:pPr>
              <w:jc w:val="center"/>
              <w:ind w:right="160"/>
              <w:spacing w:after="0" w:line="91"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as of October 1, 2005</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200,182</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jc w:val="right"/>
              <w:ind w:right="68"/>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3,644</w:t>
            </w:r>
          </w:p>
        </w:tc>
        <w:tc>
          <w:tcPr>
            <w:tcW w:w="80" w:type="dxa"/>
            <w:vAlign w:val="bottom"/>
            <w:shd w:val="clear" w:color="auto" w:fill="CCEEFF"/>
          </w:tcPr>
          <w:p>
            <w:pPr>
              <w:jc w:val="right"/>
              <w:ind w:right="8"/>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1,870,922</w:t>
            </w:r>
          </w:p>
        </w:tc>
        <w:tc>
          <w:tcPr>
            <w:tcW w:w="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w w:val="88"/>
              </w:rPr>
              <w:t>$</w:t>
            </w:r>
          </w:p>
        </w:tc>
        <w:tc>
          <w:tcPr>
            <w:tcW w:w="5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w w:val="99"/>
              </w:rPr>
              <w:t>(602,392)</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(10,886)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(962)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396,126</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1,656,452</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318,636</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318,636</w:t>
            </w: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Unrealized gain on foreign currency hedging contracts, net of $1,847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11,938</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11,938</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gain on short-term interest-bearing investments, net of $485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1,671</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1,671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332,245</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5,869</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106</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106,853</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106,959</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Tax benefit of stock options exercised</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7,619</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7,619</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Issuance of restricted stock, net of cancellations</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742</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13</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Issuance of restricted stock and stock options related to acquisitions, net</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4,634</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4,634</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46,178</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46,178</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Reclassification of unearned compensation to additional paid-in capital</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(962)</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962</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non employee stock options</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65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65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8"/>
                <w:szCs w:val="8"/>
                <w:b w:val="1"/>
                <w:bCs w:val="1"/>
                <w:color w:val="auto"/>
              </w:rPr>
              <w:t>Balance as of September 30, 2006</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900" w:type="dxa"/>
            <w:vAlign w:val="bottom"/>
            <w:vMerge w:val="continue"/>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206,793</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3,763</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2,035,309</w:t>
            </w:r>
          </w:p>
        </w:tc>
        <w:tc>
          <w:tcPr>
            <w:tcW w:w="80" w:type="dxa"/>
            <w:vAlign w:val="bottom"/>
          </w:tcPr>
          <w:p>
            <w:pPr>
              <w:spacing w:after="0"/>
              <w:rPr>
                <w:sz w:val="7"/>
                <w:szCs w:val="7"/>
                <w:color w:val="auto"/>
              </w:rPr>
            </w:pPr>
          </w:p>
        </w:tc>
        <w:tc>
          <w:tcPr>
            <w:tcW w:w="5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w w:val="99"/>
              </w:rPr>
              <w:t>(602,392)</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2,723</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714,762</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2,154,165</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364,937</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364,937</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loss on foreign currency hedging contracts, net of $(1,363)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(3,420)</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(3,420)</w:t>
            </w: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Unrealized gain on short-term interest-bearing investments, net of $30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659</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8"/>
                <w:szCs w:val="8"/>
                <w:color w:val="auto"/>
              </w:rPr>
              <w:t>659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362,176</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Adjustment to accumulated other comprehensive income upon adoption of statement 158 net of $(378)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727</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727</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3,970</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79</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74,576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74,655</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Repurchase of shares</w:t>
            </w:r>
          </w:p>
        </w:tc>
        <w:tc>
          <w:tcPr>
            <w:tcW w:w="5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(1,411)</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(49,837)</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(49,837)</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Tax benefit of stock options exercised</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3,965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3,965</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Issuance of restricted stock, net of cancellations</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410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8</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Issuance of stock options related to acquisitions, net</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768</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768</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53,587</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53,587</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non- employee stock options</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29</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8"/>
                <w:szCs w:val="8"/>
                <w:b w:val="1"/>
                <w:bCs w:val="1"/>
                <w:color w:val="auto"/>
              </w:rPr>
              <w:t>Balance as of September 30, 2007</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900" w:type="dxa"/>
            <w:vAlign w:val="bottom"/>
            <w:vMerge w:val="continue"/>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209,762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3,850</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2,168,234</w:t>
            </w:r>
          </w:p>
        </w:tc>
        <w:tc>
          <w:tcPr>
            <w:tcW w:w="80" w:type="dxa"/>
            <w:vAlign w:val="bottom"/>
          </w:tcPr>
          <w:p>
            <w:pPr>
              <w:spacing w:after="0"/>
              <w:rPr>
                <w:sz w:val="7"/>
                <w:szCs w:val="7"/>
                <w:color w:val="auto"/>
              </w:rPr>
            </w:pPr>
          </w:p>
        </w:tc>
        <w:tc>
          <w:tcPr>
            <w:tcW w:w="5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w w:val="99"/>
              </w:rPr>
              <w:t>(652,229)</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689</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1,079,699</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2,600,243</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378,906</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378,906</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loss on foreign currency hedging contracts, net of $3,272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(4,578)</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(4,578)</w:t>
            </w: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Unrealized loss on short-term interest-bearing investments, net of $(468)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(10,002)</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(10,002)</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loss on defined benefit plan assets, net of $(489)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(943)</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(943)</w:t>
            </w:r>
          </w:p>
        </w:tc>
        <w:tc>
          <w:tcPr>
            <w:tcW w:w="0" w:type="dxa"/>
            <w:vAlign w:val="bottom"/>
          </w:tcPr>
          <w:p>
            <w:pPr>
              <w:spacing w:after="0"/>
              <w:rPr>
                <w:sz w:val="1"/>
                <w:szCs w:val="1"/>
                <w:color w:val="auto"/>
              </w:rPr>
            </w:pPr>
          </w:p>
        </w:tc>
      </w:tr>
      <w:tr>
        <w:trPr>
          <w:trHeight w:val="91"/>
        </w:trPr>
        <w:tc>
          <w:tcPr>
            <w:tcW w:w="3900" w:type="dxa"/>
            <w:vAlign w:val="bottom"/>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spacing w:after="0" w:line="91" w:lineRule="exact"/>
              <w:rPr>
                <w:sz w:val="20"/>
                <w:szCs w:val="20"/>
                <w:color w:val="auto"/>
              </w:rPr>
            </w:pPr>
            <w:r>
              <w:rPr>
                <w:rFonts w:ascii="Arial" w:cs="Arial" w:eastAsia="Arial" w:hAnsi="Arial"/>
                <w:sz w:val="8"/>
                <w:szCs w:val="8"/>
                <w:color w:val="auto"/>
              </w:rPr>
              <w:t>363,383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2,052</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41</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37,527</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37,568</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Repurchase of shares</w:t>
            </w:r>
          </w:p>
        </w:tc>
        <w:tc>
          <w:tcPr>
            <w:tcW w:w="5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(8,370)</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w w:val="99"/>
              </w:rPr>
              <w:t>(255,051)</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(255,051)</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Tax benefit of stock options exercised</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1,549</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1,549</w:t>
            </w:r>
          </w:p>
        </w:tc>
        <w:tc>
          <w:tcPr>
            <w:tcW w:w="0" w:type="dxa"/>
            <w:vAlign w:val="bottom"/>
          </w:tcPr>
          <w:p>
            <w:pPr>
              <w:spacing w:after="0"/>
              <w:rPr>
                <w:sz w:val="1"/>
                <w:szCs w:val="1"/>
                <w:color w:val="auto"/>
              </w:rPr>
            </w:pPr>
          </w:p>
        </w:tc>
      </w:tr>
      <w:tr>
        <w:trPr>
          <w:trHeight w:val="91"/>
        </w:trPr>
        <w:tc>
          <w:tcPr>
            <w:tcW w:w="3900" w:type="dxa"/>
            <w:vAlign w:val="bottom"/>
          </w:tcPr>
          <w:p>
            <w:pPr>
              <w:spacing w:after="0" w:line="91" w:lineRule="exact"/>
              <w:rPr>
                <w:sz w:val="20"/>
                <w:szCs w:val="20"/>
                <w:color w:val="auto"/>
              </w:rPr>
            </w:pPr>
            <w:r>
              <w:rPr>
                <w:rFonts w:ascii="Arial" w:cs="Arial" w:eastAsia="Arial" w:hAnsi="Arial"/>
                <w:sz w:val="8"/>
                <w:szCs w:val="8"/>
                <w:color w:val="auto"/>
              </w:rPr>
              <w:t>Issuance of restricted stock, net of forfeitures</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472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9</w:t>
            </w: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9</w:t>
            </w:r>
          </w:p>
        </w:tc>
        <w:tc>
          <w:tcPr>
            <w:tcW w:w="0" w:type="dxa"/>
            <w:vAlign w:val="bottom"/>
          </w:tcPr>
          <w:p>
            <w:pPr>
              <w:spacing w:after="0"/>
              <w:rPr>
                <w:sz w:val="1"/>
                <w:szCs w:val="1"/>
                <w:color w:val="auto"/>
              </w:rPr>
            </w:pPr>
          </w:p>
        </w:tc>
      </w:tr>
      <w:tr>
        <w:trPr>
          <w:trHeight w:val="91"/>
        </w:trPr>
        <w:tc>
          <w:tcPr>
            <w:tcW w:w="3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57,490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57,490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8"/>
                <w:szCs w:val="8"/>
                <w:b w:val="1"/>
                <w:bCs w:val="1"/>
                <w:color w:val="auto"/>
              </w:rPr>
              <w:t>Balance as of September 30, 2008</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900" w:type="dxa"/>
            <w:vAlign w:val="bottom"/>
            <w:vMerge w:val="continue"/>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203,916</w:t>
            </w:r>
          </w:p>
        </w:tc>
        <w:tc>
          <w:tcPr>
            <w:tcW w:w="200" w:type="dxa"/>
            <w:vAlign w:val="bottom"/>
          </w:tcPr>
          <w:p>
            <w:pPr>
              <w:spacing w:after="0"/>
              <w:rPr>
                <w:sz w:val="7"/>
                <w:szCs w:val="7"/>
                <w:color w:val="auto"/>
              </w:rPr>
            </w:pPr>
          </w:p>
        </w:tc>
        <w:tc>
          <w:tcPr>
            <w:tcW w:w="140" w:type="dxa"/>
            <w:vAlign w:val="bottom"/>
          </w:tcPr>
          <w:p>
            <w:pPr>
              <w:jc w:val="right"/>
              <w:ind w:right="68"/>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3,900</w:t>
            </w:r>
          </w:p>
        </w:tc>
        <w:tc>
          <w:tcPr>
            <w:tcW w:w="80" w:type="dxa"/>
            <w:vAlign w:val="bottom"/>
          </w:tcPr>
          <w:p>
            <w:pPr>
              <w:jc w:val="right"/>
              <w:ind w:right="8"/>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2,264,800</w:t>
            </w:r>
          </w:p>
        </w:tc>
        <w:tc>
          <w:tcPr>
            <w:tcW w:w="80" w:type="dxa"/>
            <w:vAlign w:val="bottom"/>
          </w:tcPr>
          <w:p>
            <w:pPr>
              <w:jc w:val="right"/>
              <w:spacing w:after="0" w:line="91" w:lineRule="exact"/>
              <w:rPr>
                <w:sz w:val="20"/>
                <w:szCs w:val="20"/>
                <w:color w:val="auto"/>
              </w:rPr>
            </w:pPr>
            <w:r>
              <w:rPr>
                <w:rFonts w:ascii="Arial" w:cs="Arial" w:eastAsia="Arial" w:hAnsi="Arial"/>
                <w:sz w:val="8"/>
                <w:szCs w:val="8"/>
                <w:color w:val="auto"/>
                <w:w w:val="88"/>
              </w:rPr>
              <w:t>$</w:t>
            </w:r>
          </w:p>
        </w:tc>
        <w:tc>
          <w:tcPr>
            <w:tcW w:w="5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w w:val="99"/>
              </w:rPr>
              <w:t>(907,280)</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(14,834)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1,458,605</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2,805,191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September 30, 2008, 2007 and 2006, accumulated other comprehensive income (loss) is comprised of unrealized (loss) gain on derivatives, net of tax, of $(5,157), $(579) and $2,841, unrealized (loss) income on cash equivalents and short-term interest-bearing investments, net of tax, of $(9,461), $541 and $(118) and unrealized (loss) gain on defined benefit plan assets, net of tax of $(216), $727 and $0.</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3"/>
              </w:rPr>
              <w:t>Year ended September 30,</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3"/>
              <w:spacing w:after="0" w:line="10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3"/>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3"/>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r>
      <w:tr>
        <w:trPr>
          <w:trHeight w:val="30"/>
        </w:trPr>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 from Operating Activities: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378,906</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364,937</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318,636</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 to net cash provided by operating activities: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192,937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164,994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117,900</w:t>
            </w:r>
          </w:p>
        </w:tc>
      </w:tr>
      <w:tr>
        <w:trPr>
          <w:trHeight w:val="161"/>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In-process research and development expenses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1,780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25,725</w:t>
            </w:r>
          </w:p>
        </w:tc>
      </w:tr>
      <w:tr>
        <w:trPr>
          <w:trHeight w:val="161"/>
        </w:trPr>
        <w:tc>
          <w:tcPr>
            <w:tcW w:w="6800" w:type="dxa"/>
            <w:vAlign w:val="bottom"/>
          </w:tcPr>
          <w:p>
            <w:pPr>
              <w:ind w:left="280"/>
              <w:spacing w:after="0"/>
              <w:rPr>
                <w:sz w:val="20"/>
                <w:szCs w:val="20"/>
                <w:color w:val="auto"/>
              </w:rPr>
            </w:pPr>
            <w:r>
              <w:rPr>
                <w:rFonts w:ascii="Arial" w:cs="Arial" w:eastAsia="Arial" w:hAnsi="Arial"/>
                <w:sz w:val="13"/>
                <w:szCs w:val="13"/>
                <w:color w:val="auto"/>
              </w:rPr>
              <w:t>Equity-based compensation expense</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57,490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53,587</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46,178</w:t>
            </w:r>
          </w:p>
        </w:tc>
      </w:tr>
      <w:tr>
        <w:trPr>
          <w:trHeight w:val="161"/>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loss on sale of equipment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789</w:t>
            </w:r>
          </w:p>
        </w:tc>
      </w:tr>
      <w:tr>
        <w:trPr>
          <w:trHeight w:val="161"/>
        </w:trPr>
        <w:tc>
          <w:tcPr>
            <w:tcW w:w="680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1,111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(21,095)</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22,811</w:t>
            </w:r>
          </w:p>
        </w:tc>
      </w:tr>
      <w:tr>
        <w:trPr>
          <w:trHeight w:val="161"/>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tax benefit from equity-based compensation</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(795)</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(722)</w:t>
            </w:r>
          </w:p>
        </w:tc>
      </w:tr>
      <w:tr>
        <w:trPr>
          <w:trHeight w:val="161"/>
        </w:trPr>
        <w:tc>
          <w:tcPr>
            <w:tcW w:w="6800" w:type="dxa"/>
            <w:vAlign w:val="bottom"/>
          </w:tcPr>
          <w:p>
            <w:pPr>
              <w:ind w:left="280"/>
              <w:spacing w:after="0"/>
              <w:rPr>
                <w:sz w:val="20"/>
                <w:szCs w:val="20"/>
                <w:color w:val="auto"/>
              </w:rPr>
            </w:pPr>
            <w:r>
              <w:rPr>
                <w:rFonts w:ascii="Arial" w:cs="Arial" w:eastAsia="Arial" w:hAnsi="Arial"/>
                <w:sz w:val="13"/>
                <w:szCs w:val="13"/>
                <w:color w:val="auto"/>
              </w:rPr>
              <w:t>Loss (gain) from short-term interest-bearing investments</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5,553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(2,936)</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(4,030)</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changes in operating assets and liabilities, net of amounts acquired: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(118,291)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(67,333)</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(79,363)</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4,173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(10,536)</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Other noncurrent assets</w:t>
            </w: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(31,739)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(26,264)</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(18,313)</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accrued expenses and other current liabilities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(27,501)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29,642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54,569</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28,408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(96,674)</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(52,050)</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 payable, net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(26,824)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12,243</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(10,796)</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Noncurrent liabilities and other</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18,799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12,984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18,422</w:t>
            </w:r>
          </w:p>
        </w:tc>
      </w:tr>
      <w:tr>
        <w:trPr>
          <w:trHeight w:val="20"/>
        </w:trPr>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483,621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423,970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429,220</w:t>
            </w:r>
          </w:p>
        </w:tc>
      </w:tr>
      <w:tr>
        <w:trPr>
          <w:trHeight w:val="161"/>
        </w:trPr>
        <w:tc>
          <w:tcPr>
            <w:tcW w:w="680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 of equipment, vehicles and leasehold improvements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2,655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3,832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4,274</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Payments for purchase of equipment, vehicles and leasehold improvements</w:t>
            </w: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(135,823)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(166,426)</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(80,717)</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Purchase of short-term interest-bearing investments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(685,873)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(969,198)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(1,216,259)</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Proceeds from sale of short-term interest-bearing investments</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708,100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781,239</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1,288,261</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cash paid for acquisitions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(58,772)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(90,724)</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(624,801)</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(169,713)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(441,277)</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(629,242)</w:t>
            </w: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Proceeds from employee stock options exercised</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37,577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74,663</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106,853</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Excess tax benefit from equity-based compensation</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795</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722</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Repurchase of shares</w:t>
            </w: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(247,630)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(49,837)</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Repurchase of 2% convertible notes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Principal payments under financing arrangements</w:t>
            </w: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(4,677)</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Principal payments on capital lease obligations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(3,144)</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Net cash (used in) provided by financing activities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(210,559)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25,621</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99,657</w:t>
            </w: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103,349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8,314</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(100,365)</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615,501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607,187</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707,552</w:t>
            </w:r>
          </w:p>
        </w:tc>
      </w:tr>
      <w:tr>
        <w:trPr>
          <w:trHeight w:val="20"/>
        </w:trPr>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year</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718,850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615,501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607,187</w:t>
            </w:r>
          </w:p>
        </w:tc>
      </w:tr>
      <w:tr>
        <w:trPr>
          <w:trHeight w:val="20"/>
        </w:trPr>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CONSOLIDATED STATEMENTS OF CASH FLOWS — (Continued)</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7"/>
              </w:rPr>
              <w:t>Year ended September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300" w:type="dxa"/>
            <w:vAlign w:val="bottom"/>
          </w:tcPr>
          <w:p>
            <w:pPr>
              <w:spacing w:after="0"/>
              <w:rPr>
                <w:sz w:val="8"/>
                <w:szCs w:val="8"/>
                <w:color w:val="auto"/>
              </w:rPr>
            </w:pPr>
          </w:p>
        </w:tc>
        <w:tc>
          <w:tcPr>
            <w:tcW w:w="600" w:type="dxa"/>
            <w:vAlign w:val="bottom"/>
          </w:tcPr>
          <w:p>
            <w:pPr>
              <w:jc w:val="right"/>
              <w:ind w:right="137"/>
              <w:spacing w:after="0" w:line="101" w:lineRule="exact"/>
              <w:rPr>
                <w:sz w:val="20"/>
                <w:szCs w:val="20"/>
                <w:color w:val="auto"/>
              </w:rPr>
            </w:pPr>
            <w:r>
              <w:rPr>
                <w:rFonts w:ascii="Arial" w:cs="Arial" w:eastAsia="Arial" w:hAnsi="Arial"/>
                <w:sz w:val="11"/>
                <w:szCs w:val="11"/>
                <w:b w:val="1"/>
                <w:bCs w:val="1"/>
                <w:color w:val="auto"/>
              </w:rPr>
              <w:t>2008</w:t>
            </w:r>
          </w:p>
        </w:tc>
        <w:tc>
          <w:tcPr>
            <w:tcW w:w="40" w:type="dxa"/>
            <w:vAlign w:val="bottom"/>
          </w:tcPr>
          <w:p>
            <w:pPr>
              <w:spacing w:after="0"/>
              <w:rPr>
                <w:sz w:val="8"/>
                <w:szCs w:val="8"/>
                <w:color w:val="auto"/>
              </w:rPr>
            </w:pPr>
          </w:p>
        </w:tc>
        <w:tc>
          <w:tcPr>
            <w:tcW w:w="960" w:type="dxa"/>
            <w:vAlign w:val="bottom"/>
            <w:gridSpan w:val="2"/>
          </w:tcPr>
          <w:p>
            <w:pPr>
              <w:jc w:val="right"/>
              <w:ind w:right="180"/>
              <w:spacing w:after="0" w:line="101" w:lineRule="exact"/>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8"/>
                <w:szCs w:val="8"/>
                <w:color w:val="auto"/>
              </w:rPr>
            </w:pPr>
          </w:p>
        </w:tc>
        <w:tc>
          <w:tcPr>
            <w:tcW w:w="600" w:type="dxa"/>
            <w:vAlign w:val="bottom"/>
          </w:tcPr>
          <w:p>
            <w:pPr>
              <w:jc w:val="right"/>
              <w:ind w:right="137"/>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r>
      <w:tr>
        <w:trPr>
          <w:trHeight w:val="30"/>
        </w:trPr>
        <w:tc>
          <w:tcPr>
            <w:tcW w:w="7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Supplementary Cash Flow Information</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Interest and Income Taxes Paid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300" w:type="dxa"/>
            <w:vAlign w:val="bottom"/>
          </w:tcPr>
          <w:p>
            <w:pPr>
              <w:ind w:left="140"/>
              <w:spacing w:after="0"/>
              <w:rPr>
                <w:sz w:val="20"/>
                <w:szCs w:val="20"/>
                <w:color w:val="auto"/>
              </w:rPr>
            </w:pPr>
            <w:r>
              <w:rPr>
                <w:rFonts w:ascii="Arial" w:cs="Arial" w:eastAsia="Arial" w:hAnsi="Arial"/>
                <w:sz w:val="13"/>
                <w:szCs w:val="13"/>
                <w:color w:val="auto"/>
              </w:rPr>
              <w:t>Income taxes, net of refunds</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   51,273</w:t>
            </w:r>
          </w:p>
        </w:tc>
        <w:tc>
          <w:tcPr>
            <w:tcW w:w="1360" w:type="dxa"/>
            <w:vAlign w:val="bottom"/>
            <w:gridSpan w:val="3"/>
          </w:tcPr>
          <w:p>
            <w:pPr>
              <w:jc w:val="right"/>
              <w:ind w:right="400"/>
              <w:spacing w:after="0"/>
              <w:rPr>
                <w:sz w:val="20"/>
                <w:szCs w:val="20"/>
                <w:color w:val="auto"/>
              </w:rPr>
            </w:pPr>
            <w:r>
              <w:rPr>
                <w:rFonts w:ascii="Arial" w:cs="Arial" w:eastAsia="Arial" w:hAnsi="Arial"/>
                <w:sz w:val="13"/>
                <w:szCs w:val="13"/>
                <w:color w:val="auto"/>
              </w:rPr>
              <w:t>$   44,642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  40,861</w:t>
            </w:r>
          </w:p>
        </w:tc>
      </w:tr>
      <w:tr>
        <w:trPr>
          <w:trHeight w:val="161"/>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4,863</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4,167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2,630</w:t>
            </w:r>
          </w:p>
        </w:tc>
      </w:tr>
    </w:tbl>
    <w:p>
      <w:pPr>
        <w:spacing w:after="0" w:line="4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 —</w:t>
      </w:r>
      <w:r>
        <w:rPr>
          <w:sz w:val="20"/>
          <w:szCs w:val="20"/>
          <w:color w:val="auto"/>
        </w:rPr>
        <w:tab/>
      </w:r>
      <w:r>
        <w:rPr>
          <w:rFonts w:ascii="Arial" w:cs="Arial" w:eastAsia="Arial" w:hAnsi="Arial"/>
          <w:sz w:val="12"/>
          <w:szCs w:val="12"/>
          <w:b w:val="1"/>
          <w:bCs w:val="1"/>
          <w:color w:val="auto"/>
        </w:rPr>
        <w:t>Nature of Entity</w:t>
      </w:r>
    </w:p>
    <w:p>
      <w:pPr>
        <w:spacing w:after="0" w:line="104" w:lineRule="exact"/>
        <w:rPr>
          <w:sz w:val="20"/>
          <w:szCs w:val="20"/>
          <w:color w:val="auto"/>
        </w:rPr>
      </w:pPr>
    </w:p>
    <w:p>
      <w:pPr>
        <w:ind w:left="680" w:right="220" w:firstLine="399"/>
        <w:spacing w:after="0" w:line="270" w:lineRule="auto"/>
        <w:rPr>
          <w:sz w:val="20"/>
          <w:szCs w:val="20"/>
          <w:color w:val="auto"/>
        </w:rPr>
      </w:pPr>
      <w:r>
        <w:rPr>
          <w:rFonts w:ascii="Arial" w:cs="Arial" w:eastAsia="Arial" w:hAnsi="Arial"/>
          <w:sz w:val="13"/>
          <w:szCs w:val="13"/>
          <w:color w:val="auto"/>
        </w:rPr>
        <w:t>Amdocs Limited (the “Company”) is a leading provider of software products and services to the communications, media and entertainment industry. The Company and its subsidiaries operate in one segment, providing integrated products and services. The Company designs, develops, markets, supports, implements and operates customer experience systems, including revenue, customer and information management, digital commerce and service delivery, service and resource management, and consulting and managed services, primarily to leading wireless, wireline, broadband cable and satellite service providers throughout the world.</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a Guernsey corporation, which directly or indirectly holds several wholly-owned subsidiaries around the world. The majority of the Company’s customers are in North America, Europe, Latin America and the Asia-Pacific region. The Company’s main production and operating facilities are located in Cyprus, India, Ireland, Israel, the United States, and China.</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 —</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consolidated financial statements are prepared in accordance with U.S. generally accepted accounting principles.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consolidated financial statements include the accounts of the Company and its wholly-owned subsidiaries. All intercompany transactions and balances have been eliminated in consolidation.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immaterial amounts in prior years’ financial statements have been reclassified to conform to the current year’s presentation.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Functional Currency</w:t>
      </w:r>
    </w:p>
    <w:p>
      <w:pPr>
        <w:spacing w:after="0" w:line="102"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The Company manages its foreign subsidiaries as integral direct components of its operations. The operations of the Company’s foreign subsidiaries provide the same type of services with the same type of expenditures throughout the Amdocs group. Based on the salient economic factors indicated in Statement of Financial Accounting Standards (“SFAS”) No. 52, “Foreign Currency Translation,” the Company has determined that its functional currency is the U.S. dollar. The Company periodically assesses the applicability of the U.S. dollar as the Company’s functional currency by reviewing the salient indicators.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consist of cash and interest-bearing investments with insignificant interest rate risk and original maturities of 90 days or less.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classifies all of its short-term interest-bearing investments as available-for-sale securities. Such short-term interest-bearing investments consist primarily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government treasuries, U.S. agencies and corporate bonds, which are stated at market value. Unrealized gains and losses are comprised of the difference between market value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amortized costs of such securities and are reflected, net of tax, as “accumulated other comprehensive income” in shareholders’ equity. Realized gains and losses on short-term interest-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bearing investments are</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99" w:lineRule="auto"/>
        <w:rPr>
          <w:sz w:val="20"/>
          <w:szCs w:val="20"/>
          <w:color w:val="auto"/>
        </w:rPr>
      </w:pPr>
      <w:r>
        <w:rPr>
          <w:rFonts w:ascii="Arial" w:cs="Arial" w:eastAsia="Arial" w:hAnsi="Arial"/>
          <w:sz w:val="12"/>
          <w:szCs w:val="12"/>
          <w:color w:val="auto"/>
        </w:rPr>
        <w:t>included in earnings and are derived using the specific identification method for determining the cost of securities. The Company recognizes an impairment charge when a decline in the fair value of its investments below the cost basis is judged to be other-than-temporary. The Company considers various factors in determining whether to recognize an impairment charge, including the Company’s intent and ability to hold the investment for a period of time sufficient to allow for any anticipated recovery in market value, the length of time and extent to which the fair value has been less than the cost basis, the credit ratings of the securities and the financial condition and near-term prospects of the issuers.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Equipment, Vehicles and Leasehold Improvements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3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102" w:lineRule="exact"/>
        <w:rPr>
          <w:sz w:val="20"/>
          <w:szCs w:val="20"/>
          <w:color w:val="auto"/>
        </w:rPr>
      </w:pPr>
    </w:p>
    <w:p>
      <w:pPr>
        <w:jc w:val="both"/>
        <w:ind w:left="680" w:right="400" w:firstLine="399"/>
        <w:spacing w:after="0" w:line="309" w:lineRule="auto"/>
        <w:rPr>
          <w:sz w:val="20"/>
          <w:szCs w:val="20"/>
          <w:color w:val="auto"/>
        </w:rPr>
      </w:pPr>
      <w:r>
        <w:rPr>
          <w:rFonts w:ascii="Arial" w:cs="Arial" w:eastAsia="Arial" w:hAnsi="Arial"/>
          <w:sz w:val="12"/>
          <w:szCs w:val="12"/>
          <w:color w:val="auto"/>
        </w:rPr>
        <w:t>SFAS No. 141, “Business Combinations” (“SFAS No. 141”) requires that the purchase method of accounting be used for all business combinations. Under SFAS No. 142, “Goodwill and Other Intangible Assets,” goodwill and intangible assets deemed to have indefinite lives are subject to an annual impairment test in accordance with the Statement. Goodwill impairment is deemed to exist if the net book value of a reporting unit exceeds its estimated fair value. Other intangible assets are amortized over their useful lives.</w:t>
      </w:r>
    </w:p>
    <w:p>
      <w:pPr>
        <w:spacing w:after="0" w:line="41"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7" w:lineRule="exact"/>
        <w:rPr>
          <w:sz w:val="20"/>
          <w:szCs w:val="20"/>
          <w:color w:val="auto"/>
        </w:rPr>
      </w:pPr>
    </w:p>
    <w:p>
      <w:pPr>
        <w:ind w:left="680" w:right="400" w:firstLine="399"/>
        <w:spacing w:after="0" w:line="338" w:lineRule="auto"/>
        <w:rPr>
          <w:sz w:val="20"/>
          <w:szCs w:val="20"/>
          <w:color w:val="auto"/>
        </w:rPr>
      </w:pPr>
      <w:r>
        <w:rPr>
          <w:rFonts w:ascii="Arial" w:cs="Arial" w:eastAsia="Arial" w:hAnsi="Arial"/>
          <w:sz w:val="12"/>
          <w:szCs w:val="12"/>
          <w:color w:val="auto"/>
        </w:rPr>
        <w:t>Other intangible assets consist primarily of purchased computer software, intellectual property rights, core technology, customer arrangements and trademarks. Intellectual property rights, purchased computer software, core technology and trademarks acquired by the Company are amortized over their estimated useful lives on a straight-line basis.</w:t>
      </w:r>
    </w:p>
    <w:p>
      <w:pPr>
        <w:spacing w:after="0" w:line="24"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Some of the acquired customer arrangements are amortized over their estimated useful lives in proportion to the economic benefits realized.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10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The Company accounts for comprehensive income (loss) under the provisions of SFAS No. 130, “Reporting Comprehensive Income,” which established standards for the reporting and display of</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20"/>
        <w:spacing w:after="0" w:line="294" w:lineRule="auto"/>
        <w:rPr>
          <w:sz w:val="20"/>
          <w:szCs w:val="20"/>
          <w:color w:val="auto"/>
        </w:rPr>
      </w:pPr>
      <w:r>
        <w:rPr>
          <w:rFonts w:ascii="Arial" w:cs="Arial" w:eastAsia="Arial" w:hAnsi="Arial"/>
          <w:sz w:val="13"/>
          <w:szCs w:val="13"/>
          <w:color w:val="auto"/>
        </w:rPr>
        <w:t>comprehensive income (loss)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Convertible Notes</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Accrued interest on the Company’s convertible notes is included in “accrued expenses and other current liabilities.” The Company amortizes the issuance costs related to the convertible notes on a straight-line basis over the term of the convertible notes.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Treasury Stock</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 In the event that a valuation allowance relating to a business acquisition is subsequently reduced, the adjustment will reduce the original amount allocated to goodwill.</w:t>
      </w:r>
    </w:p>
    <w:p>
      <w:pPr>
        <w:spacing w:after="0" w:line="4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Effective October 1, 2007, the Company adopted Interpretation No. 48, “Accounting for Uncertainty in Income Taxes - an Interpretation of SFAS No. 109” (“FIN No. 48”). FIN No. 48, is a change in accounting for income taxes. FIN No. 48 contains a two-step approach to recognizing and measuring uncertain tax positions accounted for in accordance with Statement of Financial Accounting Standards No. 109, “Accounting for Income Taxes” (“SFAS No. 109”).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9 to the consolidated financial statements.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jc w:val="both"/>
        <w:ind w:left="680" w:firstLine="399"/>
        <w:spacing w:after="0" w:line="309" w:lineRule="auto"/>
        <w:rPr>
          <w:sz w:val="20"/>
          <w:szCs w:val="20"/>
          <w:color w:val="auto"/>
        </w:rPr>
      </w:pPr>
      <w:r>
        <w:rPr>
          <w:rFonts w:ascii="Arial" w:cs="Arial" w:eastAsia="Arial" w:hAnsi="Arial"/>
          <w:sz w:val="12"/>
          <w:szCs w:val="12"/>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w:t>
      </w: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(“SOP 81-1”), Software Revenue Recognition (“SOP 97-2”). When total cost estimates exceed revenues in a fixed-price arrangement, the estimated losses are recognized immediately based upon the cost applicable to the delivering unit in accordance with SOP 81-1.</w:t>
      </w:r>
    </w:p>
    <w:p>
      <w:pPr>
        <w:spacing w:after="0" w:line="6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left="680" w:right="140" w:firstLine="399"/>
        <w:spacing w:after="0" w:line="286" w:lineRule="auto"/>
        <w:rPr>
          <w:sz w:val="20"/>
          <w:szCs w:val="20"/>
          <w:color w:val="auto"/>
        </w:rPr>
      </w:pPr>
      <w:r>
        <w:rPr>
          <w:rFonts w:ascii="Arial" w:cs="Arial" w:eastAsia="Arial" w:hAnsi="Arial"/>
          <w:sz w:val="12"/>
          <w:szCs w:val="12"/>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and modification is recognized upon delivery. Service revenue that does not involve significant ongoing obligations is recognized as services are rendered, in accordance with</w:t>
      </w:r>
    </w:p>
    <w:p>
      <w:pPr>
        <w:spacing w:after="0" w:line="1" w:lineRule="exact"/>
        <w:rPr>
          <w:sz w:val="20"/>
          <w:szCs w:val="20"/>
          <w:color w:val="auto"/>
        </w:rPr>
      </w:pPr>
    </w:p>
    <w:p>
      <w:pPr>
        <w:ind w:left="680" w:right="420"/>
        <w:spacing w:after="0" w:line="277" w:lineRule="auto"/>
        <w:rPr>
          <w:sz w:val="20"/>
          <w:szCs w:val="20"/>
          <w:color w:val="auto"/>
        </w:rPr>
      </w:pPr>
      <w:r>
        <w:rPr>
          <w:rFonts w:ascii="Arial" w:cs="Arial" w:eastAsia="Arial" w:hAnsi="Arial"/>
          <w:sz w:val="13"/>
          <w:szCs w:val="13"/>
          <w:color w:val="auto"/>
        </w:rPr>
        <w:t>SAB No. 104, “Revenue Recognition” and SOP 97-2. The Company complies with Emerging Issues Task Force (“EITF”) No. 03-05, “Applicability of AICPA SOP 97-2 to Non-Software Deliverables in an Arrangement Containing More Than Incidental Software.”</w:t>
      </w:r>
    </w:p>
    <w:p>
      <w:pPr>
        <w:spacing w:after="0" w:line="58" w:lineRule="exact"/>
        <w:rPr>
          <w:sz w:val="20"/>
          <w:szCs w:val="20"/>
          <w:color w:val="auto"/>
        </w:rPr>
      </w:pPr>
    </w:p>
    <w:p>
      <w:pPr>
        <w:ind w:left="680" w:right="480" w:firstLine="399"/>
        <w:spacing w:after="0" w:line="294" w:lineRule="auto"/>
        <w:rPr>
          <w:sz w:val="20"/>
          <w:szCs w:val="20"/>
          <w:color w:val="auto"/>
        </w:rPr>
      </w:pPr>
      <w:r>
        <w:rPr>
          <w:rFonts w:ascii="Arial" w:cs="Arial" w:eastAsia="Arial" w:hAnsi="Arial"/>
          <w:sz w:val="13"/>
          <w:szCs w:val="13"/>
          <w:color w:val="auto"/>
        </w:rPr>
        <w:t>Fees are generally considered fixed and determinable unless a significant portion (more than 10%) of the license and related service fee is due more then 12 months after delivery, in which case license and related services fees are recognized when payments are due, in accordance with SOP 97-2.</w:t>
      </w:r>
    </w:p>
    <w:p>
      <w:pPr>
        <w:spacing w:after="0" w:line="47" w:lineRule="exact"/>
        <w:rPr>
          <w:sz w:val="20"/>
          <w:szCs w:val="20"/>
          <w:color w:val="auto"/>
        </w:rPr>
      </w:pPr>
    </w:p>
    <w:p>
      <w:pPr>
        <w:ind w:left="680" w:right="140" w:firstLine="399"/>
        <w:spacing w:after="0" w:line="338" w:lineRule="auto"/>
        <w:rPr>
          <w:sz w:val="20"/>
          <w:szCs w:val="20"/>
          <w:color w:val="auto"/>
        </w:rPr>
      </w:pPr>
      <w:r>
        <w:rPr>
          <w:rFonts w:ascii="Arial" w:cs="Arial" w:eastAsia="Arial" w:hAnsi="Arial"/>
          <w:sz w:val="12"/>
          <w:szCs w:val="12"/>
          <w:color w:val="auto"/>
        </w:rPr>
        <w:t>In managed services contracts and in other long term contracts, revenue from the operation of a customer’s system is recognized either as services are performed based on time elapsed, output produced or volume of data processed. Revenue from ongoing support services is recognized as work is performed or based on straight-line over the service period.</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from third-party hardware sales is recognized upon delivery and installation, and revenue from third-party software sales is recognized upon delivery. Revenue from</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third-party hardware and software sales is recorded according to the criteria established in EITF No. 99-19, “Recording Revenue Gross as a Principal versus Net as an Agent”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SAB No. 104. Revenue is recorded at gross amount for transactions in which the Company is the primary obligor under the arrangement and/or possesses other attributes such as pricing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supplier selection latitude. In specific circumstances where the Company does not meet the above criteria, particularly when the contract stipulates that the Company is not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primary obligor, the Company recognizes revenue on a net basis.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Included in service revenue are sales of third-party products. Revenue from sales of such products includes third-party computer hardware and computer software products.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 from third-party sales was less than 10% of total revenue in each of fiscal 2008, 2007 and 2006.</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Maintenance revenue is recognized ratably over the term of the maintenance agreement, which in most cases is one year.</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47"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Many of the Company’s agreements include multiple deliverables. For these multiple element arrangements, the Company allocates revenue to each element based upon its relative fair value as determined</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0"/>
        <w:spacing w:after="0" w:line="299" w:lineRule="auto"/>
        <w:rPr>
          <w:sz w:val="20"/>
          <w:szCs w:val="20"/>
          <w:color w:val="auto"/>
        </w:rPr>
      </w:pPr>
      <w:r>
        <w:rPr>
          <w:rFonts w:ascii="Arial" w:cs="Arial" w:eastAsia="Arial" w:hAnsi="Arial"/>
          <w:sz w:val="12"/>
          <w:szCs w:val="12"/>
          <w:color w:val="auto"/>
        </w:rPr>
        <w:t>by Vendor Specific Objective Evidence (“VSOE”). The Company uses the residual method in accordance with SOP 97-2 and EITF No. 00-21, “Revenue Arrangements with Multiple Deliverables” (“EITF No. 00-21”). In the absence of fair value for a delivered element the Company first allocates revenue to the fair value of the undelivered elements and residual revenue to delivered elements.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w:t>
      </w:r>
    </w:p>
    <w:p>
      <w:pPr>
        <w:spacing w:after="0" w:line="4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circumstances where the Company enters into a contract with a customer for the provision of managed services for a defined period of time, the Company defers, in accordance with SAB No. 104, certain incremental costs incurred at the inception of the contract. These costs include time and expense incurred in association with the origination of a contract. In addition, under the provisions of EITF No. 00-21, if the revenue for a delivered item is not recognized because it is not separable from the managed services arrangement, then the Company also defers the cost of the delivered item. The deferred costs are amortized on a straight-line basis over the life of the applicable customer contract. Revenue associated with these capitalized costs is deferred and is recognized over the same period.</w:t>
      </w:r>
    </w:p>
    <w:p>
      <w:pPr>
        <w:spacing w:after="0" w:line="65"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In cases where extended payment terms exist and revenue is deferred until payments are due, related costs are capitalized as contract costs and recognized as revenue is recognized.</w:t>
      </w:r>
    </w:p>
    <w:p>
      <w:pPr>
        <w:spacing w:after="0" w:line="4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Deferred revenue represents billings to customers for licenses and services for which revenue has not been recognized. Unbilled accounts receivable include all revenue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License and Cost of Service</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Cost of license and cost of service consist of all costs associated with providing software licenses and services to customers, including identified losses on contracts and warranty expense. Estimated losses on contracts accounted for in accordance with SOP 81-1 are recognized in the period in which the loss is identified.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63"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Research and development expenditures consist of costs incurred in the development of new software modules and product offerings, either as part of the Company’s internal product development programs or in conjunction with customer projects. Research and development costs, which are incurred in conjunction with a customer project, are expensed as incurred.</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Based on the Company’s product development process, technological feasibility, as defined in SFAS No. 86, “Accounting for the Costs of Computer Software to be Sold, Leased or Otherwise Marketed” (“SFAS No. 86”), is established upon completion of a detailed program design or, in the absence thereof,</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completion of a working model. Costs incurred by the Company after achieving technological feasibility and before the product is ready for customer release have been insignificant.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2"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The Company accounts for equity-based payments to employees in accordance with FASB Statement No. 123 (revised 2004), “Share-Based Payment” (“SFAS No. 123(R)”), which requires all equity-based payments to employees, including grants of employee stock options, to be recognized in the income statement based on their fair values. In addition, the Company has applied the provisions of Staff Accounting Bulletin No. 107 (“SAB No. 107”), in its adoption of SFAS No. 123(R). The Company estimates the fair value of employee stock options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49"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The Company uses a combination of implied volatility of the Company’s traded options and historical stock price volatility (“blended volatility”) as the expected volatility assumption required in the Black-Scholes option valuation model. Prior to the Company’s adoption of SFAS No. 123(R) on October 1, 2005, the Company had used its historical stock price volatility in accordance with Statement of Financial Accounting Standards No. 123, “Accounting for Stock-Based Compensation” (“SFAS No. 123”) for purposes of presenting its pro forma information. The selection of the blended volatility approach was based upon the availability of traded options on the Company’s shares and the Company’s assessment that blended volatility is more representative of future share price trends than historical volatility. As equity-based compensation expense recognized in the Company’s consolidated statements of income for fiscal 2008, 2007 and 2006 is based on awards ultimately expected to vest, such expense has been reduced for estimated forfeitures. SFAS No. 123(R) requires forfeitures to be estimated at the time of grant and revised, if necessary, in subsequent periods if actual forfeitures differ from those estimates. For the periods prior to fiscal 2006, the Company accounted for forfeitures as they occurred.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02" w:lineRule="exact"/>
        <w:rPr>
          <w:sz w:val="20"/>
          <w:szCs w:val="20"/>
          <w:color w:val="auto"/>
        </w:rPr>
      </w:pPr>
    </w:p>
    <w:p>
      <w:pPr>
        <w:jc w:val="both"/>
        <w:ind w:left="680" w:firstLine="399"/>
        <w:spacing w:after="0" w:line="309" w:lineRule="auto"/>
        <w:rPr>
          <w:sz w:val="20"/>
          <w:szCs w:val="20"/>
          <w:color w:val="auto"/>
        </w:rPr>
      </w:pPr>
      <w:r>
        <w:rPr>
          <w:rFonts w:ascii="Arial" w:cs="Arial" w:eastAsia="Arial" w:hAnsi="Arial"/>
          <w:sz w:val="12"/>
          <w:szCs w:val="12"/>
          <w:color w:val="auto"/>
        </w:rPr>
        <w:t>The financial instruments of the Company consist mainly of cash and cash equivalents, short-term interest-bearing investments, accounts receivable, accounts payable, short-term financing arrangements, forward exchange contracts and options, lease obligations and convertible notes. The fair value of the financial instruments, excluding the convertible notes (for which the fair value as of September 30, 2008 is approximately $438,000), included in the accounts of the Company does not significantly vary from their carrying amount.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Financial instruments that potentially subject the Company to concentration of credit risk consist principally of cash and cash equivalents, short-term interest-bearing investments and trade receivables. The Company has conservative investment policy guidelines under which it invests its excess cash primarily in highly liquid U.S. dollar-denominated securities primarily with major U.S. institutions. The Company’s revenue is generated primarily in North America and Europe. To a lesser extent, revenue is generated in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95" w:lineRule="auto"/>
        <w:rPr>
          <w:sz w:val="20"/>
          <w:szCs w:val="20"/>
          <w:color w:val="auto"/>
        </w:rPr>
      </w:pPr>
      <w:r>
        <w:rPr>
          <w:rFonts w:ascii="Arial" w:cs="Arial" w:eastAsia="Arial" w:hAnsi="Arial"/>
          <w:sz w:val="12"/>
          <w:szCs w:val="12"/>
          <w:color w:val="auto"/>
        </w:rPr>
        <w:t>from the inability of the Company’s customers to make required payments. 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As of September 30, 2008, the Company had two groups of customers with accounts receivable balances of more than 10% of total accounts receivable, aggregating 39% (27.5% and 11.5%). These two groups of customers accounted for approximately 40% of our revenue in fiscal 2008. As of September 30, 2007, the Company had two customers that had accounts receivable balances of more than 10% of total accounts receivable, aggregating 31.4% (21.0% and 10.4%).</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102" w:lineRule="exact"/>
        <w:rPr>
          <w:sz w:val="20"/>
          <w:szCs w:val="20"/>
          <w:color w:val="auto"/>
        </w:rPr>
      </w:pPr>
    </w:p>
    <w:p>
      <w:pPr>
        <w:ind w:left="680" w:right="260" w:firstLine="399"/>
        <w:spacing w:after="0" w:line="299" w:lineRule="auto"/>
        <w:rPr>
          <w:sz w:val="20"/>
          <w:szCs w:val="20"/>
          <w:color w:val="auto"/>
        </w:rPr>
      </w:pPr>
      <w:r>
        <w:rPr>
          <w:rFonts w:ascii="Arial" w:cs="Arial" w:eastAsia="Arial" w:hAnsi="Arial"/>
          <w:sz w:val="12"/>
          <w:szCs w:val="12"/>
          <w:color w:val="auto"/>
        </w:rPr>
        <w:t>The Company accounts for earnings per share based on SFAS No. 128, “Earnings per Share” (“SFAS No. 128”).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and the effect of dilutive outstanding convertible notes using the if-converted method.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w:t>
      </w:r>
    </w:p>
    <w:p>
      <w:pPr>
        <w:spacing w:after="0" w:line="102"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The Company accounts for derivatives and hedging based on SFAS No. 133, “Accounting for Derivative Instruments and Hedging Activities” (“SFAS No. 133”),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 If a derivative does not meet the definition of a hedge the changes in the fair value will be included in earnings.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Guarantor’s Accounting and Disclosure Requirements for Guarantees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June 2008, the Financial Accounting Standards Board (“FASB”) issued FASB Staff Position No. EITF No. 03-6-1, “Determining Whether Instruments Granted in Share-Based Payment Transactions Are Participating Securities” (“FSP EITF No. 03-6-1”). According to FSP EITF No. 03-6-1, unvested share-based payment awards that contain nonforfeitable rights to dividends or dividend equivalents are considered participating securities under SFAS No. 128. As such, they should be included in the computation of basic earnings per share (“EPS”) using the two-class method. FSP EITF No. 03-6-1 is effective for financial statements issued for fiscal years beginning after December 15, 2008, as well as interim periods within those years. Once effective, all prior-period EPS data presented must be adjusted retrospectively. The Company is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100"/>
        <w:spacing w:after="0" w:line="294" w:lineRule="auto"/>
        <w:rPr>
          <w:sz w:val="20"/>
          <w:szCs w:val="20"/>
          <w:color w:val="auto"/>
        </w:rPr>
      </w:pPr>
      <w:r>
        <w:rPr>
          <w:rFonts w:ascii="Arial" w:cs="Arial" w:eastAsia="Arial" w:hAnsi="Arial"/>
          <w:sz w:val="13"/>
          <w:szCs w:val="13"/>
          <w:color w:val="auto"/>
        </w:rPr>
        <w:t>currently evaluating the effect that adopting the provisions of FSP EITF No. 03-6-1 will have on its consolidated results of operations, and it currently expects that the effect will not be material.</w:t>
      </w:r>
    </w:p>
    <w:p>
      <w:pPr>
        <w:spacing w:after="0" w:line="4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March 2008, the FASB issued Statement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 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results of operations, and cash flows. SFAS No. 161 is effective for financial statements issued for fiscal years and interim periods beginning after November 15, 2008. Although SFAS No. 161 requires the Company to make additional disclosures, it does not affect the underlying accounting policy or the application thereof.</w:t>
      </w:r>
    </w:p>
    <w:p>
      <w:pPr>
        <w:spacing w:after="0" w:line="68"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In December 2007, the FASB issued Statement No. 141 (revised), “Business Combinations” (“SFAS No. 141(R)”). SFAS No.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the Company prospectively for business combinations for which the acquisition date is on or after October 1, 2009.</w:t>
      </w:r>
    </w:p>
    <w:p>
      <w:pPr>
        <w:spacing w:after="0" w:line="48"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In December 2007, the FASB issued Statement No. 160, “Noncontrolling Interests in Consolidated Financial Statements” - an amendment of ARB No. 51 (“SFAS No. 160”). SFAS No. 160 changes the accounting for noncontrolling (minority) interests in consolidated financial statements including the requirements to classify noncontrolling interests as a component of consolidated shareholders’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The Company is currently evaluating the effect that the application of SFAS No. 160 will have on its consolidated results of operations and financial condition.</w:t>
      </w:r>
    </w:p>
    <w:p>
      <w:pPr>
        <w:spacing w:after="0" w:line="65"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In February 2007, the FASB issued Statement No. 159 “The Fair Value Option for Financial Assets and Financial Liabilities” including an amendment of FASB Statement</w:t>
      </w:r>
    </w:p>
    <w:p>
      <w:pPr>
        <w:spacing w:after="0" w:line="22" w:lineRule="exact"/>
        <w:rPr>
          <w:sz w:val="20"/>
          <w:szCs w:val="20"/>
          <w:color w:val="auto"/>
        </w:rPr>
      </w:pPr>
    </w:p>
    <w:p>
      <w:pPr>
        <w:jc w:val="both"/>
        <w:ind w:left="680"/>
        <w:spacing w:after="0" w:line="263" w:lineRule="auto"/>
        <w:rPr>
          <w:sz w:val="20"/>
          <w:szCs w:val="20"/>
          <w:color w:val="auto"/>
        </w:rPr>
      </w:pPr>
      <w:r>
        <w:rPr>
          <w:rFonts w:ascii="Arial" w:cs="Arial" w:eastAsia="Arial" w:hAnsi="Arial"/>
          <w:sz w:val="13"/>
          <w:szCs w:val="13"/>
          <w:color w:val="auto"/>
        </w:rPr>
        <w:t>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No. 159 also establishes additional disclosure requirements and is effective for fiscal years beginning after November 15, 2007, with early adoption permitted provided that the entity also adopts Statement No. 157, “Fair Value Measurements” (“SFAS No. 157”). SFAS No. 159 is effective for the Company in the first quarter of fiscal 2009, and it is not expected to have a material impact on its results of operations or financial position.</w:t>
      </w:r>
    </w:p>
    <w:p>
      <w:pPr>
        <w:spacing w:after="0" w:line="67"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September 2006, the FASB issued SFAS No. 157 which defines fair value, establishes a framework for measuring fair value in generally accepted accounting principles, and expands disclosures about fair value measurements. SFAS No. 157 applies under other accounting pronouncements that require or permit fair value measurements. SFAS No. 157 is effective for fiscal years beginning after November 15, 2007, and interim periods within those fiscal years. In February 2008, the FASB issued FASB Staff Position No. SFAS No. 157-2, Effective Date of FASB Statement No. 157, which provides a one-year deferral of the effective date of SFAS No. 157 for non-financial assets and non-financial liabilities, except those that are recognized or</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disclosed in the financial statements at fair value on a recurring basis (at least annually). The adoption of SFAS No. 157 for financial assets and financial liabilities is not expected to have a material impact on the Company’s results of operations or financial position. The Company is currently assessing the impact that SFAS No. 157 will have on its results of operations and financial position when it is applied to nonfinancial assets and nonfinancial liabilities beginning in the first quarter of fiscal 2010.</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Standard</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June 2006, the FASB issued FIN 48, which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The Company adopted FIN 48 in the first quarter of fiscal 2008. The adoption of FIN 48 did not result in a change to retained earnings. Please see Note 9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 —</w:t>
      </w:r>
      <w:r>
        <w:rPr>
          <w:sz w:val="20"/>
          <w:szCs w:val="20"/>
          <w:color w:val="auto"/>
        </w:rPr>
        <w:tab/>
      </w:r>
      <w:r>
        <w:rPr>
          <w:rFonts w:ascii="Arial" w:cs="Arial" w:eastAsia="Arial" w:hAnsi="Arial"/>
          <w:sz w:val="11"/>
          <w:szCs w:val="11"/>
          <w:b w:val="1"/>
          <w:bCs w:val="1"/>
          <w:color w:val="auto"/>
        </w:rPr>
        <w:t>Acquisitions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SigValue</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In February 2007, the Company acquired SigValue Technologies, Inc. (“SigValue”), a provider of an integrated billing, customer care and service control platform designed for telecommunications service providers in high-growth emerging markets around the world, where the customer base is predominantly comprised of mobile pre-paid subscribers. Prior to the acquisition, the Company owned 14% of SigValue’s outstanding capital stock. Under the terms of the agreement, the Company acquired the balance of SigValue’s remaining share capital. The Company expects that this acquisition will expand its offering for the fast growing emerging markets.</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aggregate purchase price for the remaining 86% of SigValue’s outstanding capital stock was $71,193, which consisted of $69,728 in cash (including cash on hand), $768 related to the assumption of stock options held by SigValue employees and $697 of transaction costs. The fair value of the stock options was estimated using the Black-Scholes option pricing model. The acquisition was accounted for using the purchase method of accounting, as required by Statement of Financial Accounting Standard No. 141, “Business Combinations” (“SFAS No. 141”). The fair market value of SigValue’s assets and liabilities has been included in the Company’s consolidated balance sheets and the results of SigValue’s operations are included in the Company’s consolidated statements of operations, commencing on February 8, 2007. The total purchase price was allocated to SigValue’s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$27,436 of acquired identifiable intangible assets (which represents 86% of total identifiable intangible assets), $2,666 was assigned to in-process research and development. The in-process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line="292" w:lineRule="auto"/>
        <w:rPr>
          <w:sz w:val="20"/>
          <w:szCs w:val="20"/>
          <w:color w:val="auto"/>
        </w:rPr>
      </w:pPr>
      <w:r>
        <w:rPr>
          <w:rFonts w:ascii="Arial" w:cs="Arial" w:eastAsia="Arial" w:hAnsi="Arial"/>
          <w:sz w:val="12"/>
          <w:szCs w:val="12"/>
          <w:color w:val="auto"/>
        </w:rPr>
        <w:t>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such date. The fair value assigned to core technology was $19,513 and is being amortized over four years commencing on February 8, 2007. The fair value assigned to customer arrangements was $4,775 and is being amortized over six years commencing on February 8, 2007 based on pro-rata amounts of the future discounted cash flows. The fair value assigned to trademarks was $482 and is being amortized over two years commencing on February 8, 2007. The amount of the purchase price that exceeded 86% of the fair value of the net assets and identifiable intangibles acquired, or goodwill, was $28,971, of which none is tax deductible.</w:t>
      </w:r>
    </w:p>
    <w:p>
      <w:pPr>
        <w:spacing w:after="0" w:line="51"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described above, prior to the acquisition the Company’s ownership interest in SigValue was 14%, and therefore the Company accounted for the investment in SigValue under the cost method. In the second quarter of 2007, the Company recognized its 14% share in SigValue’s results from the time it first acquired an ownership interest in SigValue through the acquisition of 100% ownership of SigValue on February 7, 2007. The Company’s share in SigValue’s pre-acquisition results was income of $1,916, which is included in restructuring charges, in-process research and development and other.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Cramer</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In August 2006, the Company acquired all of the capital stock of Cramer Systems Group Limited (“Cramer”), a privately-held leading provider of operations support systems (OSS) solutions. This acquisition enabled the Company to leverage and greatly enhance its assets in the BSS (business support systems) and OSS market.</w:t>
      </w:r>
    </w:p>
    <w:p>
      <w:pPr>
        <w:spacing w:after="0" w:line="47" w:lineRule="exact"/>
        <w:rPr>
          <w:sz w:val="20"/>
          <w:szCs w:val="20"/>
          <w:color w:val="auto"/>
        </w:rPr>
      </w:pPr>
    </w:p>
    <w:p>
      <w:pPr>
        <w:ind w:left="680" w:right="80" w:firstLine="399"/>
        <w:spacing w:after="0" w:line="284" w:lineRule="auto"/>
        <w:rPr>
          <w:sz w:val="20"/>
          <w:szCs w:val="20"/>
          <w:color w:val="auto"/>
        </w:rPr>
      </w:pPr>
      <w:r>
        <w:rPr>
          <w:rFonts w:ascii="Arial" w:cs="Arial" w:eastAsia="Arial" w:hAnsi="Arial"/>
          <w:sz w:val="12"/>
          <w:szCs w:val="12"/>
          <w:color w:val="auto"/>
        </w:rPr>
        <w:t>The aggregate purchase price for Cramer was $420,997 which consisted of $412,402 in cash (including cash on hand), $2,228 related to the assumption of stock options and restricted shares held by Cramer employees and $6,367 of transaction costs. The fair value of the stock options was estimated using the Black-Scholes option pricing model and the fair value of the restricted shares was valued based on the market value of the underlying shares at the date of grant. Please see Note 17 to the consolidated financial statements. The acquisition was accounted for as a business combination using the purchase method of accounting, as required by SFAS No. 141. The fair market value of Cramer assets and liabilities has been included in the Company’s consolidated balance sheets and the results of Cramer’s operations have been included in the Company’s consolidated statements of income, commencing on August 15, 2006. The total purchase price was allocated to Cramer’s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$177,203 of acquired identifiable intangible assets, $17,310 was assigned to in-process research and development related to the next two major releases of Cramer’s current technology. 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such date. The fair value assigned to core technology was $88,690 and is being amortized over five years commencing on August 15, 2006. The fair value assigned to customer arrangements was $69,043 and is being amortized over seven years commencing on August 15, 2006 based on pro-rata amounts of the future discounted cash flows. The fair value assigned to trademarks was $2,160 and is being amortized over two years commencing on August 15, 2006. The excess of the purchase price over the fair value of the net assets and identifiable intangibles acquired, or goodwill, was $263,334 of which none is tax deductible. During fiscal 2007, the Company revised</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the allocation of the purchase price as it obtained more information and changed its estimates related to the tax basis of assumed liabilities and related to certain other acquired assets and assumed liabilities. The revised purchase price allocation resulted in a net decrease of $5,783 in goodwill. During fiscal 2008, the Company determined that it should have established a valuation allowance related to certain net operating losses that existed at the acquisition date. As a result, the Company adjusted purchase accounting to reflect a $19,653 increase in the tax valuation allowance and in goodwill.</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Qpass</w:t>
      </w:r>
    </w:p>
    <w:p>
      <w:pPr>
        <w:spacing w:after="0" w:line="102"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In May 2006, the Company acquired all of the capital stock of Qpass Inc. (“Qpass”), a leading provider of digital commerce software and solutions. This acquisition has allowed the Company to support service providers and media companies seeking to launch and monetize digital content, and the Company believes that this acquisition positioned it as a leader in the emerging digital content market.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aggregate purchase price for Qpass was $280,984, which consisted of $274,024 in cash, $2,405 related to the assumption of stock options held by Qpass employees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$4,555 of transaction costs. The fair value of the stock options was estimated using the Black-Scholes option pricing model. Please see Note 17 to the consolidated financial statements.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acquisition was accounted for as a business combination using the purchase method of accounting, as required by SFAS No. 141. The fair market value of Qpass assets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liabilities has been included in the Company’s consolidated balance sheets and the results of Qpass’s operations have been included in the Company’s consolidated statements of income,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commencing on June 1, 2006. The total purchase price was allocated to Qpass’s assets and liabilities, including identifiable intangibles, based on their respective estimated fair values,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the date the transaction was consummated. The value of acquired technology included both existing technology and in-process research and development. The valuation of these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items was determined by applying the income forecast method, which considered the present value of cash flows by product lines. Of the $72,981 of acquired identifiable intangible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$8,340 was assigned to in-process research and development and was written-off as of the closing date of the acquisition, in accordance with Financial Accounting Standards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Board Interpretation No. 4. The in-process research and development had no alternative future use and had not reached technological feasibility as of such date. The fair value assigned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core technology was $28,060 and is being amortized over 3 to 4.5 years commencing on June 1, 2006. The fair value assigned to customer arrangements was $36,581 and is being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amortized over seven years commencing on June 1, 2006. The excess of the purchase price over the fair value of the net liabilities and identifiable intangibles acquired, or goodwill, was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$234,737 of which none is tax deductible. During fiscal 2007, within the one-year allocation period, the Company revised the allocation of the purchase price as it obtained more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information and changed its estimates related to certain acquired assets and assumed liabilities. The revised purchase price allocation resulted in a net decrease of $3,718 in goodwill.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 forma financial information</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Set forth below are the unaudited pro forma revenue, operating income, net income and per share figures for the years ended September 30, 2006 as if Cramer had been acquired as of October 1, 2005, excluding the</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700" w:type="dxa"/>
            <w:vAlign w:val="bottom"/>
          </w:tcPr>
          <w:p>
            <w:pPr>
              <w:jc w:val="center"/>
              <w:ind w:left="1233"/>
              <w:spacing w:after="0"/>
              <w:rPr>
                <w:sz w:val="20"/>
                <w:szCs w:val="20"/>
                <w:color w:val="auto"/>
              </w:rPr>
            </w:pPr>
            <w:r>
              <w:rPr>
                <w:rFonts w:ascii="Arial" w:cs="Arial" w:eastAsia="Arial" w:hAnsi="Arial"/>
                <w:sz w:val="13"/>
                <w:szCs w:val="13"/>
                <w:b w:val="1"/>
                <w:bCs w:val="1"/>
                <w:color w:val="auto"/>
              </w:rPr>
              <w:t>AMDOCS LIMITED</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9"/>
        </w:trPr>
        <w:tc>
          <w:tcPr>
            <w:tcW w:w="8700" w:type="dxa"/>
            <w:vAlign w:val="bottom"/>
          </w:tcPr>
          <w:p>
            <w:pPr>
              <w:jc w:val="center"/>
              <w:ind w:left="123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8700" w:type="dxa"/>
            <w:vAlign w:val="bottom"/>
          </w:tcPr>
          <w:p>
            <w:pPr>
              <w:jc w:val="center"/>
              <w:ind w:left="123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3"/>
                <w:szCs w:val="13"/>
                <w:color w:val="auto"/>
              </w:rPr>
              <w:t>capitalization of research and development expense, write-off of purchased in-process research and development and other acquisition related costs: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Year ended</w:t>
            </w:r>
          </w:p>
        </w:tc>
      </w:tr>
      <w:tr>
        <w:trPr>
          <w:trHeight w:val="128"/>
        </w:trPr>
        <w:tc>
          <w:tcPr>
            <w:tcW w:w="8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September 30,</w:t>
            </w:r>
          </w:p>
        </w:tc>
      </w:tr>
      <w:tr>
        <w:trPr>
          <w:trHeight w:val="101"/>
        </w:trPr>
        <w:tc>
          <w:tcPr>
            <w:tcW w:w="87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1040" w:type="dxa"/>
            <w:vAlign w:val="bottom"/>
            <w:tcBorders>
              <w:top w:val="single" w:sz="8" w:color="auto"/>
              <w:bottom w:val="single" w:sz="8" w:color="auto"/>
            </w:tcBorders>
          </w:tcPr>
          <w:p>
            <w:pPr>
              <w:jc w:val="center"/>
              <w:ind w:right="118"/>
              <w:spacing w:after="0" w:line="101" w:lineRule="exact"/>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8"/>
                <w:szCs w:val="8"/>
                <w:color w:val="auto"/>
              </w:rPr>
            </w:pPr>
          </w:p>
        </w:tc>
      </w:tr>
      <w:tr>
        <w:trPr>
          <w:trHeight w:val="30"/>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2,575,703</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321,333</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297,746</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w:t>
            </w:r>
          </w:p>
        </w:tc>
      </w:tr>
    </w:tbl>
    <w:p>
      <w:pPr>
        <w:spacing w:after="0" w:line="80"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Pro forma information regarding the Company’s consolidated statements of income for the years ended September 30, 2007 and 2006 to reflect the SigValue and Qpass acquisitions is not presented, as these acquisitions are not considered material business combinations.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Short-Term Interest-Bearing Investments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Short-term interest-bearing investments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jc w:val="center"/>
              <w:ind w:left="276"/>
              <w:spacing w:after="0"/>
              <w:rPr>
                <w:sz w:val="20"/>
                <w:szCs w:val="20"/>
                <w:color w:val="auto"/>
              </w:rPr>
            </w:pPr>
            <w:r>
              <w:rPr>
                <w:rFonts w:ascii="Arial" w:cs="Arial" w:eastAsia="Arial" w:hAnsi="Arial"/>
                <w:sz w:val="11"/>
                <w:szCs w:val="11"/>
                <w:b w:val="1"/>
                <w:bCs w:val="1"/>
                <w:color w:val="auto"/>
                <w:w w:val="90"/>
              </w:rPr>
              <w:t>Amortized Cost</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left="296"/>
              <w:spacing w:after="0"/>
              <w:rPr>
                <w:sz w:val="20"/>
                <w:szCs w:val="20"/>
                <w:color w:val="auto"/>
              </w:rPr>
            </w:pPr>
            <w:r>
              <w:rPr>
                <w:rFonts w:ascii="Arial" w:cs="Arial" w:eastAsia="Arial" w:hAnsi="Arial"/>
                <w:sz w:val="11"/>
                <w:szCs w:val="11"/>
                <w:b w:val="1"/>
                <w:bCs w:val="1"/>
                <w:color w:val="auto"/>
                <w:w w:val="91"/>
              </w:rPr>
              <w:t>Market Value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5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5"/>
          </w:tcPr>
          <w:p>
            <w:pPr>
              <w:jc w:val="center"/>
              <w:ind w:right="560"/>
              <w:spacing w:after="0"/>
              <w:rPr>
                <w:sz w:val="20"/>
                <w:szCs w:val="20"/>
                <w:color w:val="auto"/>
              </w:rPr>
            </w:pPr>
            <w:r>
              <w:rPr>
                <w:rFonts w:ascii="Arial" w:cs="Arial" w:eastAsia="Arial" w:hAnsi="Arial"/>
                <w:sz w:val="11"/>
                <w:szCs w:val="11"/>
                <w:b w:val="1"/>
                <w:bCs w:val="1"/>
                <w:color w:val="auto"/>
                <w:w w:val="85"/>
              </w:rPr>
              <w:t>As of September 30,</w:t>
            </w:r>
          </w:p>
        </w:tc>
        <w:tc>
          <w:tcPr>
            <w:tcW w:w="160" w:type="dxa"/>
            <w:vAlign w:val="bottom"/>
          </w:tcPr>
          <w:p>
            <w:pPr>
              <w:spacing w:after="0"/>
              <w:rPr>
                <w:sz w:val="11"/>
                <w:szCs w:val="11"/>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86"/>
              </w:rPr>
              <w:t>As of September 30,</w:t>
            </w:r>
          </w:p>
        </w:tc>
      </w:tr>
      <w:tr>
        <w:trPr>
          <w:trHeight w:val="101"/>
        </w:trPr>
        <w:tc>
          <w:tcPr>
            <w:tcW w:w="59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w w:val="97"/>
              </w:rPr>
              <w:t>2007</w:t>
            </w:r>
          </w:p>
        </w:tc>
        <w:tc>
          <w:tcPr>
            <w:tcW w:w="4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treasuries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119,825</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40,546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121,065</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40,990</w:t>
            </w: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U.S. agencies</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112,396</w:t>
            </w:r>
          </w:p>
        </w:tc>
        <w:tc>
          <w:tcPr>
            <w:tcW w:w="2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108,468</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113,250</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109,789</w:t>
            </w: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103,578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111,329</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101,886</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111,273</w:t>
            </w: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Asset backed obligations</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71,651</w:t>
            </w:r>
          </w:p>
        </w:tc>
        <w:tc>
          <w:tcPr>
            <w:tcW w:w="2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155,358</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69,179</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154,646</w:t>
            </w: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Mortgages (including government and corporate)</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66,362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102,128</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58,677</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101,739</w:t>
            </w: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Commercial paper/CD</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61,578</w:t>
            </w:r>
          </w:p>
        </w:tc>
        <w:tc>
          <w:tcPr>
            <w:tcW w:w="2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45,342</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61,471</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45,342</w:t>
            </w: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5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535,390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563,171</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525,528</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563,779</w:t>
            </w:r>
          </w:p>
        </w:tc>
      </w:tr>
      <w:tr>
        <w:trPr>
          <w:trHeight w:val="161"/>
        </w:trPr>
        <w:tc>
          <w:tcPr>
            <w:tcW w:w="5900" w:type="dxa"/>
            <w:vAlign w:val="bottom"/>
          </w:tcPr>
          <w:p>
            <w:pPr>
              <w:spacing w:after="0"/>
              <w:rPr>
                <w:sz w:val="20"/>
                <w:szCs w:val="20"/>
                <w:color w:val="auto"/>
              </w:rPr>
            </w:pPr>
            <w:r>
              <w:rPr>
                <w:rFonts w:ascii="Arial" w:cs="Arial" w:eastAsia="Arial" w:hAnsi="Arial"/>
                <w:sz w:val="13"/>
                <w:szCs w:val="13"/>
                <w:color w:val="auto"/>
              </w:rPr>
              <w:t>Unrealized gain (loss)</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(9,862)</w:t>
            </w:r>
          </w:p>
        </w:tc>
        <w:tc>
          <w:tcPr>
            <w:tcW w:w="2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608</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525,528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563,779</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525,528</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563,779</w:t>
            </w: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The gross unrealized losses related to short-term interest-bearing investments were primarily due to credit market conditions and changes in market prices. The Company has determined that the gross unrealized losses on short-term interest-bearing investments as of September 30, 2008 are temporary in nature. The Company reviews various factors in determining whether it should recognize an impairment charge for its short-term interest-bearing investments, including its intent and ability to hold the investment for a period of time sufficient to allow for any anticipated recovery in market value, the length of time and extent to which the fair value has been less than its cost basis, the credit ratings of the securities and the financial condition and near-term prospects of the issuers. Based on the Company’s considerations of these factors, the other-than-temporary impairment on its short-term interest-bearing investments was immaterial in fiscal years 2008, 2007 and 2006.</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September 30, 2008, short-term interest-bearing investments had the following maturity dates: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w w:val="94"/>
              </w:rPr>
              <w:t>Market Value</w:t>
            </w: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6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center"/>
              <w:ind w:right="73"/>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164,634</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20"/>
                <w:szCs w:val="20"/>
                <w:color w:val="auto"/>
              </w:rPr>
            </w:pPr>
            <w:r>
              <w:rPr>
                <w:rFonts w:ascii="Arial" w:cs="Arial" w:eastAsia="Arial" w:hAnsi="Arial"/>
                <w:sz w:val="13"/>
                <w:szCs w:val="13"/>
                <w:color w:val="auto"/>
              </w:rPr>
              <w:t>2010</w:t>
            </w:r>
          </w:p>
        </w:tc>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164,243</w:t>
            </w:r>
          </w:p>
        </w:tc>
        <w:tc>
          <w:tcPr>
            <w:tcW w:w="0" w:type="dxa"/>
            <w:vAlign w:val="bottom"/>
          </w:tcPr>
          <w:p>
            <w:pPr>
              <w:spacing w:after="0"/>
              <w:rPr>
                <w:sz w:val="1"/>
                <w:szCs w:val="1"/>
                <w:color w:val="auto"/>
              </w:rPr>
            </w:pPr>
          </w:p>
        </w:tc>
      </w:tr>
      <w:tr>
        <w:trPr>
          <w:trHeight w:val="161"/>
        </w:trPr>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6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54,434</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20"/>
                <w:szCs w:val="20"/>
                <w:color w:val="auto"/>
              </w:rPr>
            </w:pPr>
            <w:r>
              <w:rPr>
                <w:rFonts w:ascii="Arial" w:cs="Arial" w:eastAsia="Arial" w:hAnsi="Arial"/>
                <w:sz w:val="13"/>
                <w:szCs w:val="13"/>
                <w:color w:val="auto"/>
              </w:rPr>
              <w:t>2012</w:t>
            </w:r>
          </w:p>
        </w:tc>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20,722</w:t>
            </w:r>
          </w:p>
        </w:tc>
        <w:tc>
          <w:tcPr>
            <w:tcW w:w="0" w:type="dxa"/>
            <w:vAlign w:val="bottom"/>
          </w:tcPr>
          <w:p>
            <w:pPr>
              <w:spacing w:after="0"/>
              <w:rPr>
                <w:sz w:val="1"/>
                <w:szCs w:val="1"/>
                <w:color w:val="auto"/>
              </w:rPr>
            </w:pPr>
          </w:p>
        </w:tc>
      </w:tr>
      <w:tr>
        <w:trPr>
          <w:trHeight w:val="161"/>
        </w:trPr>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6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121,495</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center"/>
              <w:ind w:right="73"/>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525,528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rPr>
              <w:t>Note 5 —</w:t>
            </w:r>
          </w:p>
        </w:tc>
        <w:tc>
          <w:tcPr>
            <w:tcW w:w="69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Accounts Receivable, Net</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0" w:type="dxa"/>
            <w:vAlign w:val="bottom"/>
            <w:vMerge w:val="continue"/>
          </w:tcPr>
          <w:p>
            <w:pPr>
              <w:spacing w:after="0"/>
              <w:rPr>
                <w:sz w:val="24"/>
                <w:szCs w:val="24"/>
                <w:color w:val="auto"/>
              </w:rPr>
            </w:pPr>
          </w:p>
        </w:tc>
        <w:tc>
          <w:tcPr>
            <w:tcW w:w="6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00" w:type="dxa"/>
            <w:vAlign w:val="bottom"/>
            <w:gridSpan w:val="2"/>
          </w:tcPr>
          <w:p>
            <w:pPr>
              <w:ind w:left="400"/>
              <w:spacing w:after="0"/>
              <w:rPr>
                <w:sz w:val="20"/>
                <w:szCs w:val="20"/>
                <w:color w:val="auto"/>
              </w:rPr>
            </w:pPr>
            <w:r>
              <w:rPr>
                <w:rFonts w:ascii="Arial" w:cs="Arial" w:eastAsia="Arial" w:hAnsi="Arial"/>
                <w:sz w:val="13"/>
                <w:szCs w:val="13"/>
                <w:color w:val="auto"/>
              </w:rPr>
              <w:t>Accounts receivable, net consists of the following:</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left="396"/>
              <w:spacing w:after="0"/>
              <w:rPr>
                <w:sz w:val="20"/>
                <w:szCs w:val="20"/>
                <w:color w:val="auto"/>
              </w:rPr>
            </w:pPr>
            <w:r>
              <w:rPr>
                <w:rFonts w:ascii="Arial" w:cs="Arial" w:eastAsia="Arial" w:hAnsi="Arial"/>
                <w:sz w:val="11"/>
                <w:szCs w:val="11"/>
                <w:b w:val="1"/>
                <w:bCs w:val="1"/>
                <w:color w:val="auto"/>
                <w:w w:val="86"/>
              </w:rPr>
              <w:t>As of September 30,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70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rPr>
              <w:t>2008</w:t>
            </w: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 billed</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560,064</w:t>
            </w:r>
          </w:p>
        </w:tc>
        <w:tc>
          <w:tcPr>
            <w:tcW w:w="52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457,393</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3"/>
                <w:szCs w:val="13"/>
                <w:color w:val="auto"/>
              </w:rPr>
              <w:t>Accounts receivable — unbilled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48,264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43,870</w:t>
            </w:r>
          </w:p>
        </w:tc>
        <w:tc>
          <w:tcPr>
            <w:tcW w:w="0" w:type="dxa"/>
            <w:vAlign w:val="bottom"/>
          </w:tcPr>
          <w:p>
            <w:pPr>
              <w:spacing w:after="0"/>
              <w:rPr>
                <w:sz w:val="1"/>
                <w:szCs w:val="1"/>
                <w:color w:val="auto"/>
              </w:rPr>
            </w:pPr>
          </w:p>
        </w:tc>
      </w:tr>
      <w:tr>
        <w:trPr>
          <w:trHeight w:val="161"/>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 allowances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(34,564)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(27,416)</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3"/>
                <w:szCs w:val="13"/>
                <w:color w:val="auto"/>
              </w:rPr>
              <w:t>Accounts receivable, net</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573,764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473,847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rPr>
              <w:t>Note 6 —</w:t>
            </w:r>
          </w:p>
        </w:tc>
        <w:tc>
          <w:tcPr>
            <w:tcW w:w="69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Equipment, Vehicles and Leasehold Improvements, Net</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0" w:type="dxa"/>
            <w:vAlign w:val="bottom"/>
            <w:vMerge w:val="continue"/>
          </w:tcPr>
          <w:p>
            <w:pPr>
              <w:spacing w:after="0"/>
              <w:rPr>
                <w:sz w:val="24"/>
                <w:szCs w:val="24"/>
                <w:color w:val="auto"/>
              </w:rPr>
            </w:pPr>
          </w:p>
        </w:tc>
        <w:tc>
          <w:tcPr>
            <w:tcW w:w="6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00" w:type="dxa"/>
            <w:vAlign w:val="bottom"/>
            <w:gridSpan w:val="2"/>
          </w:tcPr>
          <w:p>
            <w:pPr>
              <w:ind w:left="400"/>
              <w:spacing w:after="0"/>
              <w:rPr>
                <w:sz w:val="20"/>
                <w:szCs w:val="20"/>
                <w:color w:val="auto"/>
              </w:rPr>
            </w:pPr>
            <w:r>
              <w:rPr>
                <w:rFonts w:ascii="Arial" w:cs="Arial" w:eastAsia="Arial" w:hAnsi="Arial"/>
                <w:sz w:val="13"/>
                <w:szCs w:val="13"/>
                <w:color w:val="auto"/>
              </w:rPr>
              <w:t>Components of equipment, vehicles and leasehold improvements, net are: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1"/>
                <w:szCs w:val="11"/>
                <w:b w:val="1"/>
                <w:bCs w:val="1"/>
                <w:color w:val="auto"/>
              </w:rPr>
              <w:t>As of September 30,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70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w w:val="97"/>
              </w:rPr>
              <w:t>2008</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equipment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671,126</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574,294</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3"/>
                <w:szCs w:val="13"/>
                <w:color w:val="auto"/>
              </w:rPr>
              <w:t>Vehicles furnished to employees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3,363</w:t>
            </w:r>
          </w:p>
        </w:tc>
        <w:tc>
          <w:tcPr>
            <w:tcW w:w="0" w:type="dxa"/>
            <w:vAlign w:val="bottom"/>
          </w:tcPr>
          <w:p>
            <w:pPr>
              <w:spacing w:after="0"/>
              <w:rPr>
                <w:sz w:val="1"/>
                <w:szCs w:val="1"/>
                <w:color w:val="auto"/>
              </w:rPr>
            </w:pPr>
          </w:p>
        </w:tc>
      </w:tr>
      <w:tr>
        <w:trPr>
          <w:trHeight w:val="161"/>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144,319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127,707</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51,048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48,814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shd w:val="clear" w:color="auto" w:fill="CCEEFF"/>
          </w:tcPr>
          <w:p>
            <w:pPr>
              <w:spacing w:after="0"/>
              <w:rPr>
                <w:sz w:val="14"/>
                <w:szCs w:val="14"/>
                <w:color w:val="auto"/>
              </w:rPr>
            </w:pPr>
          </w:p>
        </w:tc>
        <w:tc>
          <w:tcPr>
            <w:tcW w:w="6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866,865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754,178</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(549,784)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(470,339)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 w:type="dxa"/>
            <w:vAlign w:val="bottom"/>
            <w:shd w:val="clear" w:color="auto" w:fill="CCEEFF"/>
          </w:tcPr>
          <w:p>
            <w:pPr>
              <w:spacing w:after="0"/>
              <w:rPr>
                <w:sz w:val="14"/>
                <w:szCs w:val="14"/>
                <w:color w:val="auto"/>
              </w:rPr>
            </w:pPr>
          </w:p>
        </w:tc>
        <w:tc>
          <w:tcPr>
            <w:tcW w:w="69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317,081</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283,839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Total depreciation expense on equipment, vehicles and leasehold improvements for fiscal years 2008, 2007 and 2006, was $103,740, $85,916 and $75,964, respectively.</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8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2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120" w:type="dxa"/>
            <w:vAlign w:val="bottom"/>
          </w:tcPr>
          <w:p>
            <w:pPr>
              <w:jc w:val="center"/>
              <w:ind w:left="453"/>
              <w:spacing w:after="0"/>
              <w:rPr>
                <w:sz w:val="20"/>
                <w:szCs w:val="20"/>
                <w:color w:val="auto"/>
              </w:rPr>
            </w:pPr>
            <w:r>
              <w:rPr>
                <w:rFonts w:ascii="Arial" w:cs="Arial" w:eastAsia="Arial" w:hAnsi="Arial"/>
                <w:sz w:val="13"/>
                <w:szCs w:val="13"/>
                <w:b w:val="1"/>
                <w:bCs w:val="1"/>
                <w:color w:val="auto"/>
              </w:rPr>
              <w:t>AMDOCS LIMITED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120" w:type="dxa"/>
            <w:vAlign w:val="bottom"/>
          </w:tcPr>
          <w:p>
            <w:pPr>
              <w:jc w:val="center"/>
              <w:ind w:left="45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20" w:type="dxa"/>
            <w:vAlign w:val="bottom"/>
          </w:tcPr>
          <w:p>
            <w:pPr>
              <w:jc w:val="center"/>
              <w:ind w:left="45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3"/>
        </w:trPr>
        <w:tc>
          <w:tcPr>
            <w:tcW w:w="6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7 —</w:t>
            </w:r>
          </w:p>
        </w:tc>
        <w:tc>
          <w:tcPr>
            <w:tcW w:w="8120" w:type="dxa"/>
            <w:vAlign w:val="bottom"/>
          </w:tcPr>
          <w:p>
            <w:pPr>
              <w:ind w:left="140"/>
              <w:spacing w:after="0"/>
              <w:rPr>
                <w:sz w:val="20"/>
                <w:szCs w:val="20"/>
                <w:color w:val="auto"/>
              </w:rPr>
            </w:pPr>
            <w:r>
              <w:rPr>
                <w:rFonts w:ascii="Arial" w:cs="Arial" w:eastAsia="Arial" w:hAnsi="Arial"/>
                <w:sz w:val="13"/>
                <w:szCs w:val="13"/>
                <w:b w:val="1"/>
                <w:bCs w:val="1"/>
                <w:color w:val="auto"/>
              </w:rPr>
              <w:t>Goodwill and Intangible Assets, Net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80" w:type="dxa"/>
            <w:vAlign w:val="bottom"/>
            <w:gridSpan w:val="2"/>
          </w:tcPr>
          <w:p>
            <w:pPr>
              <w:ind w:left="80"/>
              <w:spacing w:after="0"/>
              <w:rPr>
                <w:sz w:val="20"/>
                <w:szCs w:val="20"/>
                <w:color w:val="auto"/>
              </w:rPr>
            </w:pPr>
            <w:r>
              <w:rPr>
                <w:rFonts w:ascii="Arial" w:cs="Arial" w:eastAsia="Arial" w:hAnsi="Arial"/>
                <w:sz w:val="13"/>
                <w:szCs w:val="13"/>
                <w:color w:val="auto"/>
              </w:rPr>
              <w:t>The following table presents details of the Company’s total goodwill (please also see Note 3 to the consolidated financial statements):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680" w:type="dxa"/>
            <w:vAlign w:val="bottom"/>
          </w:tcPr>
          <w:p>
            <w:pPr>
              <w:spacing w:after="0"/>
              <w:rPr>
                <w:sz w:val="14"/>
                <w:szCs w:val="14"/>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 of October 1, 2006</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1,461,606</w:t>
            </w:r>
          </w:p>
        </w:tc>
        <w:tc>
          <w:tcPr>
            <w:tcW w:w="60" w:type="dxa"/>
            <w:vAlign w:val="bottom"/>
            <w:shd w:val="clear" w:color="auto" w:fill="CCEEFF"/>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800" w:type="dxa"/>
            <w:vAlign w:val="bottom"/>
            <w:gridSpan w:val="3"/>
          </w:tcPr>
          <w:p>
            <w:pPr>
              <w:spacing w:after="0"/>
              <w:rPr>
                <w:sz w:val="20"/>
                <w:szCs w:val="20"/>
                <w:color w:val="auto"/>
              </w:rPr>
            </w:pPr>
            <w:r>
              <w:rPr>
                <w:rFonts w:ascii="Arial" w:cs="Arial" w:eastAsia="Arial" w:hAnsi="Arial"/>
                <w:sz w:val="13"/>
                <w:szCs w:val="13"/>
                <w:color w:val="auto"/>
              </w:rPr>
              <w:t>Goodwill resulted from SigValue acquisition</w:t>
            </w:r>
          </w:p>
        </w:tc>
        <w:tc>
          <w:tcPr>
            <w:tcW w:w="30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28,707</w:t>
            </w:r>
          </w:p>
        </w:tc>
      </w:tr>
      <w:tr>
        <w:trPr>
          <w:trHeight w:val="161"/>
        </w:trPr>
        <w:tc>
          <w:tcPr>
            <w:tcW w:w="680" w:type="dxa"/>
            <w:vAlign w:val="bottom"/>
          </w:tcPr>
          <w:p>
            <w:pPr>
              <w:spacing w:after="0"/>
              <w:rPr>
                <w:sz w:val="14"/>
                <w:szCs w:val="14"/>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Increase in goodwill as a result of additional purchase price in connection with 2005 acquisition</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8,139</w:t>
            </w:r>
          </w:p>
        </w:tc>
        <w:tc>
          <w:tcPr>
            <w:tcW w:w="60" w:type="dxa"/>
            <w:vAlign w:val="bottom"/>
            <w:shd w:val="clear" w:color="auto" w:fill="CCEEFF"/>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800" w:type="dxa"/>
            <w:vAlign w:val="bottom"/>
            <w:gridSpan w:val="3"/>
          </w:tcPr>
          <w:p>
            <w:pPr>
              <w:spacing w:after="0"/>
              <w:rPr>
                <w:sz w:val="20"/>
                <w:szCs w:val="20"/>
                <w:color w:val="auto"/>
              </w:rPr>
            </w:pPr>
            <w:r>
              <w:rPr>
                <w:rFonts w:ascii="Arial" w:cs="Arial" w:eastAsia="Arial" w:hAnsi="Arial"/>
                <w:sz w:val="13"/>
                <w:szCs w:val="13"/>
                <w:color w:val="auto"/>
              </w:rPr>
              <w:t>Decrease in Cramer goodwill as a result of a purchase price allocation adjustments</w:t>
            </w:r>
          </w:p>
        </w:tc>
        <w:tc>
          <w:tcPr>
            <w:tcW w:w="30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(5,783)</w:t>
            </w:r>
          </w:p>
        </w:tc>
      </w:tr>
      <w:tr>
        <w:trPr>
          <w:trHeight w:val="161"/>
        </w:trPr>
        <w:tc>
          <w:tcPr>
            <w:tcW w:w="680" w:type="dxa"/>
            <w:vAlign w:val="bottom"/>
          </w:tcPr>
          <w:p>
            <w:pPr>
              <w:spacing w:after="0"/>
              <w:rPr>
                <w:sz w:val="14"/>
                <w:szCs w:val="14"/>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Decrease in Qpass goodwill as a result of a purchase price allocation adjustments</w:t>
            </w:r>
          </w:p>
        </w:tc>
        <w:tc>
          <w:tcPr>
            <w:tcW w:w="3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(3,718)</w:t>
            </w:r>
          </w:p>
        </w:tc>
      </w:tr>
      <w:tr>
        <w:trPr>
          <w:trHeight w:val="161"/>
        </w:trPr>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Other</w:t>
            </w:r>
          </w:p>
        </w:tc>
        <w:tc>
          <w:tcPr>
            <w:tcW w:w="8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80" w:type="dxa"/>
            <w:vAlign w:val="bottom"/>
            <w:gridSpan w:val="2"/>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 of September 30, 2007</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1,489,132</w:t>
            </w:r>
          </w:p>
        </w:tc>
        <w:tc>
          <w:tcPr>
            <w:tcW w:w="60" w:type="dxa"/>
            <w:vAlign w:val="bottom"/>
            <w:shd w:val="clear" w:color="auto" w:fill="CCEEFF"/>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800" w:type="dxa"/>
            <w:vAlign w:val="bottom"/>
            <w:gridSpan w:val="3"/>
          </w:tcPr>
          <w:p>
            <w:pPr>
              <w:spacing w:after="0"/>
              <w:rPr>
                <w:sz w:val="20"/>
                <w:szCs w:val="20"/>
                <w:color w:val="auto"/>
              </w:rPr>
            </w:pPr>
            <w:r>
              <w:rPr>
                <w:rFonts w:ascii="Arial" w:cs="Arial" w:eastAsia="Arial" w:hAnsi="Arial"/>
                <w:sz w:val="13"/>
                <w:szCs w:val="13"/>
                <w:color w:val="auto"/>
              </w:rPr>
              <w:t>Increase in Cramer goodwill as a result of valuation allowance of pre-existing losses adjustment</w:t>
            </w:r>
          </w:p>
        </w:tc>
        <w:tc>
          <w:tcPr>
            <w:tcW w:w="30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19,653</w:t>
            </w:r>
          </w:p>
        </w:tc>
      </w:tr>
      <w:tr>
        <w:trPr>
          <w:trHeight w:val="161"/>
        </w:trPr>
        <w:tc>
          <w:tcPr>
            <w:tcW w:w="680" w:type="dxa"/>
            <w:vAlign w:val="bottom"/>
          </w:tcPr>
          <w:p>
            <w:pPr>
              <w:spacing w:after="0"/>
              <w:rPr>
                <w:sz w:val="14"/>
                <w:szCs w:val="14"/>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Other(1)</w:t>
            </w:r>
          </w:p>
        </w:tc>
        <w:tc>
          <w:tcPr>
            <w:tcW w:w="8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17,586</w:t>
            </w:r>
          </w:p>
        </w:tc>
      </w:tr>
      <w:tr>
        <w:trPr>
          <w:trHeight w:val="161"/>
        </w:trPr>
        <w:tc>
          <w:tcPr>
            <w:tcW w:w="680" w:type="dxa"/>
            <w:vAlign w:val="bottom"/>
          </w:tcPr>
          <w:p>
            <w:pPr>
              <w:spacing w:after="0"/>
              <w:rPr>
                <w:sz w:val="14"/>
                <w:szCs w:val="14"/>
                <w:color w:val="auto"/>
              </w:rPr>
            </w:pPr>
          </w:p>
        </w:tc>
        <w:tc>
          <w:tcPr>
            <w:tcW w:w="8800" w:type="dxa"/>
            <w:vAlign w:val="bottom"/>
            <w:gridSpan w:val="3"/>
          </w:tcPr>
          <w:p>
            <w:pPr>
              <w:spacing w:after="0"/>
              <w:rPr>
                <w:sz w:val="20"/>
                <w:szCs w:val="20"/>
                <w:color w:val="auto"/>
              </w:rPr>
            </w:pPr>
            <w:r>
              <w:rPr>
                <w:rFonts w:ascii="Arial" w:cs="Arial" w:eastAsia="Arial" w:hAnsi="Arial"/>
                <w:sz w:val="13"/>
                <w:szCs w:val="13"/>
                <w:color w:val="auto"/>
              </w:rPr>
              <w:t>As of September 30, 2008</w:t>
            </w: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1,526,371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(1)  Represents goodwill related primarily to immaterial acquisitions.</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following table presents the amortization expense of the Company’s purchased intangible assets included in each financial statement caption reported in the consolidated statements of income: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101" w:lineRule="exact"/>
              <w:rPr>
                <w:sz w:val="20"/>
                <w:szCs w:val="20"/>
                <w:color w:val="auto"/>
              </w:rPr>
            </w:pPr>
            <w:r>
              <w:rPr>
                <w:rFonts w:ascii="Arial" w:cs="Arial" w:eastAsia="Arial" w:hAnsi="Arial"/>
                <w:sz w:val="11"/>
                <w:szCs w:val="11"/>
                <w:b w:val="1"/>
                <w:bCs w:val="1"/>
                <w:color w:val="auto"/>
              </w:rPr>
              <w:t>2007</w:t>
            </w: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r>
      <w:tr>
        <w:trPr>
          <w:trHeight w:val="30"/>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Cost of license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2,402</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2,620</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Cost of service</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849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purchased intangible assets</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86,687</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74,959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37,610</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87,536</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77,361</w:t>
            </w: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40,230</w:t>
            </w:r>
          </w:p>
        </w:tc>
        <w:tc>
          <w:tcPr>
            <w:tcW w:w="80" w:type="dxa"/>
            <w:vAlign w:val="bottom"/>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309" w:lineRule="auto"/>
        <w:rPr>
          <w:sz w:val="20"/>
          <w:szCs w:val="20"/>
          <w:color w:val="auto"/>
        </w:rPr>
      </w:pPr>
      <w:r>
        <w:rPr>
          <w:rFonts w:ascii="Arial" w:cs="Arial" w:eastAsia="Arial" w:hAnsi="Arial"/>
          <w:sz w:val="12"/>
          <w:szCs w:val="12"/>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details of the Company’s total purchased intangible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Estimated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1"/>
                <w:szCs w:val="11"/>
                <w:b w:val="1"/>
                <w:bCs w:val="1"/>
                <w:color w:val="auto"/>
                <w:w w:val="92"/>
              </w:rPr>
              <w:t>Accumulated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00" w:type="dxa"/>
            <w:vAlign w:val="bottom"/>
            <w:gridSpan w:val="2"/>
          </w:tcPr>
          <w:p>
            <w:pPr>
              <w:jc w:val="right"/>
              <w:ind w:right="520"/>
              <w:spacing w:after="0" w:line="111" w:lineRule="exact"/>
              <w:rPr>
                <w:sz w:val="20"/>
                <w:szCs w:val="20"/>
                <w:color w:val="auto"/>
              </w:rPr>
            </w:pPr>
            <w:r>
              <w:rPr>
                <w:rFonts w:ascii="Arial" w:cs="Arial" w:eastAsia="Arial" w:hAnsi="Arial"/>
                <w:sz w:val="11"/>
                <w:szCs w:val="11"/>
                <w:b w:val="1"/>
                <w:bCs w:val="1"/>
                <w:color w:val="auto"/>
              </w:rPr>
              <w:t>useful life</w:t>
            </w:r>
          </w:p>
        </w:tc>
        <w:tc>
          <w:tcPr>
            <w:tcW w:w="160" w:type="dxa"/>
            <w:vAlign w:val="bottom"/>
          </w:tcPr>
          <w:p>
            <w:pPr>
              <w:spacing w:after="0"/>
              <w:rPr>
                <w:sz w:val="9"/>
                <w:szCs w:val="9"/>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(in years)</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5"/>
              </w:rPr>
              <w:t>Amortization</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2008</w:t>
            </w: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Core technology</w:t>
            </w:r>
          </w:p>
        </w:tc>
        <w:tc>
          <w:tcPr>
            <w:tcW w:w="2720" w:type="dxa"/>
            <w:vAlign w:val="bottom"/>
            <w:gridSpan w:val="3"/>
          </w:tcPr>
          <w:p>
            <w:pPr>
              <w:jc w:val="right"/>
              <w:ind w:right="400"/>
              <w:spacing w:after="0"/>
              <w:rPr>
                <w:sz w:val="20"/>
                <w:szCs w:val="20"/>
                <w:color w:val="auto"/>
              </w:rPr>
            </w:pPr>
            <w:r>
              <w:rPr>
                <w:rFonts w:ascii="Arial" w:cs="Arial" w:eastAsia="Arial" w:hAnsi="Arial"/>
                <w:sz w:val="13"/>
                <w:szCs w:val="13"/>
                <w:color w:val="auto"/>
              </w:rPr>
              <w:t>3-7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290,648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80"/>
              <w:spacing w:after="0"/>
              <w:rPr>
                <w:sz w:val="20"/>
                <w:szCs w:val="20"/>
                <w:color w:val="auto"/>
              </w:rPr>
            </w:pPr>
            <w:r>
              <w:rPr>
                <w:rFonts w:ascii="Arial" w:cs="Arial" w:eastAsia="Arial" w:hAnsi="Arial"/>
                <w:sz w:val="13"/>
                <w:szCs w:val="13"/>
                <w:color w:val="auto"/>
              </w:rPr>
              <w:t>(175,989)</w:t>
            </w:r>
          </w:p>
        </w:tc>
        <w:tc>
          <w:tcPr>
            <w:tcW w:w="480" w:type="dxa"/>
            <w:vAlign w:val="bottom"/>
            <w:gridSpan w:val="2"/>
          </w:tcPr>
          <w:p>
            <w:pPr>
              <w:jc w:val="center"/>
              <w:ind w:left="17"/>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114,659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2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267,938</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(123,734)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144,204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2720" w:type="dxa"/>
            <w:vAlign w:val="bottom"/>
            <w:gridSpan w:val="3"/>
          </w:tcPr>
          <w:p>
            <w:pPr>
              <w:jc w:val="right"/>
              <w:ind w:right="40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51,996</w:t>
            </w:r>
          </w:p>
        </w:tc>
        <w:tc>
          <w:tcPr>
            <w:tcW w:w="1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3"/>
                <w:szCs w:val="13"/>
                <w:color w:val="auto"/>
              </w:rPr>
              <w:t>(51,996)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15,407</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(3,719)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Total</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625,989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(355,438)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270,551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0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September 30, 2007</w:t>
            </w:r>
          </w:p>
        </w:tc>
        <w:tc>
          <w:tcPr>
            <w:tcW w:w="1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Core technology</w:t>
            </w:r>
          </w:p>
        </w:tc>
        <w:tc>
          <w:tcPr>
            <w:tcW w:w="2720" w:type="dxa"/>
            <w:vAlign w:val="bottom"/>
            <w:gridSpan w:val="3"/>
          </w:tcPr>
          <w:p>
            <w:pPr>
              <w:jc w:val="right"/>
              <w:ind w:right="400"/>
              <w:spacing w:after="0"/>
              <w:rPr>
                <w:sz w:val="20"/>
                <w:szCs w:val="20"/>
                <w:color w:val="auto"/>
              </w:rPr>
            </w:pPr>
            <w:r>
              <w:rPr>
                <w:rFonts w:ascii="Arial" w:cs="Arial" w:eastAsia="Arial" w:hAnsi="Arial"/>
                <w:sz w:val="13"/>
                <w:szCs w:val="13"/>
                <w:color w:val="auto"/>
              </w:rPr>
              <w:t>3-5</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263,790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80"/>
              <w:spacing w:after="0"/>
              <w:rPr>
                <w:sz w:val="20"/>
                <w:szCs w:val="20"/>
                <w:color w:val="auto"/>
              </w:rPr>
            </w:pPr>
            <w:r>
              <w:rPr>
                <w:rFonts w:ascii="Arial" w:cs="Arial" w:eastAsia="Arial" w:hAnsi="Arial"/>
                <w:sz w:val="13"/>
                <w:szCs w:val="13"/>
                <w:color w:val="auto"/>
              </w:rPr>
              <w:t>(126,095)</w:t>
            </w:r>
          </w:p>
        </w:tc>
        <w:tc>
          <w:tcPr>
            <w:tcW w:w="480" w:type="dxa"/>
            <w:vAlign w:val="bottom"/>
            <w:gridSpan w:val="2"/>
          </w:tcPr>
          <w:p>
            <w:pPr>
              <w:jc w:val="center"/>
              <w:ind w:left="17"/>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137,695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2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252,930</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(88,440)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164,490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2720" w:type="dxa"/>
            <w:vAlign w:val="bottom"/>
            <w:gridSpan w:val="3"/>
          </w:tcPr>
          <w:p>
            <w:pPr>
              <w:jc w:val="right"/>
              <w:ind w:right="40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51,996</w:t>
            </w:r>
          </w:p>
        </w:tc>
        <w:tc>
          <w:tcPr>
            <w:tcW w:w="1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3"/>
                <w:szCs w:val="13"/>
                <w:color w:val="auto"/>
              </w:rPr>
              <w:t>(51,996)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2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2,642</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(1,371)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Total</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571,358</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(267,902)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303,456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0" w:type="dxa"/>
            <w:vAlign w:val="bottom"/>
            <w:gridSpan w:val="4"/>
            <w:vMerge w:val="restart"/>
          </w:tcPr>
          <w:p>
            <w:pPr>
              <w:ind w:left="400"/>
              <w:spacing w:after="0"/>
              <w:rPr>
                <w:sz w:val="20"/>
                <w:szCs w:val="20"/>
                <w:color w:val="auto"/>
              </w:rPr>
            </w:pPr>
            <w:r>
              <w:rPr>
                <w:rFonts w:ascii="Arial" w:cs="Arial" w:eastAsia="Arial" w:hAnsi="Arial"/>
                <w:sz w:val="13"/>
                <w:szCs w:val="13"/>
                <w:color w:val="auto"/>
                <w:w w:val="97"/>
              </w:rPr>
              <w:t>The estimated future amortization expense of purchased intangible assets as of September 30, 2008 is as follows: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 w:type="dxa"/>
            <w:vAlign w:val="bottom"/>
          </w:tcPr>
          <w:p>
            <w:pPr>
              <w:spacing w:after="0"/>
              <w:rPr>
                <w:sz w:val="20"/>
                <w:szCs w:val="20"/>
                <w:color w:val="auto"/>
              </w:rPr>
            </w:pPr>
          </w:p>
        </w:tc>
        <w:tc>
          <w:tcPr>
            <w:tcW w:w="680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center"/>
              <w:ind w:left="37"/>
              <w:spacing w:after="0"/>
              <w:rPr>
                <w:sz w:val="20"/>
                <w:szCs w:val="20"/>
                <w:color w:val="auto"/>
              </w:rPr>
            </w:pPr>
            <w:r>
              <w:rPr>
                <w:rFonts w:ascii="Arial" w:cs="Arial" w:eastAsia="Arial" w:hAnsi="Arial"/>
                <w:sz w:val="11"/>
                <w:szCs w:val="11"/>
                <w:b w:val="1"/>
                <w:bCs w:val="1"/>
                <w:color w:val="auto"/>
                <w:w w:val="91"/>
              </w:rPr>
              <w:t>Amount</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w:t>
            </w: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2009</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78,902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67,446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2011</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45,903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2013</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14,829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41,644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Total</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270,551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20" w:type="dxa"/>
            <w:vAlign w:val="bottom"/>
            <w:gridSpan w:val="3"/>
            <w:vMerge w:val="restart"/>
          </w:tcPr>
          <w:p>
            <w:pPr>
              <w:jc w:val="right"/>
              <w:ind w:right="1680"/>
              <w:spacing w:after="0"/>
              <w:rPr>
                <w:sz w:val="20"/>
                <w:szCs w:val="20"/>
                <w:color w:val="auto"/>
              </w:rPr>
            </w:pPr>
            <w:r>
              <w:rPr>
                <w:rFonts w:ascii="Arial" w:cs="Arial" w:eastAsia="Arial" w:hAnsi="Arial"/>
                <w:sz w:val="13"/>
                <w:szCs w:val="13"/>
                <w:color w:val="auto"/>
              </w:rPr>
              <w:t>F-24</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2"/>
          </w:tcPr>
          <w:p>
            <w:pPr>
              <w:jc w:val="center"/>
              <w:ind w:left="2373"/>
              <w:spacing w:after="0"/>
              <w:rPr>
                <w:sz w:val="20"/>
                <w:szCs w:val="20"/>
                <w:color w:val="auto"/>
              </w:rPr>
            </w:pPr>
            <w:r>
              <w:rPr>
                <w:rFonts w:ascii="Arial" w:cs="Arial" w:eastAsia="Arial" w:hAnsi="Arial"/>
                <w:sz w:val="13"/>
                <w:szCs w:val="13"/>
                <w:b w:val="1"/>
                <w:bCs w:val="1"/>
                <w:color w:val="auto"/>
              </w:rPr>
              <w:t>AMDOCS LIMITED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80" w:type="dxa"/>
            <w:vAlign w:val="bottom"/>
            <w:gridSpan w:val="4"/>
          </w:tcPr>
          <w:p>
            <w:pPr>
              <w:jc w:val="center"/>
              <w:ind w:left="169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0" w:type="dxa"/>
            <w:vAlign w:val="bottom"/>
            <w:gridSpan w:val="2"/>
          </w:tcPr>
          <w:p>
            <w:pPr>
              <w:jc w:val="center"/>
              <w:ind w:left="237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6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8 —</w:t>
            </w:r>
          </w:p>
        </w:tc>
        <w:tc>
          <w:tcPr>
            <w:tcW w:w="62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 Noncurrent Assets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560" w:type="dxa"/>
            <w:vAlign w:val="bottom"/>
            <w:gridSpan w:val="3"/>
          </w:tcPr>
          <w:p>
            <w:pPr>
              <w:ind w:left="80"/>
              <w:spacing w:after="0"/>
              <w:rPr>
                <w:sz w:val="20"/>
                <w:szCs w:val="20"/>
                <w:color w:val="auto"/>
              </w:rPr>
            </w:pPr>
            <w:r>
              <w:rPr>
                <w:rFonts w:ascii="Arial" w:cs="Arial" w:eastAsia="Arial" w:hAnsi="Arial"/>
                <w:sz w:val="13"/>
                <w:szCs w:val="13"/>
                <w:color w:val="auto"/>
              </w:rPr>
              <w:t>Other noncurrent assets consist of the following:</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Funded employee benefit costs(1)</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115,874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87,938</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80" w:type="dxa"/>
            <w:vAlign w:val="bottom"/>
            <w:gridSpan w:val="4"/>
          </w:tcPr>
          <w:p>
            <w:pPr>
              <w:spacing w:after="0"/>
              <w:rPr>
                <w:sz w:val="20"/>
                <w:szCs w:val="20"/>
                <w:color w:val="auto"/>
              </w:rPr>
            </w:pPr>
            <w:r>
              <w:rPr>
                <w:rFonts w:ascii="Arial" w:cs="Arial" w:eastAsia="Arial" w:hAnsi="Arial"/>
                <w:sz w:val="13"/>
                <w:szCs w:val="13"/>
                <w:color w:val="auto"/>
              </w:rPr>
              <w:t>Managed services deferred costs(2)</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81,402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70,438</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Long term accounts receivable-unbilled</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47,055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20,322</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80" w:type="dxa"/>
            <w:vAlign w:val="bottom"/>
            <w:gridSpan w:val="4"/>
          </w:tcPr>
          <w:p>
            <w:pPr>
              <w:spacing w:after="0"/>
              <w:rPr>
                <w:sz w:val="20"/>
                <w:szCs w:val="20"/>
                <w:color w:val="auto"/>
              </w:rPr>
            </w:pPr>
            <w:r>
              <w:rPr>
                <w:rFonts w:ascii="Arial" w:cs="Arial" w:eastAsia="Arial" w:hAnsi="Arial"/>
                <w:sz w:val="13"/>
                <w:szCs w:val="13"/>
                <w:color w:val="auto"/>
              </w:rPr>
              <w:t>Prepaid maintenance and other</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7,231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10,733</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Rent and other deposits</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8,146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8,372</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Other</w:t>
            </w: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12,592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8,863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272,300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206,666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0" w:type="dxa"/>
            <w:vAlign w:val="bottom"/>
            <w:gridSpan w:val="2"/>
            <w:vMerge w:val="restart"/>
          </w:tcPr>
          <w:p>
            <w:pPr>
              <w:ind w:left="280"/>
              <w:spacing w:after="0"/>
              <w:rPr>
                <w:sz w:val="20"/>
                <w:szCs w:val="20"/>
                <w:color w:val="auto"/>
              </w:rPr>
            </w:pPr>
            <w:r>
              <w:rPr>
                <w:rFonts w:ascii="Arial" w:cs="Arial" w:eastAsia="Arial" w:hAnsi="Arial"/>
                <w:sz w:val="13"/>
                <w:szCs w:val="13"/>
                <w:color w:val="auto"/>
              </w:rPr>
              <w:t>(1)  Please see Note 15 to the consolidated financial statements.</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0" w:type="dxa"/>
            <w:vAlign w:val="bottom"/>
            <w:gridSpan w:val="2"/>
          </w:tcPr>
          <w:p>
            <w:pPr>
              <w:ind w:left="280"/>
              <w:spacing w:after="0"/>
              <w:rPr>
                <w:sz w:val="20"/>
                <w:szCs w:val="20"/>
                <w:color w:val="auto"/>
              </w:rPr>
            </w:pPr>
            <w:r>
              <w:rPr>
                <w:rFonts w:ascii="Arial" w:cs="Arial" w:eastAsia="Arial" w:hAnsi="Arial"/>
                <w:sz w:val="13"/>
                <w:szCs w:val="13"/>
                <w:color w:val="auto"/>
              </w:rPr>
              <w:t>(2)  Please see Note 2 to the consolidated financial statements.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9 —</w:t>
            </w:r>
          </w:p>
        </w:tc>
        <w:tc>
          <w:tcPr>
            <w:tcW w:w="6200" w:type="dxa"/>
            <w:vAlign w:val="bottom"/>
            <w:gridSpan w:val="2"/>
          </w:tcPr>
          <w:p>
            <w:pPr>
              <w:ind w:left="140"/>
              <w:spacing w:after="0"/>
              <w:rPr>
                <w:sz w:val="20"/>
                <w:szCs w:val="20"/>
                <w:color w:val="auto"/>
              </w:rPr>
            </w:pPr>
            <w:r>
              <w:rPr>
                <w:rFonts w:ascii="Arial" w:cs="Arial" w:eastAsia="Arial" w:hAnsi="Arial"/>
                <w:sz w:val="13"/>
                <w:szCs w:val="13"/>
                <w:b w:val="1"/>
                <w:bCs w:val="1"/>
                <w:color w:val="auto"/>
              </w:rPr>
              <w:t>Income Taxes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560" w:type="dxa"/>
            <w:vAlign w:val="bottom"/>
            <w:gridSpan w:val="3"/>
          </w:tcPr>
          <w:p>
            <w:pPr>
              <w:ind w:left="80"/>
              <w:spacing w:after="0"/>
              <w:rPr>
                <w:sz w:val="20"/>
                <w:szCs w:val="20"/>
                <w:color w:val="auto"/>
              </w:rPr>
            </w:pPr>
            <w:r>
              <w:rPr>
                <w:rFonts w:ascii="Arial" w:cs="Arial" w:eastAsia="Arial" w:hAnsi="Arial"/>
                <w:sz w:val="13"/>
                <w:szCs w:val="13"/>
                <w:color w:val="auto"/>
              </w:rPr>
              <w:t>The provision (benefit) for income taxes consists of the following:</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1"/>
                <w:szCs w:val="11"/>
                <w:b w:val="1"/>
                <w:bCs w:val="1"/>
                <w:color w:val="auto"/>
                <w:w w:val="87"/>
              </w:rPr>
              <w:t>Year ended September 30,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2008</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16"/>
              <w:spacing w:after="0" w:line="101" w:lineRule="exact"/>
              <w:rPr>
                <w:sz w:val="20"/>
                <w:szCs w:val="20"/>
                <w:color w:val="auto"/>
              </w:rPr>
            </w:pPr>
            <w:r>
              <w:rPr>
                <w:rFonts w:ascii="Arial" w:cs="Arial" w:eastAsia="Arial" w:hAnsi="Arial"/>
                <w:sz w:val="11"/>
                <w:szCs w:val="11"/>
                <w:b w:val="1"/>
                <w:bCs w:val="1"/>
                <w:color w:val="auto"/>
              </w:rPr>
              <w:t>2007</w:t>
            </w:r>
          </w:p>
        </w:tc>
        <w:tc>
          <w:tcPr>
            <w:tcW w:w="1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6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36,341</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66,780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42,290</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2,304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3"/>
                <w:szCs w:val="13"/>
                <w:color w:val="auto"/>
              </w:rPr>
              <w:t>(23,718)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12,947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38,645</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43,062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55,237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are comprised of the following components: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1"/>
                <w:szCs w:val="11"/>
                <w:b w:val="1"/>
                <w:bCs w:val="1"/>
                <w:color w:val="auto"/>
                <w:w w:val="86"/>
              </w:rPr>
              <w:t>As of September 30,</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36"/>
              <w:spacing w:after="0" w:line="101" w:lineRule="exact"/>
              <w:rPr>
                <w:sz w:val="20"/>
                <w:szCs w:val="20"/>
                <w:color w:val="auto"/>
              </w:rPr>
            </w:pPr>
            <w:r>
              <w:rPr>
                <w:rFonts w:ascii="Arial" w:cs="Arial" w:eastAsia="Arial" w:hAnsi="Arial"/>
                <w:sz w:val="11"/>
                <w:szCs w:val="11"/>
                <w:b w:val="1"/>
                <w:bCs w:val="1"/>
                <w:color w:val="auto"/>
              </w:rPr>
              <w:t>2008</w:t>
            </w: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2007</w:t>
            </w: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4"/>
          </w:tcPr>
          <w:p>
            <w:pPr>
              <w:jc w:val="right"/>
              <w:ind w:right="280"/>
              <w:spacing w:after="0"/>
              <w:rPr>
                <w:sz w:val="20"/>
                <w:szCs w:val="20"/>
                <w:color w:val="auto"/>
              </w:rPr>
            </w:pPr>
            <w:r>
              <w:rPr>
                <w:rFonts w:ascii="Arial" w:cs="Arial" w:eastAsia="Arial" w:hAnsi="Arial"/>
                <w:sz w:val="13"/>
                <w:szCs w:val="13"/>
                <w:color w:val="auto"/>
              </w:rPr>
              <w:t>13,905</w:t>
            </w:r>
          </w:p>
        </w:tc>
        <w:tc>
          <w:tcPr>
            <w:tcW w:w="50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22,766</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employee costs</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56,780</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52,544</w:t>
            </w: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Equipment, vehicles and leasehold improvements, net</w:t>
            </w:r>
          </w:p>
        </w:tc>
        <w:tc>
          <w:tcPr>
            <w:tcW w:w="200" w:type="dxa"/>
            <w:vAlign w:val="bottom"/>
          </w:tcPr>
          <w:p>
            <w:pPr>
              <w:spacing w:after="0"/>
              <w:rPr>
                <w:sz w:val="14"/>
                <w:szCs w:val="1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3"/>
                <w:szCs w:val="13"/>
                <w:color w:val="auto"/>
              </w:rPr>
              <w:t>2,544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12,371</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26,692</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19,886</w:t>
            </w: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200" w:type="dxa"/>
            <w:vAlign w:val="bottom"/>
          </w:tcPr>
          <w:p>
            <w:pPr>
              <w:spacing w:after="0"/>
              <w:rPr>
                <w:sz w:val="14"/>
                <w:szCs w:val="1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3"/>
                <w:szCs w:val="13"/>
                <w:color w:val="auto"/>
              </w:rPr>
              <w:t>160,140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122,969</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68,291</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80,101</w:t>
            </w: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Total deferred tax assets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328,352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310,637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Valuation allowances</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(76,481)</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(33,251)</w:t>
            </w: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rPr>
                <w:sz w:val="20"/>
                <w:szCs w:val="20"/>
                <w:color w:val="auto"/>
              </w:rPr>
            </w:pPr>
            <w:r>
              <w:rPr>
                <w:rFonts w:ascii="Arial" w:cs="Arial" w:eastAsia="Arial" w:hAnsi="Arial"/>
                <w:sz w:val="13"/>
                <w:szCs w:val="13"/>
                <w:color w:val="auto"/>
              </w:rPr>
              <w:t>Total deferred tax assets, net</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251,871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277,386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Anticipated withholdings on subsidiaries’ earnings</w:t>
            </w:r>
          </w:p>
        </w:tc>
        <w:tc>
          <w:tcPr>
            <w:tcW w:w="200" w:type="dxa"/>
            <w:vAlign w:val="bottom"/>
          </w:tcPr>
          <w:p>
            <w:pPr>
              <w:spacing w:after="0"/>
              <w:rPr>
                <w:sz w:val="14"/>
                <w:szCs w:val="14"/>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3"/>
                <w:szCs w:val="13"/>
                <w:color w:val="auto"/>
              </w:rPr>
              <w:t>(47,029)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(50,618)</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vehicles and leasehold improvements, net</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(4,573)</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(3,817)</w:t>
            </w: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200" w:type="dxa"/>
            <w:vAlign w:val="bottom"/>
          </w:tcPr>
          <w:p>
            <w:pPr>
              <w:spacing w:after="0"/>
              <w:rPr>
                <w:sz w:val="14"/>
                <w:szCs w:val="14"/>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3"/>
                <w:szCs w:val="13"/>
                <w:color w:val="auto"/>
              </w:rPr>
              <w:t>(103,944)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(102,603)</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Managed services costs</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(16,097)</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(16,086)</w:t>
            </w:r>
          </w:p>
        </w:tc>
        <w:tc>
          <w:tcPr>
            <w:tcW w:w="0" w:type="dxa"/>
            <w:vAlign w:val="bottom"/>
          </w:tcPr>
          <w:p>
            <w:pPr>
              <w:spacing w:after="0"/>
              <w:rPr>
                <w:sz w:val="1"/>
                <w:szCs w:val="1"/>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4"/>
                <w:szCs w:val="14"/>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3"/>
                <w:szCs w:val="13"/>
                <w:color w:val="auto"/>
              </w:rPr>
              <w:t>(22,034)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(12,752)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(193,677)</w:t>
            </w:r>
          </w:p>
        </w:tc>
        <w:tc>
          <w:tcPr>
            <w:tcW w:w="22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(185,876)</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58,194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91,510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0"/>
              <w:spacing w:after="0"/>
              <w:rPr>
                <w:sz w:val="20"/>
                <w:szCs w:val="20"/>
                <w:color w:val="auto"/>
              </w:rPr>
            </w:pPr>
            <w:r>
              <w:rPr>
                <w:rFonts w:ascii="Arial" w:cs="Arial" w:eastAsia="Arial" w:hAnsi="Arial"/>
                <w:sz w:val="13"/>
                <w:szCs w:val="13"/>
                <w:color w:val="auto"/>
              </w:rPr>
              <w:t>The effective income tax rate varied from the statutory Guernsey tax rate as follows:</w:t>
            </w: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7"/>
          </w:tcPr>
          <w:p>
            <w:pPr>
              <w:jc w:val="center"/>
              <w:ind w:right="400"/>
              <w:spacing w:after="0"/>
              <w:rPr>
                <w:sz w:val="20"/>
                <w:szCs w:val="20"/>
                <w:color w:val="auto"/>
              </w:rPr>
            </w:pPr>
            <w:r>
              <w:rPr>
                <w:rFonts w:ascii="Arial" w:cs="Arial" w:eastAsia="Arial" w:hAnsi="Arial"/>
                <w:sz w:val="11"/>
                <w:szCs w:val="11"/>
                <w:b w:val="1"/>
                <w:bCs w:val="1"/>
                <w:color w:val="auto"/>
                <w:w w:val="87"/>
              </w:rPr>
              <w:t>Year ended September 30,</w:t>
            </w:r>
          </w:p>
        </w:tc>
        <w:tc>
          <w:tcPr>
            <w:tcW w:w="0" w:type="dxa"/>
            <w:vAlign w:val="bottom"/>
          </w:tcPr>
          <w:p>
            <w:pPr>
              <w:spacing w:after="0"/>
              <w:rPr>
                <w:sz w:val="1"/>
                <w:szCs w:val="1"/>
                <w:color w:val="auto"/>
              </w:rPr>
            </w:pPr>
          </w:p>
        </w:tc>
      </w:tr>
      <w:tr>
        <w:trPr>
          <w:trHeight w:val="101"/>
        </w:trPr>
        <w:tc>
          <w:tcPr>
            <w:tcW w:w="7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2008</w:t>
            </w:r>
          </w:p>
        </w:tc>
        <w:tc>
          <w:tcPr>
            <w:tcW w:w="2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2007</w:t>
            </w:r>
          </w:p>
        </w:tc>
        <w:tc>
          <w:tcPr>
            <w:tcW w:w="2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Statutory Guernsey tax rate</w:t>
            </w:r>
          </w:p>
        </w:tc>
        <w:tc>
          <w:tcPr>
            <w:tcW w:w="2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66"/>
              <w:spacing w:after="0"/>
              <w:rPr>
                <w:sz w:val="20"/>
                <w:szCs w:val="20"/>
                <w:color w:val="auto"/>
              </w:rPr>
            </w:pPr>
            <w:r>
              <w:rPr>
                <w:rFonts w:ascii="Arial" w:cs="Arial" w:eastAsia="Arial" w:hAnsi="Arial"/>
                <w:sz w:val="13"/>
                <w:szCs w:val="13"/>
                <w:color w:val="auto"/>
              </w:rPr>
              <w:t>0%</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20%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Guernsey tax-exempt status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93"/>
              <w:spacing w:after="0"/>
              <w:rPr>
                <w:sz w:val="20"/>
                <w:szCs w:val="20"/>
                <w:color w:val="auto"/>
              </w:rPr>
            </w:pPr>
            <w:r>
              <w:rPr>
                <w:rFonts w:ascii="Arial" w:cs="Arial" w:eastAsia="Arial" w:hAnsi="Arial"/>
                <w:sz w:val="13"/>
                <w:szCs w:val="13"/>
                <w:color w:val="auto"/>
              </w:rPr>
              <w:t>(20)</w:t>
            </w: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Foreign taxes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2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gridSpan w:val="2"/>
          </w:tcPr>
          <w:p>
            <w:pPr>
              <w:jc w:val="right"/>
              <w:ind w:right="66"/>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4"/>
                <w:szCs w:val="14"/>
                <w:color w:val="auto"/>
              </w:rPr>
            </w:pPr>
          </w:p>
        </w:tc>
        <w:tc>
          <w:tcPr>
            <w:tcW w:w="500" w:type="dxa"/>
            <w:vAlign w:val="bottom"/>
            <w:gridSpan w:val="2"/>
          </w:tcPr>
          <w:p>
            <w:pPr>
              <w:jc w:val="right"/>
              <w:ind w:right="33"/>
              <w:spacing w:after="0"/>
              <w:rPr>
                <w:sz w:val="20"/>
                <w:szCs w:val="20"/>
                <w:color w:val="auto"/>
              </w:rPr>
            </w:pPr>
            <w:r>
              <w:rPr>
                <w:rFonts w:ascii="Arial" w:cs="Arial" w:eastAsia="Arial" w:hAnsi="Arial"/>
                <w:sz w:val="13"/>
                <w:szCs w:val="13"/>
                <w:color w:val="auto"/>
              </w:rPr>
              <w:t>11%</w:t>
            </w:r>
          </w:p>
        </w:tc>
        <w:tc>
          <w:tcPr>
            <w:tcW w:w="300" w:type="dxa"/>
            <w:vAlign w:val="bottom"/>
            <w:vMerge w:val="continue"/>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As a Guernsey company subject to a corporate tax rate of zero percent, the Company’s overall effective tax rate is attributable to foreign taxes. Tax legislation recently enacted in Guernsey with effect from January 1, 2008 repealed the exemption that the Company previously utilized, and subjects the Company to a corporate tax rate of zero percent, which has not affected the Company’s overall effective tax rate.</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During fiscal 2008, the net increase in valuation allowances was $43,230, which related to the uncertainty of realizing tax benefits primarily for net capital and operating loss carryforwards related to certain of its subsidiaries. When realization of the tax benefits associated with such losses is deemed more likely than not, the valuation allowance will be released through income taxes or through goodwill when it relates to a business combination.</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The period before which $4,449 of these loss carryforwards expires is up to 20 years and the remainder of the losses do not expire. The Company recorded $26,208 of the valuation allowance in connection with fiscal 2006 and 2008 acquisitions. During fiscal 2008, the Company recorded a deferred tax asset for carryforward losses relating to one of its subsidiaries as the statute of limitation related to the fiscal years in which these losses had occurred lapsed. This deferred tax asset was partially offset by a valuation allowance.</w:t>
      </w:r>
    </w:p>
    <w:p>
      <w:pPr>
        <w:spacing w:after="0" w:line="41"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During fiscal 2007, the net change in valuation allowances was $3,916, which related to the uncertainty of realizing tax benefits for net capital and operating loss carryforwards related to certain of its subsidiaries. When realization of the tax benefits associated with such net capital and operating losses is deemed more likely than not, the valuation allowance will be released through income taxes or through goodwill when it relates to a business combination. The period of $5,745 of these loss carryforwards is up to 20 years and the remainder of the losses do not expire. The Company recorded $5,667 of the valuation allowance in connection with fiscal 2006 acquisitions. During fiscal 2007, the Company released certain valuation allowances in connection with the Company’s estimation that carryforward losses related to one of its subsidiaries will be realized through future taxable earnings. The decrease in the valuation allowance was partially offset by an increase in tax reserves for this same subsidiary.</w:t>
      </w:r>
    </w:p>
    <w:p>
      <w:pPr>
        <w:spacing w:after="0" w:line="51"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On October 1, 2007, the Company adopted FIN No. 48 which prescribes a comprehensive model for the financial statement recognition, measurement, classification and disclosure of uncertain tax positions. The adoption of FIN No. 48 did not result in a change to the Company’s retained earnings. The total amount of gross unrecognized tax benefits as of the date of adoption, which includes interest and penalties, was $108,929, of which $105,473 would affect the Company’s effective tax rate if realized. The Company historically classified unrecognized tax benefits in current income taxes payable. In implementing FIN No. 48, the Company has reclassified unrecognized tax benefits for which the Company does not anticipate making payment within one year to long-term income taxes payable.</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91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were as follows: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01"/>
        </w:trPr>
        <w:tc>
          <w:tcPr>
            <w:tcW w:w="9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9100" w:type="dxa"/>
            <w:vAlign w:val="bottom"/>
            <w:shd w:val="clear" w:color="auto" w:fill="CCEEFF"/>
          </w:tcPr>
          <w:p>
            <w:pPr>
              <w:spacing w:after="0"/>
              <w:rPr>
                <w:sz w:val="20"/>
                <w:szCs w:val="20"/>
                <w:color w:val="auto"/>
              </w:rPr>
            </w:pPr>
            <w:r>
              <w:rPr>
                <w:rFonts w:ascii="Arial" w:cs="Arial" w:eastAsia="Arial" w:hAnsi="Arial"/>
                <w:sz w:val="13"/>
                <w:szCs w:val="13"/>
                <w:color w:val="auto"/>
              </w:rPr>
              <w:t>Balance at October 1, 2007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108,929</w:t>
            </w:r>
          </w:p>
        </w:tc>
        <w:tc>
          <w:tcPr>
            <w:tcW w:w="60" w:type="dxa"/>
            <w:vAlign w:val="bottom"/>
            <w:shd w:val="clear" w:color="auto" w:fill="CCEEFF"/>
          </w:tcPr>
          <w:p>
            <w:pPr>
              <w:spacing w:after="0"/>
              <w:rPr>
                <w:sz w:val="14"/>
                <w:szCs w:val="14"/>
                <w:color w:val="auto"/>
              </w:rPr>
            </w:pPr>
          </w:p>
        </w:tc>
      </w:tr>
      <w:tr>
        <w:trPr>
          <w:trHeight w:val="161"/>
        </w:trPr>
        <w:tc>
          <w:tcPr>
            <w:tcW w:w="91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year</w:t>
            </w:r>
          </w:p>
        </w:tc>
        <w:tc>
          <w:tcPr>
            <w:tcW w:w="2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19,280</w:t>
            </w:r>
          </w:p>
        </w:tc>
        <w:tc>
          <w:tcPr>
            <w:tcW w:w="60" w:type="dxa"/>
            <w:vAlign w:val="bottom"/>
          </w:tcPr>
          <w:p>
            <w:pPr>
              <w:spacing w:after="0"/>
              <w:rPr>
                <w:sz w:val="14"/>
                <w:szCs w:val="14"/>
                <w:color w:val="auto"/>
              </w:rPr>
            </w:pPr>
          </w:p>
        </w:tc>
      </w:tr>
      <w:tr>
        <w:trPr>
          <w:trHeight w:val="161"/>
        </w:trPr>
        <w:tc>
          <w:tcPr>
            <w:tcW w:w="9100" w:type="dxa"/>
            <w:vAlign w:val="bottom"/>
            <w:shd w:val="clear" w:color="auto" w:fill="CCEEFF"/>
          </w:tcPr>
          <w:p>
            <w:pPr>
              <w:spacing w:after="0"/>
              <w:rPr>
                <w:sz w:val="20"/>
                <w:szCs w:val="20"/>
                <w:color w:val="auto"/>
              </w:rPr>
            </w:pPr>
            <w:r>
              <w:rPr>
                <w:rFonts w:ascii="Arial" w:cs="Arial" w:eastAsia="Arial" w:hAnsi="Arial"/>
                <w:sz w:val="13"/>
                <w:szCs w:val="13"/>
                <w:color w:val="auto"/>
              </w:rPr>
              <w:t>Net additions for tax positions of prior years</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1,142</w:t>
            </w:r>
          </w:p>
        </w:tc>
        <w:tc>
          <w:tcPr>
            <w:tcW w:w="60" w:type="dxa"/>
            <w:vAlign w:val="bottom"/>
            <w:shd w:val="clear" w:color="auto" w:fill="CCEEFF"/>
          </w:tcPr>
          <w:p>
            <w:pPr>
              <w:spacing w:after="0"/>
              <w:rPr>
                <w:sz w:val="14"/>
                <w:szCs w:val="14"/>
                <w:color w:val="auto"/>
              </w:rPr>
            </w:pPr>
          </w:p>
        </w:tc>
      </w:tr>
      <w:tr>
        <w:trPr>
          <w:trHeight w:val="161"/>
        </w:trPr>
        <w:tc>
          <w:tcPr>
            <w:tcW w:w="9100" w:type="dxa"/>
            <w:vAlign w:val="bottom"/>
          </w:tcPr>
          <w:p>
            <w:pPr>
              <w:spacing w:after="0"/>
              <w:rPr>
                <w:sz w:val="20"/>
                <w:szCs w:val="20"/>
                <w:color w:val="auto"/>
              </w:rPr>
            </w:pPr>
            <w:r>
              <w:rPr>
                <w:rFonts w:ascii="Arial" w:cs="Arial" w:eastAsia="Arial" w:hAnsi="Arial"/>
                <w:sz w:val="13"/>
                <w:szCs w:val="13"/>
                <w:color w:val="auto"/>
              </w:rPr>
              <w:t>Settlements with tax authorities(1)</w:t>
            </w:r>
          </w:p>
        </w:tc>
        <w:tc>
          <w:tcPr>
            <w:tcW w:w="22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(43,080)</w:t>
            </w:r>
          </w:p>
        </w:tc>
      </w:tr>
      <w:tr>
        <w:trPr>
          <w:trHeight w:val="161"/>
        </w:trPr>
        <w:tc>
          <w:tcPr>
            <w:tcW w:w="9100" w:type="dxa"/>
            <w:vAlign w:val="bottom"/>
            <w:shd w:val="clear" w:color="auto" w:fill="CCEEFF"/>
          </w:tcPr>
          <w:p>
            <w:pPr>
              <w:spacing w:after="0"/>
              <w:rPr>
                <w:sz w:val="20"/>
                <w:szCs w:val="20"/>
                <w:color w:val="auto"/>
              </w:rPr>
            </w:pPr>
            <w:r>
              <w:rPr>
                <w:rFonts w:ascii="Arial" w:cs="Arial" w:eastAsia="Arial" w:hAnsi="Arial"/>
                <w:sz w:val="13"/>
                <w:szCs w:val="13"/>
                <w:color w:val="auto"/>
              </w:rPr>
              <w:t>Lapse of statute of limitations</w:t>
            </w:r>
          </w:p>
        </w:tc>
        <w:tc>
          <w:tcPr>
            <w:tcW w:w="2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(499)</w:t>
            </w:r>
          </w:p>
        </w:tc>
      </w:tr>
      <w:tr>
        <w:trPr>
          <w:trHeight w:val="161"/>
        </w:trPr>
        <w:tc>
          <w:tcPr>
            <w:tcW w:w="9100" w:type="dxa"/>
            <w:vAlign w:val="bottom"/>
          </w:tcPr>
          <w:p>
            <w:pPr>
              <w:spacing w:after="0"/>
              <w:rPr>
                <w:sz w:val="20"/>
                <w:szCs w:val="20"/>
                <w:color w:val="auto"/>
              </w:rPr>
            </w:pPr>
            <w:r>
              <w:rPr>
                <w:rFonts w:ascii="Arial" w:cs="Arial" w:eastAsia="Arial" w:hAnsi="Arial"/>
                <w:sz w:val="13"/>
                <w:szCs w:val="13"/>
                <w:color w:val="auto"/>
              </w:rPr>
              <w:t>Balance at September 30, 2008</w:t>
            </w: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85,772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right="80" w:hanging="250"/>
        <w:spacing w:after="0" w:line="276" w:lineRule="auto"/>
        <w:tabs>
          <w:tab w:leader="none" w:pos="18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As a result of settlements of certain tax matters during fiscal, 2008, the amount of gross unrecognized tax benefits was reduced by $43,080 (including interest), of which $13,185 was recorded as tax payable. The statute of limitations applicable to some of the items released as a result of these settlements would have been lapsed during 2008.</w:t>
      </w:r>
    </w:p>
    <w:p>
      <w:pPr>
        <w:spacing w:after="0" w:line="59"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total amount of unrecognized tax benefits, which includes interest and penalties, was $85,772 as of September 30, 2008, of which $81,825 would affect the effective tax rate if realized.</w:t>
      </w:r>
    </w:p>
    <w:p>
      <w:pPr>
        <w:spacing w:after="0" w:line="47"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The Company’s policy of including interest and penalties related to income taxes, including unrecognized tax benefits, within the provision for income taxes on the consolidated statements of income did not change as a result of implementing FIN No. 48. As of the date of adoption of FIN No. 48, the Company had accrued $17,530 in income taxes payable for interest and penalties relating to unrecognized tax benefits. As of September 30, 2008, the Company has accrued $13,997 in income taxes payable for interest and penalties relating to unrecognized tax benefits, of which $1,596 of net interest and penalties income was recognized in the statement of operation in fiscal 2008.</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7" w:lineRule="exact"/>
        <w:rPr>
          <w:sz w:val="20"/>
          <w:szCs w:val="20"/>
          <w:color w:val="auto"/>
        </w:rPr>
      </w:pPr>
    </w:p>
    <w:p>
      <w:pPr>
        <w:ind w:left="680" w:right="380" w:firstLine="399"/>
        <w:spacing w:after="0" w:line="338" w:lineRule="auto"/>
        <w:rPr>
          <w:sz w:val="20"/>
          <w:szCs w:val="20"/>
          <w:color w:val="auto"/>
        </w:rPr>
      </w:pPr>
      <w:r>
        <w:rPr>
          <w:rFonts w:ascii="Arial" w:cs="Arial" w:eastAsia="Arial" w:hAnsi="Arial"/>
          <w:sz w:val="12"/>
          <w:szCs w:val="12"/>
          <w:color w:val="auto"/>
        </w:rPr>
        <w:t>Within the next 12 months the Company believes that the amount of unrecognized tax benefits will increase in the ordinary course of business, in addition it is reasonably possible that the amount of unrecognized tax benefits will decrease by $13,526 as a result of lapse of statute of limitations in jurisdictions in which the Company operates.</w:t>
      </w:r>
    </w:p>
    <w:p>
      <w:pPr>
        <w:spacing w:after="0" w:line="10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10 —</w:t>
      </w:r>
      <w:r>
        <w:rPr>
          <w:sz w:val="20"/>
          <w:szCs w:val="20"/>
          <w:color w:val="auto"/>
        </w:rPr>
        <w:tab/>
      </w:r>
      <w:r>
        <w:rPr>
          <w:rFonts w:ascii="Arial" w:cs="Arial" w:eastAsia="Arial" w:hAnsi="Arial"/>
          <w:sz w:val="12"/>
          <w:szCs w:val="12"/>
          <w:b w:val="1"/>
          <w:bCs w:val="1"/>
          <w:color w:val="auto"/>
        </w:rPr>
        <w:t>Financing Arrangements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financing transactions are described below:</w:t>
      </w:r>
    </w:p>
    <w:p>
      <w:pPr>
        <w:spacing w:after="0" w:line="62" w:lineRule="exact"/>
        <w:rPr>
          <w:sz w:val="20"/>
          <w:szCs w:val="20"/>
          <w:color w:val="auto"/>
        </w:rPr>
      </w:pPr>
    </w:p>
    <w:p>
      <w:pPr>
        <w:ind w:left="680" w:right="160" w:firstLine="399"/>
        <w:spacing w:after="0" w:line="292" w:lineRule="auto"/>
        <w:rPr>
          <w:sz w:val="20"/>
          <w:szCs w:val="20"/>
          <w:color w:val="auto"/>
        </w:rPr>
      </w:pPr>
      <w:r>
        <w:rPr>
          <w:rFonts w:ascii="Arial" w:cs="Arial" w:eastAsia="Arial" w:hAnsi="Arial"/>
          <w:sz w:val="12"/>
          <w:szCs w:val="12"/>
          <w:color w:val="auto"/>
        </w:rPr>
        <w:t>In November 2007, the Company entered into an unsecured $500,000 five-year revolving credit facility with a syndicate of banks, which is available for general corporate purposes, including acquisitions and repurchases of the company’s ordinary shares that it may consider from time to time. The interest rate for borrowings under the credit facility is chosen at our option (from several pre-defined alteratives) and depends on circumstances of any advance and is based on the Company’s credit ratings. As of September 30, 2008 the Company was in compliance with specified financial covenants that the agreement imposes on it and had not borrowed against this facility. However, during the first quarter of fiscal 2009, the Company borrowed $100,000 under the credit facility which accrues interest at rate that is equal to Libor plus 35 basis points margin, and used the proceeds to repurchase $100,000 aggregate principal amount of its 0.50% Convertible Senior Notes at an average price of 98% of the principal amount excluding accrued interest and transaction fees.</w:t>
      </w:r>
    </w:p>
    <w:p>
      <w:pPr>
        <w:spacing w:after="0" w:line="1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September 30, 2008, the Company had outstanding letters of credit and bank guarantees of $5,183. These were mostly supported by a combination of the credit facilities and restricted cash balances that the Company maintains with various banks. In addition, as of September 30, 2008, the Company had outstanding short-term loans totaling $1,467 secured by certain pledges and guarantees.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11 —</w:t>
      </w:r>
      <w:r>
        <w:rPr>
          <w:sz w:val="20"/>
          <w:szCs w:val="20"/>
          <w:color w:val="auto"/>
        </w:rPr>
        <w:tab/>
      </w:r>
      <w:r>
        <w:rPr>
          <w:rFonts w:ascii="Arial" w:cs="Arial" w:eastAsia="Arial" w:hAnsi="Arial"/>
          <w:sz w:val="11"/>
          <w:szCs w:val="11"/>
          <w:b w:val="1"/>
          <w:bCs w:val="1"/>
          <w:color w:val="auto"/>
        </w:rPr>
        <w:t>Convertible Notes</w:t>
      </w:r>
    </w:p>
    <w:p>
      <w:pPr>
        <w:spacing w:after="0" w:line="64"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(“Put Rights”). The Company may choose to pay the repurchase price in cash, ordinary shares or a combination of cash and ordinary shares.</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During the first quarter of fiscal 2009, the Company repurchased $100,000 aggregate principal amount of the 0.50% Notes at an average price of 98% of the principal amount excluding accrued interest and transaction fees.</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3"/>
                <w:szCs w:val="13"/>
                <w:b w:val="1"/>
                <w:bCs w:val="1"/>
                <w:color w:val="auto"/>
              </w:rPr>
              <w:t>Note 12 —</w:t>
            </w:r>
          </w:p>
        </w:tc>
        <w:tc>
          <w:tcPr>
            <w:tcW w:w="7040" w:type="dxa"/>
            <w:vAlign w:val="bottom"/>
          </w:tcPr>
          <w:p>
            <w:pPr>
              <w:ind w:left="160"/>
              <w:spacing w:after="0"/>
              <w:rPr>
                <w:sz w:val="20"/>
                <w:szCs w:val="20"/>
                <w:color w:val="auto"/>
              </w:rPr>
            </w:pPr>
            <w:r>
              <w:rPr>
                <w:rFonts w:ascii="Arial" w:cs="Arial" w:eastAsia="Arial" w:hAnsi="Arial"/>
                <w:sz w:val="13"/>
                <w:szCs w:val="13"/>
                <w:b w:val="1"/>
                <w:bCs w:val="1"/>
                <w:color w:val="auto"/>
              </w:rPr>
              <w:t>Noncurrent Liabilities and Other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Noncurrent liabilities and other consist of the following:</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76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2008</w:t>
            </w:r>
          </w:p>
        </w:tc>
        <w:tc>
          <w:tcPr>
            <w:tcW w:w="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r>
      <w:tr>
        <w:trPr>
          <w:trHeight w:val="30"/>
        </w:trPr>
        <w:tc>
          <w:tcPr>
            <w:tcW w:w="7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employees costs(1)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172,340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137,167</w:t>
            </w: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Noncurrent customer advances</w:t>
            </w: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19,349</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13,018</w:t>
            </w: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pension liability(2)</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19,194</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22,281</w:t>
            </w: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Accrued print and mail obligation</w:t>
            </w: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6,980</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10,468</w:t>
            </w: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lease obligations</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5,730</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8,729</w:t>
            </w:r>
          </w:p>
        </w:tc>
      </w:tr>
      <w:tr>
        <w:trPr>
          <w:trHeight w:val="161"/>
        </w:trPr>
        <w:tc>
          <w:tcPr>
            <w:tcW w:w="760" w:type="dxa"/>
            <w:vAlign w:val="bottom"/>
          </w:tcPr>
          <w:p>
            <w:pPr>
              <w:spacing w:after="0"/>
              <w:rPr>
                <w:sz w:val="20"/>
                <w:szCs w:val="20"/>
                <w:color w:val="auto"/>
              </w:rPr>
            </w:pPr>
            <w:r>
              <w:rPr>
                <w:rFonts w:ascii="Arial" w:cs="Arial" w:eastAsia="Arial" w:hAnsi="Arial"/>
                <w:sz w:val="13"/>
                <w:szCs w:val="13"/>
                <w:color w:val="auto"/>
              </w:rPr>
              <w:t>Other</w:t>
            </w:r>
          </w:p>
        </w:tc>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3,707</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4,983</w:t>
            </w:r>
          </w:p>
        </w:tc>
      </w:tr>
      <w:tr>
        <w:trPr>
          <w:trHeight w:val="20"/>
        </w:trPr>
        <w:tc>
          <w:tcPr>
            <w:tcW w:w="7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60" w:type="dxa"/>
            <w:vAlign w:val="bottom"/>
            <w:shd w:val="clear" w:color="auto" w:fill="CCEEFF"/>
          </w:tcPr>
          <w:p>
            <w:pPr>
              <w:spacing w:after="0"/>
              <w:rPr>
                <w:sz w:val="14"/>
                <w:szCs w:val="14"/>
                <w:color w:val="auto"/>
              </w:rPr>
            </w:pPr>
          </w:p>
        </w:tc>
        <w:tc>
          <w:tcPr>
            <w:tcW w:w="70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227,300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196,646</w:t>
            </w:r>
          </w:p>
        </w:tc>
      </w:tr>
      <w:tr>
        <w:trPr>
          <w:trHeight w:val="20"/>
        </w:trPr>
        <w:tc>
          <w:tcPr>
            <w:tcW w:w="7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hanging="250"/>
        <w:spacing w:after="0"/>
        <w:tabs>
          <w:tab w:leader="none" w:pos="1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Primarily severance pay liability in accordance with Israeli law. Please see Note 15 to the consolidated financial statements.</w:t>
      </w:r>
    </w:p>
    <w:p>
      <w:pPr>
        <w:spacing w:after="0" w:line="52" w:lineRule="exact"/>
        <w:rPr>
          <w:rFonts w:ascii="Arial" w:cs="Arial" w:eastAsia="Arial" w:hAnsi="Arial"/>
          <w:sz w:val="13"/>
          <w:szCs w:val="13"/>
          <w:color w:val="auto"/>
        </w:rPr>
      </w:pPr>
    </w:p>
    <w:p>
      <w:pPr>
        <w:ind w:left="1880" w:hanging="250"/>
        <w:spacing w:after="0"/>
        <w:tabs>
          <w:tab w:leader="none" w:pos="1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Relates to funded status of non-contributory defined benefit plans. Please see Note 15 to the consolidated financial statements.</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900" w:type="dxa"/>
            <w:vAlign w:val="bottom"/>
          </w:tcPr>
          <w:p>
            <w:pPr>
              <w:spacing w:after="0"/>
              <w:rPr>
                <w:sz w:val="20"/>
                <w:szCs w:val="20"/>
                <w:color w:val="auto"/>
              </w:rPr>
            </w:pPr>
            <w:r>
              <w:rPr>
                <w:rFonts w:ascii="Arial" w:cs="Arial" w:eastAsia="Arial" w:hAnsi="Arial"/>
                <w:sz w:val="13"/>
                <w:szCs w:val="13"/>
                <w:b w:val="1"/>
                <w:bCs w:val="1"/>
                <w:color w:val="auto"/>
              </w:rPr>
              <w:t>Note 13 —</w:t>
            </w:r>
          </w:p>
        </w:tc>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Interest income and other, net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800" w:type="dxa"/>
            <w:vAlign w:val="bottom"/>
            <w:gridSpan w:val="2"/>
          </w:tcPr>
          <w:p>
            <w:pPr>
              <w:ind w:left="400"/>
              <w:spacing w:after="0"/>
              <w:rPr>
                <w:sz w:val="20"/>
                <w:szCs w:val="20"/>
                <w:color w:val="auto"/>
              </w:rPr>
            </w:pPr>
            <w:r>
              <w:rPr>
                <w:rFonts w:ascii="Arial" w:cs="Arial" w:eastAsia="Arial" w:hAnsi="Arial"/>
                <w:sz w:val="13"/>
                <w:szCs w:val="13"/>
                <w:color w:val="auto"/>
              </w:rPr>
              <w:t>Interest income and other, net consists of the following:</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1"/>
                <w:szCs w:val="11"/>
                <w:b w:val="1"/>
                <w:bCs w:val="1"/>
                <w:color w:val="auto"/>
                <w:w w:val="93"/>
              </w:rPr>
              <w:t>Year ended September 30,</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101" w:lineRule="exact"/>
              <w:rPr>
                <w:sz w:val="20"/>
                <w:szCs w:val="20"/>
                <w:color w:val="auto"/>
              </w:rPr>
            </w:pPr>
            <w:r>
              <w:rPr>
                <w:rFonts w:ascii="Arial" w:cs="Arial" w:eastAsia="Arial" w:hAnsi="Arial"/>
                <w:sz w:val="11"/>
                <w:szCs w:val="11"/>
                <w:b w:val="1"/>
                <w:bCs w:val="1"/>
                <w:color w:val="auto"/>
              </w:rPr>
              <w:t>2007</w:t>
            </w: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8"/>
              </w:rPr>
              <w:t>Interest income</w:t>
            </w:r>
          </w:p>
        </w:tc>
        <w:tc>
          <w:tcPr>
            <w:tcW w:w="59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$42,839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49,138</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50,962</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1"/>
              </w:rPr>
              <w:t>Interest expense</w:t>
            </w:r>
          </w:p>
        </w:tc>
        <w:tc>
          <w:tcPr>
            <w:tcW w:w="59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(6,772)</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(6,540)</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(5,433)</w:t>
            </w:r>
          </w:p>
        </w:tc>
        <w:tc>
          <w:tcPr>
            <w:tcW w:w="0" w:type="dxa"/>
            <w:vAlign w:val="bottom"/>
          </w:tcPr>
          <w:p>
            <w:pPr>
              <w:spacing w:after="0"/>
              <w:rPr>
                <w:sz w:val="1"/>
                <w:szCs w:val="1"/>
                <w:color w:val="auto"/>
              </w:rPr>
            </w:pPr>
          </w:p>
        </w:tc>
      </w:tr>
      <w:tr>
        <w:trPr>
          <w:trHeight w:val="161"/>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exchange (loss) gain</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(18,856)</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9,232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Other, net</w:t>
            </w:r>
          </w:p>
        </w:tc>
        <w:tc>
          <w:tcPr>
            <w:tcW w:w="59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(5,256)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(1,264)</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$11,955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50,566</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41,741</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Note 14 —</w:t>
            </w:r>
          </w:p>
        </w:tc>
        <w:tc>
          <w:tcPr>
            <w:tcW w:w="5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Contingencies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00" w:type="dxa"/>
            <w:vAlign w:val="bottom"/>
            <w:vMerge w:val="continue"/>
          </w:tcPr>
          <w:p>
            <w:pPr>
              <w:spacing w:after="0"/>
              <w:rPr>
                <w:sz w:val="24"/>
                <w:szCs w:val="24"/>
                <w:color w:val="auto"/>
              </w:rPr>
            </w:pPr>
          </w:p>
        </w:tc>
        <w:tc>
          <w:tcPr>
            <w:tcW w:w="5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Company leases office space under non-cancelable operating leases in various countries in which it does business. Future minimum non-cancelable lease payments required after October 1, 2008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8600" w:type="dxa"/>
            <w:vAlign w:val="bottom"/>
            <w:gridSpan w:val="2"/>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8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54,652</w:t>
            </w:r>
          </w:p>
        </w:tc>
      </w:tr>
      <w:tr>
        <w:trPr>
          <w:trHeight w:val="161"/>
        </w:trPr>
        <w:tc>
          <w:tcPr>
            <w:tcW w:w="8600" w:type="dxa"/>
            <w:vAlign w:val="bottom"/>
            <w:gridSpan w:val="2"/>
          </w:tcPr>
          <w:p>
            <w:pPr>
              <w:spacing w:after="0"/>
              <w:rPr>
                <w:sz w:val="20"/>
                <w:szCs w:val="20"/>
                <w:color w:val="auto"/>
              </w:rPr>
            </w:pPr>
            <w:r>
              <w:rPr>
                <w:rFonts w:ascii="Arial" w:cs="Arial" w:eastAsia="Arial" w:hAnsi="Arial"/>
                <w:sz w:val="13"/>
                <w:szCs w:val="13"/>
                <w:color w:val="auto"/>
              </w:rPr>
              <w:t>2010</w:t>
            </w:r>
          </w:p>
        </w:tc>
        <w:tc>
          <w:tcPr>
            <w:tcW w:w="4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49,393</w:t>
            </w:r>
          </w:p>
        </w:tc>
      </w:tr>
      <w:tr>
        <w:trPr>
          <w:trHeight w:val="161"/>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40,446</w:t>
            </w:r>
          </w:p>
        </w:tc>
      </w:tr>
      <w:tr>
        <w:trPr>
          <w:trHeight w:val="161"/>
        </w:trPr>
        <w:tc>
          <w:tcPr>
            <w:tcW w:w="8600" w:type="dxa"/>
            <w:vAlign w:val="bottom"/>
            <w:gridSpan w:val="2"/>
          </w:tcPr>
          <w:p>
            <w:pPr>
              <w:spacing w:after="0"/>
              <w:rPr>
                <w:sz w:val="20"/>
                <w:szCs w:val="20"/>
                <w:color w:val="auto"/>
              </w:rPr>
            </w:pPr>
            <w:r>
              <w:rPr>
                <w:rFonts w:ascii="Arial" w:cs="Arial" w:eastAsia="Arial" w:hAnsi="Arial"/>
                <w:sz w:val="13"/>
                <w:szCs w:val="13"/>
                <w:color w:val="auto"/>
              </w:rPr>
              <w:t>2012</w:t>
            </w:r>
          </w:p>
        </w:tc>
        <w:tc>
          <w:tcPr>
            <w:tcW w:w="4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18,795</w:t>
            </w:r>
          </w:p>
        </w:tc>
      </w:tr>
      <w:tr>
        <w:trPr>
          <w:trHeight w:val="161"/>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15,218</w:t>
            </w:r>
          </w:p>
        </w:tc>
      </w:tr>
      <w:tr>
        <w:trPr>
          <w:trHeight w:val="161"/>
        </w:trPr>
        <w:tc>
          <w:tcPr>
            <w:tcW w:w="86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16,755</w:t>
            </w:r>
          </w:p>
        </w:tc>
        <w:tc>
          <w:tcPr>
            <w:tcW w:w="8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85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195,259</w:t>
            </w:r>
          </w:p>
        </w:tc>
      </w:tr>
      <w:tr>
        <w:trPr>
          <w:trHeight w:val="20"/>
        </w:trPr>
        <w:tc>
          <w:tcPr>
            <w:tcW w:w="1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Future minimum non-cancelable lease payments, as stated above, do not reflect committed future sublease income of $4,022, $3,283, $3,217, $2,624, and $1,712 for the years ended September 30, 2009, 2010, 2011, 2012 and 2013 and thereafter, respectively.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net of sublease income, including accruals for future lease losses, was approximately $39,572, $42,209 and $41,088 for fiscal 2008, 2007 and 2006, respectively.</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8700" w:type="dxa"/>
            <w:vAlign w:val="bottom"/>
          </w:tcPr>
          <w:p>
            <w:pPr>
              <w:ind w:left="300"/>
              <w:spacing w:after="0"/>
              <w:rPr>
                <w:sz w:val="20"/>
                <w:szCs w:val="20"/>
                <w:color w:val="auto"/>
              </w:rPr>
            </w:pPr>
            <w:r>
              <w:rPr>
                <w:rFonts w:ascii="Arial" w:cs="Arial" w:eastAsia="Arial" w:hAnsi="Arial"/>
                <w:sz w:val="13"/>
                <w:szCs w:val="13"/>
                <w:color w:val="auto"/>
                <w:w w:val="97"/>
              </w:rPr>
              <w:t>The Company leases vehicles under operating leases. Future minimum non-cancelable lease payments required after October 1, 2008 are as follows: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16,891</w:t>
            </w:r>
          </w:p>
        </w:tc>
        <w:tc>
          <w:tcPr>
            <w:tcW w:w="60" w:type="dxa"/>
            <w:vAlign w:val="bottom"/>
            <w:shd w:val="clear" w:color="auto" w:fill="CCEEFF"/>
          </w:tcPr>
          <w:p>
            <w:pPr>
              <w:spacing w:after="0"/>
              <w:rPr>
                <w:sz w:val="14"/>
                <w:szCs w:val="14"/>
                <w:color w:val="auto"/>
              </w:rPr>
            </w:pPr>
          </w:p>
        </w:tc>
      </w:tr>
      <w:tr>
        <w:trPr>
          <w:trHeight w:val="161"/>
        </w:trPr>
        <w:tc>
          <w:tcPr>
            <w:tcW w:w="8800" w:type="dxa"/>
            <w:vAlign w:val="bottom"/>
            <w:gridSpan w:val="2"/>
          </w:tcPr>
          <w:p>
            <w:pPr>
              <w:spacing w:after="0"/>
              <w:rPr>
                <w:sz w:val="20"/>
                <w:szCs w:val="20"/>
                <w:color w:val="auto"/>
              </w:rPr>
            </w:pPr>
            <w:r>
              <w:rPr>
                <w:rFonts w:ascii="Arial" w:cs="Arial" w:eastAsia="Arial" w:hAnsi="Arial"/>
                <w:sz w:val="13"/>
                <w:szCs w:val="13"/>
                <w:color w:val="auto"/>
              </w:rPr>
              <w:t>2010</w:t>
            </w:r>
          </w:p>
        </w:tc>
        <w:tc>
          <w:tcPr>
            <w:tcW w:w="4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12,375</w:t>
            </w:r>
          </w:p>
        </w:tc>
        <w:tc>
          <w:tcPr>
            <w:tcW w:w="60" w:type="dxa"/>
            <w:vAlign w:val="bottom"/>
          </w:tcPr>
          <w:p>
            <w:pPr>
              <w:spacing w:after="0"/>
              <w:rPr>
                <w:sz w:val="14"/>
                <w:szCs w:val="14"/>
                <w:color w:val="auto"/>
              </w:rPr>
            </w:pP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4,103</w:t>
            </w:r>
          </w:p>
        </w:tc>
        <w:tc>
          <w:tcPr>
            <w:tcW w:w="60" w:type="dxa"/>
            <w:vAlign w:val="bottom"/>
            <w:shd w:val="clear" w:color="auto" w:fill="CCEEFF"/>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33,369</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102"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Guarantor’s Accounting and Disclosure Requirements for Guarantees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 generally sells its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2008, 2007 and 2006.</w:t>
      </w:r>
    </w:p>
    <w:p>
      <w:pPr>
        <w:spacing w:after="0" w:line="59"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15 —</w:t>
      </w:r>
      <w:r>
        <w:rPr>
          <w:sz w:val="20"/>
          <w:szCs w:val="20"/>
          <w:color w:val="auto"/>
        </w:rPr>
        <w:tab/>
      </w:r>
      <w:r>
        <w:rPr>
          <w:rFonts w:ascii="Arial" w:cs="Arial" w:eastAsia="Arial" w:hAnsi="Arial"/>
          <w:sz w:val="11"/>
          <w:szCs w:val="11"/>
          <w:b w:val="1"/>
          <w:bCs w:val="1"/>
          <w:color w:val="auto"/>
        </w:rPr>
        <w:t>Employee Benefits</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noncurrent liabilities and other, is partially funded by amounts on deposit with insurance companies, which are included in other noncurrent assets. These severance expenses were approximately $26,085, $28,832 and $26,403 for fiscal 2008, 2007 and 2006, respectively.</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2008, 2007 and 2006 under such plans were not material compared to total operating expenses.</w:t>
      </w:r>
    </w:p>
    <w:p>
      <w:pPr>
        <w:spacing w:after="0" w:line="59" w:lineRule="exact"/>
        <w:rPr>
          <w:sz w:val="20"/>
          <w:szCs w:val="20"/>
          <w:color w:val="auto"/>
        </w:rPr>
      </w:pPr>
    </w:p>
    <w:p>
      <w:pPr>
        <w:ind w:left="680" w:right="160" w:firstLine="399"/>
        <w:spacing w:after="0" w:line="338" w:lineRule="auto"/>
        <w:rPr>
          <w:sz w:val="20"/>
          <w:szCs w:val="20"/>
          <w:color w:val="auto"/>
        </w:rPr>
      </w:pPr>
      <w:r>
        <w:rPr>
          <w:rFonts w:ascii="Arial" w:cs="Arial" w:eastAsia="Arial" w:hAnsi="Arial"/>
          <w:sz w:val="12"/>
          <w:szCs w:val="12"/>
          <w:color w:val="auto"/>
        </w:rPr>
        <w:t>In September 2006, SFAS No. 158 was issued which requires plan sponsors of defined benefit pension and other postretirement benefit plans to recognize the funded status of such plans in the balance sheet, measure the fair value of plan assets and benefit obligations as of the date of the balance sheet and provide additional disclosures.</w:t>
      </w:r>
    </w:p>
    <w:p>
      <w:pPr>
        <w:spacing w:after="0" w:line="24"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The Company maintains non-contributory defined benefit plans that provide for pension, other retirement and post employment benefits for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pension and other benefits costs in fiscal 2008, 2007 and 2006 were $1,213, $1,237 and $3,193, respectively.</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16 —</w:t>
      </w:r>
      <w:r>
        <w:rPr>
          <w:sz w:val="20"/>
          <w:szCs w:val="20"/>
          <w:color w:val="auto"/>
        </w:rPr>
        <w:tab/>
      </w:r>
      <w:r>
        <w:rPr>
          <w:rFonts w:ascii="Arial" w:cs="Arial" w:eastAsia="Arial" w:hAnsi="Arial"/>
          <w:sz w:val="12"/>
          <w:szCs w:val="12"/>
          <w:b w:val="1"/>
          <w:bCs w:val="1"/>
          <w:color w:val="auto"/>
        </w:rPr>
        <w:t>Capital Transactions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In August 2007, the Company announced that its board of directors had authorized a share repurchase plan allowing the repurchase of up to $400,000 of its outstanding ordinary shares. The authorization permits</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the Company to purchase its ordinary shares in open market or privately negotiated transactions at times and prices that it considers appropriate. In fiscal 2008, the Company repurchased 8,370 ordinary shares at an average price of $30.45 per share (excluding broker and transaction fees). As of September 30, 2008, the Company may repurchase up to $95,308 of its ordinary shares under the share repurchase plan.</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17 —</w:t>
      </w:r>
      <w:r>
        <w:rPr>
          <w:sz w:val="20"/>
          <w:szCs w:val="20"/>
          <w:color w:val="auto"/>
        </w:rPr>
        <w:tab/>
      </w:r>
      <w:r>
        <w:rPr>
          <w:rFonts w:ascii="Arial" w:cs="Arial" w:eastAsia="Arial" w:hAnsi="Arial"/>
          <w:sz w:val="12"/>
          <w:szCs w:val="12"/>
          <w:b w:val="1"/>
          <w:bCs w:val="1"/>
          <w:color w:val="auto"/>
        </w:rPr>
        <w:t>Stock Option and Incentive Plan</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information about options to purchase the Company</w:t>
      </w:r>
      <w:r>
        <w:rPr>
          <w:rFonts w:ascii="Arial" w:cs="Arial" w:eastAsia="Arial" w:hAnsi="Arial"/>
          <w:sz w:val="12"/>
          <w:szCs w:val="12"/>
          <w:b w:val="1"/>
          <w:bCs w:val="1"/>
          <w:color w:val="auto"/>
        </w:rPr>
        <w:t>’</w:t>
      </w:r>
      <w:r>
        <w:rPr>
          <w:rFonts w:ascii="Arial" w:cs="Arial" w:eastAsia="Arial" w:hAnsi="Arial"/>
          <w:sz w:val="12"/>
          <w:szCs w:val="12"/>
          <w:color w:val="auto"/>
        </w:rPr>
        <w:t>s ordinary shares, as well as changes during the years ended September 30, 2008, 2007 and</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0"/>
              </w:rPr>
              <w:t>Number of</w:t>
            </w:r>
          </w:p>
        </w:tc>
        <w:tc>
          <w:tcPr>
            <w:tcW w:w="200" w:type="dxa"/>
            <w:vAlign w:val="bottom"/>
          </w:tcPr>
          <w:p>
            <w:pPr>
              <w:spacing w:after="0"/>
              <w:rPr>
                <w:sz w:val="10"/>
                <w:szCs w:val="1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7100" w:type="dxa"/>
            <w:vAlign w:val="bottom"/>
          </w:tcPr>
          <w:p>
            <w:pPr>
              <w:spacing w:after="0"/>
              <w:rPr>
                <w:sz w:val="9"/>
                <w:szCs w:val="9"/>
                <w:color w:val="auto"/>
              </w:rPr>
            </w:pPr>
          </w:p>
        </w:tc>
        <w:tc>
          <w:tcPr>
            <w:tcW w:w="1300" w:type="dxa"/>
            <w:vAlign w:val="bottom"/>
            <w:gridSpan w:val="3"/>
          </w:tcPr>
          <w:p>
            <w:pPr>
              <w:jc w:val="center"/>
              <w:ind w:right="480"/>
              <w:spacing w:after="0" w:line="111" w:lineRule="exact"/>
              <w:rPr>
                <w:sz w:val="20"/>
                <w:szCs w:val="20"/>
                <w:color w:val="auto"/>
              </w:rPr>
            </w:pPr>
            <w:r>
              <w:rPr>
                <w:rFonts w:ascii="Arial" w:cs="Arial" w:eastAsia="Arial" w:hAnsi="Arial"/>
                <w:sz w:val="11"/>
                <w:szCs w:val="11"/>
                <w:b w:val="1"/>
                <w:bCs w:val="1"/>
                <w:color w:val="auto"/>
                <w:w w:val="84"/>
              </w:rPr>
              <w:t>Share</w:t>
            </w: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100" w:type="dxa"/>
            <w:vAlign w:val="bottom"/>
          </w:tcPr>
          <w:p>
            <w:pPr>
              <w:spacing w:after="0"/>
              <w:rPr>
                <w:sz w:val="11"/>
                <w:szCs w:val="11"/>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86"/>
              </w:rPr>
              <w:t>Options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25,807.4</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26.91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Granted(1)</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4,812.1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29.41</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(5,869.5)</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(1,956.0)</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34.42</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22,794.0</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29.02</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2,830.2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35.92</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(3,970.1)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18.80</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(1,197.6)</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34.77</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20,456.5</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5,631.1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(2,051.7)</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(1,648.2)</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35.85</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22,387.7</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Exercisable on September 30, 2008</w:t>
            </w: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vMerge w:val="restart"/>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33.00</w:t>
            </w:r>
          </w:p>
        </w:tc>
        <w:tc>
          <w:tcPr>
            <w:tcW w:w="0" w:type="dxa"/>
            <w:vAlign w:val="bottom"/>
          </w:tcPr>
          <w:p>
            <w:pPr>
              <w:spacing w:after="0" w:line="20" w:lineRule="exact"/>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12,995.6</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right="140" w:hanging="250"/>
        <w:spacing w:after="0" w:line="338" w:lineRule="auto"/>
        <w:tabs>
          <w:tab w:leader="none" w:pos="18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options to purchase 297.6 ordinary shares assumed in connection with the Company’s acquisition of Qpass at weighted average exercise price of $8.01, and options to purchase 161.0 ordinary shares assumed in connection with the Company’s acquisition of Cramer at weighted average exercise price of $6.50.</w:t>
      </w: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relating to awards of restricted shares, as well as changes during the years ended September 30, 2008, 2007 and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30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7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3"/>
              </w:rPr>
              <w:t>Grant Date Fair</w:t>
            </w:r>
          </w:p>
        </w:tc>
        <w:tc>
          <w:tcPr>
            <w:tcW w:w="0" w:type="dxa"/>
            <w:vAlign w:val="bottom"/>
          </w:tcPr>
          <w:p>
            <w:pPr>
              <w:spacing w:after="0"/>
              <w:rPr>
                <w:sz w:val="1"/>
                <w:szCs w:val="1"/>
                <w:color w:val="auto"/>
              </w:rPr>
            </w:pPr>
          </w:p>
        </w:tc>
      </w:tr>
      <w:tr>
        <w:trPr>
          <w:trHeight w:val="128"/>
        </w:trPr>
        <w:tc>
          <w:tcPr>
            <w:tcW w:w="7100" w:type="dxa"/>
            <w:vAlign w:val="bottom"/>
          </w:tcPr>
          <w:p>
            <w:pPr>
              <w:spacing w:after="0"/>
              <w:rPr>
                <w:sz w:val="11"/>
                <w:szCs w:val="11"/>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2005</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133.8</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26.43</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Granted(1)</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747.4</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33.22</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(94.9)</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26.43</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32.12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780.3</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468.1</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37.04</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(235.8)</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33.76</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(57.5)</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955.1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34.50</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611.1</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32.53</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(321.5)</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(139.6)</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35.45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1,105.1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(1)  Includes 156.8 restricted shares assumed in connection with the Company’s acquisition of Cramer at weighted average grant date fair value of $40.70 per share.</w:t>
      </w:r>
    </w:p>
    <w:p>
      <w:pPr>
        <w:spacing w:after="0" w:line="114" w:lineRule="exact"/>
        <w:rPr>
          <w:sz w:val="20"/>
          <w:szCs w:val="20"/>
          <w:color w:val="auto"/>
        </w:rPr>
      </w:pPr>
    </w:p>
    <w:p>
      <w:pPr>
        <w:jc w:val="both"/>
        <w:ind w:left="680" w:right="100" w:firstLine="399"/>
        <w:spacing w:after="0" w:line="294" w:lineRule="auto"/>
        <w:rPr>
          <w:sz w:val="20"/>
          <w:szCs w:val="20"/>
          <w:color w:val="auto"/>
        </w:rPr>
      </w:pPr>
      <w:r>
        <w:rPr>
          <w:rFonts w:ascii="Arial" w:cs="Arial" w:eastAsia="Arial" w:hAnsi="Arial"/>
          <w:sz w:val="13"/>
          <w:szCs w:val="13"/>
          <w:color w:val="auto"/>
        </w:rPr>
        <w:t>The total intrinsic value of options exercised and the value of restricted shares vested during fiscal 2008 was $27,931 and $10,228, respectively. The aggregate intrinsic value of outstanding and exercisable stock options as of September 30, 2008 was $41,099 and $35,905, respectively.</w:t>
      </w:r>
    </w:p>
    <w:p>
      <w:pPr>
        <w:spacing w:after="0" w:line="47"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total income tax benefit recognized in the income statement for stock-based compensation (including restricted shares) for fiscal 2008, 2007 and 2006 was $5,903, $8,633 and $5,575, respectively.</w:t>
      </w:r>
    </w:p>
    <w:p>
      <w:pPr>
        <w:spacing w:after="0" w:line="4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September 30, 2008, there was $57,584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as of September 30, 2008:</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6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rPr>
              <w:t>Outstanding</w:t>
            </w: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5"/>
          </w:tcPr>
          <w:p>
            <w:pPr>
              <w:jc w:val="right"/>
              <w:ind w:right="122"/>
              <w:spacing w:after="0"/>
              <w:rPr>
                <w:sz w:val="20"/>
                <w:szCs w:val="20"/>
                <w:color w:val="auto"/>
              </w:rPr>
            </w:pPr>
            <w:r>
              <w:rPr>
                <w:rFonts w:ascii="Arial" w:cs="Arial" w:eastAsia="Arial" w:hAnsi="Arial"/>
                <w:sz w:val="11"/>
                <w:szCs w:val="11"/>
                <w:b w:val="1"/>
                <w:bCs w:val="1"/>
                <w:color w:val="auto"/>
                <w:w w:val="88"/>
              </w:rPr>
              <w:t>Exercisable</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 Average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Remaining</w:t>
            </w:r>
          </w:p>
        </w:tc>
        <w:tc>
          <w:tcPr>
            <w:tcW w:w="180" w:type="dxa"/>
            <w:vAlign w:val="bottom"/>
          </w:tcPr>
          <w:p>
            <w:pPr>
              <w:spacing w:after="0"/>
              <w:rPr>
                <w:sz w:val="9"/>
                <w:szCs w:val="9"/>
                <w:color w:val="auto"/>
              </w:rPr>
            </w:pPr>
          </w:p>
        </w:tc>
        <w:tc>
          <w:tcPr>
            <w:tcW w:w="840" w:type="dxa"/>
            <w:vAlign w:val="bottom"/>
            <w:gridSpan w:val="4"/>
            <w:vMerge w:val="restart"/>
          </w:tcPr>
          <w:p>
            <w:pPr>
              <w:jc w:val="center"/>
              <w:ind w:right="300"/>
              <w:spacing w:after="0"/>
              <w:rPr>
                <w:sz w:val="20"/>
                <w:szCs w:val="20"/>
                <w:color w:val="auto"/>
              </w:rPr>
            </w:pPr>
            <w:r>
              <w:rPr>
                <w:rFonts w:ascii="Arial" w:cs="Arial" w:eastAsia="Arial" w:hAnsi="Arial"/>
                <w:sz w:val="11"/>
                <w:szCs w:val="11"/>
                <w:b w:val="1"/>
                <w:bCs w:val="1"/>
                <w:color w:val="auto"/>
                <w:w w:val="84"/>
              </w:rPr>
              <w:t>Weighted</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84"/>
              </w:rPr>
              <w:t>Weighted</w:t>
            </w:r>
          </w:p>
        </w:tc>
        <w:tc>
          <w:tcPr>
            <w:tcW w:w="0" w:type="dxa"/>
            <w:vAlign w:val="bottom"/>
          </w:tcPr>
          <w:p>
            <w:pPr>
              <w:spacing w:after="0"/>
              <w:rPr>
                <w:sz w:val="1"/>
                <w:szCs w:val="1"/>
                <w:color w:val="auto"/>
              </w:rPr>
            </w:pPr>
          </w:p>
        </w:tc>
      </w:tr>
      <w:tr>
        <w:trPr>
          <w:trHeight w:val="111"/>
        </w:trPr>
        <w:tc>
          <w:tcPr>
            <w:tcW w:w="2680" w:type="dxa"/>
            <w:vAlign w:val="bottom"/>
            <w:vMerge w:val="restart"/>
          </w:tcPr>
          <w:p>
            <w:pPr>
              <w:spacing w:after="0"/>
              <w:rPr>
                <w:sz w:val="20"/>
                <w:szCs w:val="20"/>
                <w:color w:val="auto"/>
              </w:rPr>
            </w:pPr>
            <w:r>
              <w:rPr>
                <w:rFonts w:ascii="Arial" w:cs="Arial" w:eastAsia="Arial" w:hAnsi="Arial"/>
                <w:sz w:val="11"/>
                <w:szCs w:val="11"/>
                <w:b w:val="1"/>
                <w:bCs w:val="1"/>
                <w:color w:val="auto"/>
              </w:rPr>
              <w:t>Exercise</w:t>
            </w:r>
          </w:p>
        </w:tc>
        <w:tc>
          <w:tcPr>
            <w:tcW w:w="1120" w:type="dxa"/>
            <w:vAlign w:val="bottom"/>
          </w:tcPr>
          <w:p>
            <w:pPr>
              <w:spacing w:after="0"/>
              <w:rPr>
                <w:sz w:val="9"/>
                <w:szCs w:val="9"/>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1"/>
              </w:rPr>
              <w:t>Number</w:t>
            </w:r>
          </w:p>
        </w:tc>
        <w:tc>
          <w:tcPr>
            <w:tcW w:w="16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8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right"/>
              <w:ind w:right="540"/>
              <w:spacing w:after="0"/>
              <w:rPr>
                <w:sz w:val="20"/>
                <w:szCs w:val="20"/>
                <w:color w:val="auto"/>
              </w:rPr>
            </w:pPr>
            <w:r>
              <w:rPr>
                <w:rFonts w:ascii="Arial" w:cs="Arial" w:eastAsia="Arial" w:hAnsi="Arial"/>
                <w:sz w:val="11"/>
                <w:szCs w:val="11"/>
                <w:b w:val="1"/>
                <w:bCs w:val="1"/>
                <w:color w:val="auto"/>
                <w:w w:val="86"/>
              </w:rPr>
              <w:t>Number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6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91"/>
              </w:rPr>
              <w:t>Life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Average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rice</w:t>
            </w:r>
          </w:p>
        </w:tc>
        <w:tc>
          <w:tcPr>
            <w:tcW w:w="112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Outstanding</w:t>
            </w: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(in Years)</w:t>
            </w:r>
          </w:p>
        </w:tc>
        <w:tc>
          <w:tcPr>
            <w:tcW w:w="10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Exercise Price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Exercisable</w:t>
            </w:r>
          </w:p>
        </w:tc>
        <w:tc>
          <w:tcPr>
            <w:tcW w:w="100" w:type="dxa"/>
            <w:vAlign w:val="bottom"/>
          </w:tcPr>
          <w:p>
            <w:pPr>
              <w:spacing w:after="0"/>
              <w:rPr>
                <w:sz w:val="11"/>
                <w:szCs w:val="11"/>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2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$0.38 — 4.76</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87.7</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6.23</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2.41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77.2</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6.40 — 18.60</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803.7</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4.25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13.32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785.4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13.38</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19.78 — 22.75</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2,018.7</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21.98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1,608.7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21.99</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23.43 — 26.65</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2,189.6</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3.71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24.94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1,855.8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27.30 — 29.91</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2,381.5</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28.21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1,401.4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27.94</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30.12 — 32.15</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3,482.5</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4.85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31.23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2,716.5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31.18</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32.31 — 33.16</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3,628.1</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33.06</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20.4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33.50 — 34.96</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2,434.0</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6.48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34.44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1,206.4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34.13</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35.45 — 39.82</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2,643.9</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37.34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605.8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38.48</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43.10 — 65.01</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2,424.7</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52.58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2,424.7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52.58</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66.25 — 78.31</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293.3</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69.78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293.3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69.78</w:t>
            </w:r>
          </w:p>
        </w:tc>
        <w:tc>
          <w:tcPr>
            <w:tcW w:w="0" w:type="dxa"/>
            <w:vAlign w:val="bottom"/>
          </w:tcPr>
          <w:p>
            <w:pPr>
              <w:spacing w:after="0"/>
              <w:rPr>
                <w:sz w:val="1"/>
                <w:szCs w:val="1"/>
                <w:color w:val="auto"/>
              </w:rPr>
            </w:pPr>
          </w:p>
        </w:tc>
      </w:tr>
      <w:tr>
        <w:trPr>
          <w:trHeight w:val="252"/>
        </w:trPr>
        <w:tc>
          <w:tcPr>
            <w:tcW w:w="9000" w:type="dxa"/>
            <w:vAlign w:val="bottom"/>
            <w:gridSpan w:val="17"/>
          </w:tcPr>
          <w:p>
            <w:pPr>
              <w:ind w:left="400"/>
              <w:spacing w:after="0"/>
              <w:rPr>
                <w:sz w:val="20"/>
                <w:szCs w:val="20"/>
                <w:color w:val="auto"/>
              </w:rPr>
            </w:pPr>
            <w:r>
              <w:rPr>
                <w:rFonts w:ascii="Arial" w:cs="Arial" w:eastAsia="Arial" w:hAnsi="Arial"/>
                <w:sz w:val="13"/>
                <w:szCs w:val="13"/>
                <w:color w:val="auto"/>
              </w:rPr>
              <w:t>Employee equity-based compensation pre-tax expense under SFAS No. 123(R) for the years ended September 30, 2008 and 2007 was as follows: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ind w:left="100"/>
              <w:spacing w:after="0"/>
              <w:rPr>
                <w:sz w:val="20"/>
                <w:szCs w:val="20"/>
                <w:color w:val="auto"/>
              </w:rPr>
            </w:pPr>
            <w:r>
              <w:rPr>
                <w:rFonts w:ascii="Arial" w:cs="Arial" w:eastAsia="Arial" w:hAnsi="Arial"/>
                <w:sz w:val="11"/>
                <w:szCs w:val="11"/>
                <w:b w:val="1"/>
                <w:bCs w:val="1"/>
                <w:color w:val="auto"/>
                <w:w w:val="90"/>
              </w:rPr>
              <w:t>Year ended September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94"/>
              <w:spacing w:after="0" w:line="101" w:lineRule="exact"/>
              <w:rPr>
                <w:sz w:val="20"/>
                <w:szCs w:val="20"/>
                <w:color w:val="auto"/>
              </w:rPr>
            </w:pPr>
            <w:r>
              <w:rPr>
                <w:rFonts w:ascii="Arial" w:cs="Arial" w:eastAsia="Arial" w:hAnsi="Arial"/>
                <w:sz w:val="11"/>
                <w:szCs w:val="11"/>
                <w:b w:val="1"/>
                <w:bCs w:val="1"/>
                <w:color w:val="auto"/>
              </w:rPr>
              <w:t>2007</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25,418</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18,042</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3"/>
                <w:szCs w:val="13"/>
                <w:color w:val="auto"/>
              </w:rPr>
              <w:t>6,574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4,711</w:t>
            </w: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29,229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21,595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23,425</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3"/>
                <w:szCs w:val="13"/>
                <w:color w:val="auto"/>
              </w:rPr>
              <w:t>Total</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57,490</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53,587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fair value of options granted was estimated on the date of grant using the Black-Scholes pricing model with the assumptions noted in the following table (all in weighted averages for options granted during the year):</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87"/>
              </w:rPr>
              <w:t>Year ended September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7080" w:type="dxa"/>
            <w:vAlign w:val="bottom"/>
          </w:tcPr>
          <w:p>
            <w:pPr>
              <w:spacing w:after="0"/>
              <w:rPr>
                <w:sz w:val="8"/>
                <w:szCs w:val="8"/>
                <w:color w:val="auto"/>
              </w:rPr>
            </w:pPr>
          </w:p>
        </w:tc>
        <w:tc>
          <w:tcPr>
            <w:tcW w:w="580" w:type="dxa"/>
            <w:vAlign w:val="bottom"/>
            <w:tcBorders>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rPr>
              <w:t>2008</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rPr>
              <w:t>2007</w:t>
            </w:r>
          </w:p>
        </w:tc>
        <w:tc>
          <w:tcPr>
            <w:tcW w:w="520" w:type="dxa"/>
            <w:vAlign w:val="bottom"/>
          </w:tcPr>
          <w:p>
            <w:pPr>
              <w:spacing w:after="0"/>
              <w:rPr>
                <w:sz w:val="8"/>
                <w:szCs w:val="8"/>
                <w:color w:val="auto"/>
              </w:rPr>
            </w:pPr>
          </w:p>
        </w:tc>
        <w:tc>
          <w:tcPr>
            <w:tcW w:w="580" w:type="dxa"/>
            <w:vAlign w:val="bottom"/>
            <w:tcBorders>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r>
      <w:tr>
        <w:trPr>
          <w:trHeight w:val="181"/>
        </w:trPr>
        <w:tc>
          <w:tcPr>
            <w:tcW w:w="7080" w:type="dxa"/>
            <w:vAlign w:val="bottom"/>
          </w:tcPr>
          <w:p>
            <w:pPr>
              <w:spacing w:after="0"/>
              <w:rPr>
                <w:sz w:val="20"/>
                <w:szCs w:val="20"/>
                <w:color w:val="auto"/>
              </w:rPr>
            </w:pPr>
            <w:r>
              <w:rPr>
                <w:rFonts w:ascii="Arial" w:cs="Arial" w:eastAsia="Arial" w:hAnsi="Arial"/>
                <w:sz w:val="13"/>
                <w:szCs w:val="13"/>
                <w:color w:val="auto"/>
              </w:rPr>
              <w:t>Risk-free interest rate(1)</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3.23%</w:t>
            </w:r>
          </w:p>
        </w:tc>
        <w:tc>
          <w:tcPr>
            <w:tcW w:w="1460" w:type="dxa"/>
            <w:vAlign w:val="bottom"/>
            <w:gridSpan w:val="3"/>
          </w:tcPr>
          <w:p>
            <w:pPr>
              <w:jc w:val="right"/>
              <w:ind w:right="400"/>
              <w:spacing w:after="0"/>
              <w:rPr>
                <w:sz w:val="20"/>
                <w:szCs w:val="20"/>
                <w:color w:val="auto"/>
              </w:rPr>
            </w:pPr>
            <w:r>
              <w:rPr>
                <w:rFonts w:ascii="Arial" w:cs="Arial" w:eastAsia="Arial" w:hAnsi="Arial"/>
                <w:sz w:val="13"/>
                <w:szCs w:val="13"/>
                <w:color w:val="auto"/>
              </w:rPr>
              <w:t>4.57%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4.56%</w:t>
            </w:r>
          </w:p>
        </w:tc>
      </w:tr>
      <w:tr>
        <w:trPr>
          <w:trHeight w:val="161"/>
        </w:trPr>
        <w:tc>
          <w:tcPr>
            <w:tcW w:w="7080" w:type="dxa"/>
            <w:vAlign w:val="bottom"/>
          </w:tcPr>
          <w:p>
            <w:pPr>
              <w:spacing w:after="0"/>
              <w:rPr>
                <w:sz w:val="20"/>
                <w:szCs w:val="20"/>
                <w:color w:val="auto"/>
              </w:rPr>
            </w:pPr>
            <w:r>
              <w:rPr>
                <w:rFonts w:ascii="Arial" w:cs="Arial" w:eastAsia="Arial" w:hAnsi="Arial"/>
                <w:sz w:val="13"/>
                <w:szCs w:val="13"/>
                <w:color w:val="auto"/>
              </w:rPr>
              <w:t>Expected life of stock options(2)</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4.32</w:t>
            </w:r>
          </w:p>
        </w:tc>
        <w:tc>
          <w:tcPr>
            <w:tcW w:w="1460" w:type="dxa"/>
            <w:vAlign w:val="bottom"/>
            <w:gridSpan w:val="3"/>
          </w:tcPr>
          <w:p>
            <w:pPr>
              <w:jc w:val="right"/>
              <w:ind w:right="520"/>
              <w:spacing w:after="0"/>
              <w:rPr>
                <w:sz w:val="20"/>
                <w:szCs w:val="20"/>
                <w:color w:val="auto"/>
              </w:rPr>
            </w:pPr>
            <w:r>
              <w:rPr>
                <w:rFonts w:ascii="Arial" w:cs="Arial" w:eastAsia="Arial" w:hAnsi="Arial"/>
                <w:sz w:val="13"/>
                <w:szCs w:val="13"/>
                <w:color w:val="auto"/>
              </w:rPr>
              <w:t>4.43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4.37</w:t>
            </w:r>
          </w:p>
        </w:tc>
      </w:tr>
      <w:tr>
        <w:trPr>
          <w:trHeight w:val="161"/>
        </w:trPr>
        <w:tc>
          <w:tcPr>
            <w:tcW w:w="7080" w:type="dxa"/>
            <w:vAlign w:val="bottom"/>
          </w:tcPr>
          <w:p>
            <w:pPr>
              <w:spacing w:after="0"/>
              <w:rPr>
                <w:sz w:val="20"/>
                <w:szCs w:val="20"/>
                <w:color w:val="auto"/>
              </w:rPr>
            </w:pPr>
            <w:r>
              <w:rPr>
                <w:rFonts w:ascii="Arial" w:cs="Arial" w:eastAsia="Arial" w:hAnsi="Arial"/>
                <w:sz w:val="13"/>
                <w:szCs w:val="13"/>
                <w:color w:val="auto"/>
              </w:rPr>
              <w:t>Expected volatility(3)</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33.3%</w:t>
            </w:r>
          </w:p>
        </w:tc>
        <w:tc>
          <w:tcPr>
            <w:tcW w:w="1460" w:type="dxa"/>
            <w:vAlign w:val="bottom"/>
            <w:gridSpan w:val="3"/>
          </w:tcPr>
          <w:p>
            <w:pPr>
              <w:jc w:val="right"/>
              <w:ind w:right="400"/>
              <w:spacing w:after="0"/>
              <w:rPr>
                <w:sz w:val="20"/>
                <w:szCs w:val="20"/>
                <w:color w:val="auto"/>
              </w:rPr>
            </w:pPr>
            <w:r>
              <w:rPr>
                <w:rFonts w:ascii="Arial" w:cs="Arial" w:eastAsia="Arial" w:hAnsi="Arial"/>
                <w:sz w:val="13"/>
                <w:szCs w:val="13"/>
                <w:color w:val="auto"/>
              </w:rPr>
              <w:t>31.6%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34.9%</w:t>
            </w:r>
          </w:p>
        </w:tc>
      </w:tr>
      <w:tr>
        <w:trPr>
          <w:trHeight w:val="161"/>
        </w:trPr>
        <w:tc>
          <w:tcPr>
            <w:tcW w:w="7080" w:type="dxa"/>
            <w:vAlign w:val="bottom"/>
          </w:tcPr>
          <w:p>
            <w:pPr>
              <w:spacing w:after="0"/>
              <w:rPr>
                <w:sz w:val="20"/>
                <w:szCs w:val="20"/>
                <w:color w:val="auto"/>
              </w:rPr>
            </w:pPr>
            <w:r>
              <w:rPr>
                <w:rFonts w:ascii="Arial" w:cs="Arial" w:eastAsia="Arial" w:hAnsi="Arial"/>
                <w:sz w:val="13"/>
                <w:szCs w:val="13"/>
                <w:color w:val="auto"/>
              </w:rPr>
              <w:t>Expected dividend yield(4)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None</w:t>
            </w:r>
          </w:p>
        </w:tc>
        <w:tc>
          <w:tcPr>
            <w:tcW w:w="3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color w:val="auto"/>
              </w:rPr>
              <w:t>None</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None</w:t>
            </w:r>
          </w:p>
        </w:tc>
      </w:tr>
      <w:tr>
        <w:trPr>
          <w:trHeight w:val="172"/>
        </w:trPr>
        <w:tc>
          <w:tcPr>
            <w:tcW w:w="7080" w:type="dxa"/>
            <w:vAlign w:val="bottom"/>
          </w:tcPr>
          <w:p>
            <w:pPr>
              <w:spacing w:after="0"/>
              <w:rPr>
                <w:sz w:val="20"/>
                <w:szCs w:val="20"/>
                <w:color w:val="auto"/>
              </w:rPr>
            </w:pPr>
            <w:r>
              <w:rPr>
                <w:rFonts w:ascii="Arial" w:cs="Arial" w:eastAsia="Arial" w:hAnsi="Arial"/>
                <w:sz w:val="13"/>
                <w:szCs w:val="13"/>
                <w:color w:val="auto"/>
              </w:rPr>
              <w:t>Fair value per option(5)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   10.45</w:t>
            </w:r>
          </w:p>
        </w:tc>
        <w:tc>
          <w:tcPr>
            <w:tcW w:w="1460" w:type="dxa"/>
            <w:vAlign w:val="bottom"/>
            <w:gridSpan w:val="3"/>
          </w:tcPr>
          <w:p>
            <w:pPr>
              <w:jc w:val="right"/>
              <w:ind w:right="520"/>
              <w:spacing w:after="0"/>
              <w:rPr>
                <w:sz w:val="20"/>
                <w:szCs w:val="20"/>
                <w:color w:val="auto"/>
              </w:rPr>
            </w:pPr>
            <w:r>
              <w:rPr>
                <w:rFonts w:ascii="Arial" w:cs="Arial" w:eastAsia="Arial" w:hAnsi="Arial"/>
                <w:sz w:val="13"/>
                <w:szCs w:val="13"/>
                <w:color w:val="auto"/>
              </w:rPr>
              <w:t>$   12.65</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   13.36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1880" w:hanging="385"/>
        <w:spacing w:after="0"/>
        <w:tabs>
          <w:tab w:leader="none" w:pos="18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Risk-free interest rate is based upon U.S. Treasury yield curve appropriate for the term of the Company’s employee stock options.</w:t>
      </w:r>
    </w:p>
    <w:p>
      <w:pPr>
        <w:spacing w:after="0" w:line="52" w:lineRule="exact"/>
        <w:rPr>
          <w:rFonts w:ascii="Arial" w:cs="Arial" w:eastAsia="Arial" w:hAnsi="Arial"/>
          <w:sz w:val="13"/>
          <w:szCs w:val="13"/>
          <w:color w:val="auto"/>
        </w:rPr>
      </w:pPr>
    </w:p>
    <w:p>
      <w:pPr>
        <w:ind w:left="1880" w:hanging="385"/>
        <w:spacing w:after="0"/>
        <w:tabs>
          <w:tab w:leader="none" w:pos="18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Expected life of stock options is based upon historical experience.</w:t>
      </w:r>
    </w:p>
    <w:p>
      <w:pPr>
        <w:spacing w:after="0" w:line="92" w:lineRule="exact"/>
        <w:rPr>
          <w:rFonts w:ascii="Arial" w:cs="Arial" w:eastAsia="Arial" w:hAnsi="Arial"/>
          <w:sz w:val="13"/>
          <w:szCs w:val="13"/>
          <w:color w:val="auto"/>
        </w:rPr>
      </w:pPr>
    </w:p>
    <w:p>
      <w:pPr>
        <w:ind w:left="1880" w:hanging="385"/>
        <w:spacing w:after="0"/>
        <w:tabs>
          <w:tab w:leader="none" w:pos="18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Expected volatility for fiscal years 2008, 2007 and 2006 is based on blended volatility.</w:t>
      </w:r>
    </w:p>
    <w:p>
      <w:pPr>
        <w:spacing w:after="0" w:line="92" w:lineRule="exact"/>
        <w:rPr>
          <w:rFonts w:ascii="Arial" w:cs="Arial" w:eastAsia="Arial" w:hAnsi="Arial"/>
          <w:sz w:val="13"/>
          <w:szCs w:val="13"/>
          <w:color w:val="auto"/>
        </w:rPr>
      </w:pPr>
    </w:p>
    <w:p>
      <w:pPr>
        <w:ind w:left="1880" w:hanging="385"/>
        <w:spacing w:after="0"/>
        <w:tabs>
          <w:tab w:leader="none" w:pos="18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Expected dividend yield is based on the Company’s history and future expectation of dividend payouts.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880" w:right="280" w:hanging="385"/>
        <w:spacing w:after="0" w:line="294" w:lineRule="auto"/>
        <w:tabs>
          <w:tab w:leader="none" w:pos="18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Fiscal 2006 includes fair value of options assumed in connection with the Company’s acquisitions of Qpass and Cramer. Please see Note 3 to the consolidated financial statements. Fiscal 2006 fair value is $11.34, excluding Qpass and Cramer assumed options.</w:t>
      </w:r>
    </w:p>
    <w:p>
      <w:pPr>
        <w:spacing w:after="0" w:line="12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40" w:type="dxa"/>
            <w:vAlign w:val="bottom"/>
          </w:tcPr>
          <w:p>
            <w:pPr>
              <w:spacing w:after="0"/>
              <w:rPr>
                <w:sz w:val="20"/>
                <w:szCs w:val="20"/>
                <w:color w:val="auto"/>
              </w:rPr>
            </w:pPr>
            <w:r>
              <w:rPr>
                <w:rFonts w:ascii="Arial" w:cs="Arial" w:eastAsia="Arial" w:hAnsi="Arial"/>
                <w:sz w:val="13"/>
                <w:szCs w:val="13"/>
                <w:b w:val="1"/>
                <w:bCs w:val="1"/>
                <w:color w:val="auto"/>
              </w:rPr>
              <w:t>Note 18 —</w:t>
            </w:r>
          </w:p>
        </w:tc>
        <w:tc>
          <w:tcPr>
            <w:tcW w:w="5660" w:type="dxa"/>
            <w:vAlign w:val="bottom"/>
          </w:tcPr>
          <w:p>
            <w:pPr>
              <w:ind w:left="80"/>
              <w:spacing w:after="0"/>
              <w:rPr>
                <w:sz w:val="20"/>
                <w:szCs w:val="20"/>
                <w:color w:val="auto"/>
              </w:rPr>
            </w:pPr>
            <w:r>
              <w:rPr>
                <w:rFonts w:ascii="Arial" w:cs="Arial" w:eastAsia="Arial" w:hAnsi="Arial"/>
                <w:sz w:val="13"/>
                <w:szCs w:val="13"/>
                <w:b w:val="1"/>
                <w:bCs w:val="1"/>
                <w:color w:val="auto"/>
              </w:rPr>
              <w:t>Earnings Per Share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500" w:type="dxa"/>
            <w:vAlign w:val="bottom"/>
            <w:gridSpan w:val="2"/>
          </w:tcPr>
          <w:p>
            <w:pPr>
              <w:ind w:left="40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Year ended September 30,</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8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2007</w:t>
            </w: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5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gridSpan w:val="2"/>
          </w:tcPr>
          <w:p>
            <w:pPr>
              <w:ind w:left="140"/>
              <w:spacing w:after="0"/>
              <w:rPr>
                <w:sz w:val="20"/>
                <w:szCs w:val="20"/>
                <w:color w:val="auto"/>
              </w:rPr>
            </w:pPr>
            <w:r>
              <w:rPr>
                <w:rFonts w:ascii="Arial" w:cs="Arial" w:eastAsia="Arial" w:hAnsi="Arial"/>
                <w:sz w:val="13"/>
                <w:szCs w:val="13"/>
                <w:color w:val="auto"/>
              </w:rPr>
              <w:t>Numerator for basic earnings per share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378,906</w:t>
            </w:r>
          </w:p>
        </w:tc>
        <w:tc>
          <w:tcPr>
            <w:tcW w:w="6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364,937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318,636</w:t>
            </w: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3,940</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3,940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3,948</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3"/>
                <w:szCs w:val="13"/>
                <w:color w:val="auto"/>
              </w:rPr>
              <w:t>Numerator for diluted earnings per share</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382,846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368,877</w:t>
            </w: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322,584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5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00" w:type="dxa"/>
            <w:vAlign w:val="bottom"/>
            <w:gridSpan w:val="2"/>
          </w:tcPr>
          <w:p>
            <w:pPr>
              <w:ind w:left="140"/>
              <w:spacing w:after="0"/>
              <w:rPr>
                <w:sz w:val="20"/>
                <w:szCs w:val="20"/>
                <w:color w:val="auto"/>
              </w:rPr>
            </w:pPr>
            <w:r>
              <w:rPr>
                <w:rFonts w:ascii="Arial" w:cs="Arial" w:eastAsia="Arial" w:hAnsi="Arial"/>
                <w:sz w:val="13"/>
                <w:szCs w:val="13"/>
                <w:color w:val="auto"/>
              </w:rPr>
              <w:t>Denominator for basic earnings per share — weighted average number of shares outstanding</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206,590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207,846</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203,194</w:t>
            </w: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380</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373</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1"/>
        </w:trPr>
        <w:tc>
          <w:tcPr>
            <w:tcW w:w="6500" w:type="dxa"/>
            <w:vAlign w:val="bottom"/>
            <w:gridSpan w:val="2"/>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10,436</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10,436</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10,436</w:t>
            </w: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dilutive stock options granted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2,200</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4,601</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4,763</w:t>
            </w:r>
          </w:p>
        </w:tc>
        <w:tc>
          <w:tcPr>
            <w:tcW w:w="0" w:type="dxa"/>
            <w:vAlign w:val="bottom"/>
          </w:tcPr>
          <w:p>
            <w:pPr>
              <w:spacing w:after="0"/>
              <w:rPr>
                <w:sz w:val="1"/>
                <w:szCs w:val="1"/>
                <w:color w:val="auto"/>
              </w:rPr>
            </w:pPr>
          </w:p>
        </w:tc>
      </w:tr>
      <w:tr>
        <w:trPr>
          <w:trHeight w:val="161"/>
        </w:trPr>
        <w:tc>
          <w:tcPr>
            <w:tcW w:w="6500" w:type="dxa"/>
            <w:vAlign w:val="bottom"/>
            <w:gridSpan w:val="2"/>
          </w:tcPr>
          <w:p>
            <w:pPr>
              <w:ind w:left="140"/>
              <w:spacing w:after="0"/>
              <w:rPr>
                <w:sz w:val="20"/>
                <w:szCs w:val="20"/>
                <w:color w:val="auto"/>
              </w:rPr>
            </w:pPr>
            <w:r>
              <w:rPr>
                <w:rFonts w:ascii="Arial" w:cs="Arial" w:eastAsia="Arial" w:hAnsi="Arial"/>
                <w:sz w:val="13"/>
                <w:szCs w:val="13"/>
                <w:color w:val="auto"/>
              </w:rPr>
              <w:t>Denominator for dilutive earnings per share — adjusted weighted average shares and assumed conversions</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219,606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223,256</w:t>
            </w: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218,534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Basic earnings per share</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1.76</w:t>
            </w:r>
          </w:p>
        </w:tc>
        <w:tc>
          <w:tcPr>
            <w:tcW w:w="4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1.65</w:t>
            </w:r>
          </w:p>
        </w:tc>
        <w:tc>
          <w:tcPr>
            <w:tcW w:w="4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effect of the 0.50% Notes issued by the Company in March 2004 on diluted earnings per share was included in the above calculation. Please see Note 2 to the consolidated financial statements.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effect of the repurchase of ordinary shares by the Company has been included in the calculation of basic earnings per share.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19 —</w:t>
      </w:r>
      <w:r>
        <w:rPr>
          <w:sz w:val="20"/>
          <w:szCs w:val="20"/>
          <w:color w:val="auto"/>
        </w:rPr>
        <w:tab/>
      </w:r>
      <w:r>
        <w:rPr>
          <w:rFonts w:ascii="Arial" w:cs="Arial" w:eastAsia="Arial" w:hAnsi="Arial"/>
          <w:sz w:val="11"/>
          <w:szCs w:val="11"/>
          <w:b w:val="1"/>
          <w:bCs w:val="1"/>
          <w:color w:val="auto"/>
        </w:rPr>
        <w:t>Segment Information and Sales to Significant Customers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and its subsidiaries operate in one operating segment, providing software products and services for the communications, media and entertainment industry.</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Geographic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and long-lived assets by geographic area. Revenue is attributed to geographic region based on the location of the customers.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tcPr>
          <w:p>
            <w:pPr>
              <w:ind w:left="380"/>
              <w:spacing w:after="0"/>
              <w:rPr>
                <w:sz w:val="20"/>
                <w:szCs w:val="20"/>
                <w:color w:val="auto"/>
              </w:rPr>
            </w:pPr>
            <w:r>
              <w:rPr>
                <w:rFonts w:ascii="Arial" w:cs="Arial" w:eastAsia="Arial" w:hAnsi="Arial"/>
                <w:sz w:val="11"/>
                <w:szCs w:val="11"/>
                <w:b w:val="1"/>
                <w:bCs w:val="1"/>
                <w:color w:val="auto"/>
              </w:rPr>
              <w:t>Year ended September 30,</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2008</w:t>
            </w: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2007</w:t>
            </w: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75"/>
              <w:spacing w:after="0" w:line="101" w:lineRule="exact"/>
              <w:rPr>
                <w:sz w:val="20"/>
                <w:szCs w:val="20"/>
                <w:color w:val="auto"/>
              </w:rPr>
            </w:pPr>
            <w:r>
              <w:rPr>
                <w:rFonts w:ascii="Arial" w:cs="Arial" w:eastAsia="Arial" w:hAnsi="Arial"/>
                <w:sz w:val="11"/>
                <w:szCs w:val="11"/>
                <w:b w:val="1"/>
                <w:bCs w:val="1"/>
                <w:color w:val="auto"/>
                <w:w w:val="97"/>
              </w:rPr>
              <w:t>2006</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5600" w:type="dxa"/>
            <w:vAlign w:val="bottom"/>
            <w:gridSpan w:val="3"/>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Revenue</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30"/>
        </w:trPr>
        <w:tc>
          <w:tcPr>
            <w:tcW w:w="5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United States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1,762,210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3"/>
                <w:szCs w:val="13"/>
                <w:color w:val="auto"/>
              </w:rPr>
              <w:t>1,482,668</w:t>
            </w:r>
          </w:p>
        </w:tc>
        <w:tc>
          <w:tcPr>
            <w:tcW w:w="18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1,319,261</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Canada</w:t>
            </w:r>
          </w:p>
        </w:tc>
        <w:tc>
          <w:tcPr>
            <w:tcW w:w="2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405,569</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400,530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406,941</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Europe</w:t>
            </w:r>
          </w:p>
        </w:tc>
        <w:tc>
          <w:tcPr>
            <w:tcW w:w="2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548,027</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609,170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539,784</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2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446,290</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343,805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214,064</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Total</w:t>
            </w: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3,162,096</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2,836,173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2,480,050</w:t>
            </w:r>
          </w:p>
        </w:tc>
        <w:tc>
          <w:tcPr>
            <w:tcW w:w="8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1"/>
                <w:szCs w:val="11"/>
                <w:b w:val="1"/>
                <w:bCs w:val="1"/>
                <w:color w:val="auto"/>
                <w:w w:val="98"/>
              </w:rPr>
              <w:t>As of September 30,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56"/>
              <w:spacing w:after="0" w:line="101" w:lineRule="exact"/>
              <w:rPr>
                <w:sz w:val="20"/>
                <w:szCs w:val="20"/>
                <w:color w:val="auto"/>
              </w:rPr>
            </w:pPr>
            <w:r>
              <w:rPr>
                <w:rFonts w:ascii="Arial" w:cs="Arial" w:eastAsia="Arial" w:hAnsi="Arial"/>
                <w:sz w:val="11"/>
                <w:szCs w:val="11"/>
                <w:b w:val="1"/>
                <w:bCs w:val="1"/>
                <w:color w:val="auto"/>
                <w:w w:val="89"/>
              </w:rPr>
              <w:t>2008</w:t>
            </w: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2007</w:t>
            </w: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1180" w:type="dxa"/>
            <w:vAlign w:val="bottom"/>
            <w:tcBorders>
              <w:bottom w:val="single" w:sz="8" w:color="auto"/>
            </w:tcBorders>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0"/>
              </w:rPr>
              <w:t>Long-lived Assets(1)</w:t>
            </w:r>
          </w:p>
        </w:tc>
        <w:tc>
          <w:tcPr>
            <w:tcW w:w="44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United States</w:t>
            </w: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153,739</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137,160</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98,607</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Israel</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56,130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52,717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47,315</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India</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39,208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33,159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22,190</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Europe</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33,165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23,665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13,098</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Rest of the world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34,839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37,138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39,080</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317,081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283,839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220,290</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(1)  Includes equipment, vehicles and leasehold improvements.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and Customer Information</w:t>
      </w:r>
    </w:p>
    <w:p>
      <w:pPr>
        <w:spacing w:after="0" w:line="102" w:lineRule="exact"/>
        <w:rPr>
          <w:sz w:val="20"/>
          <w:szCs w:val="20"/>
          <w:color w:val="auto"/>
        </w:rPr>
      </w:pPr>
    </w:p>
    <w:p>
      <w:pPr>
        <w:ind w:left="680" w:right="860" w:firstLine="399"/>
        <w:spacing w:after="0" w:line="290" w:lineRule="auto"/>
        <w:rPr>
          <w:sz w:val="20"/>
          <w:szCs w:val="20"/>
          <w:color w:val="auto"/>
        </w:rPr>
      </w:pPr>
      <w:r>
        <w:rPr>
          <w:rFonts w:ascii="Arial" w:cs="Arial" w:eastAsia="Arial" w:hAnsi="Arial"/>
          <w:sz w:val="12"/>
          <w:szCs w:val="12"/>
          <w:color w:val="auto"/>
        </w:rPr>
        <w:t>Customer experience systems includes the following offerings: revenue management (billing and charging, mediation, and partner settlement), customer management (contact center and agent interaction, service and support, sales and ordering, and online and self-directed interactions), service and resource management (OSS) (network planning, service fulfillment, service assurance and inventory and discovery) digital commerce and service delivery (digital commerce, search and digital advertising, open services and service delivery and control), information management (product management and customer data integration) and foundation (application framework, operational framework and delivery framework). Customer experience systems also includes a comprehensive line of services such as consulting, delivery and managed services, system implementation, integration, modification, consolidation, modernization and ongoing support, enhancement and maintenance services. Directory includes directory sales and publishing systems and related services for publishers of both traditional printed yellow page and white page directories and electronic Internet directories.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b w:val="1"/>
                <w:bCs w:val="1"/>
                <w:color w:val="auto"/>
              </w:rPr>
              <w:t>Year ended September 30,</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2008</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2007</w:t>
            </w: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Customer experience systems</w:t>
            </w:r>
          </w:p>
        </w:tc>
        <w:tc>
          <w:tcPr>
            <w:tcW w:w="262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2,894,335</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2,551,718</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2,201,245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Directory</w:t>
            </w: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267,761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284,455</w:t>
            </w:r>
          </w:p>
        </w:tc>
        <w:tc>
          <w:tcPr>
            <w:tcW w:w="2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278,805</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3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3,162,096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2,836,173</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2,480,050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20" w:type="dxa"/>
            <w:vAlign w:val="bottom"/>
            <w:gridSpan w:val="2"/>
          </w:tcPr>
          <w:p>
            <w:pPr>
              <w:jc w:val="right"/>
              <w:ind w:right="690"/>
              <w:spacing w:after="0"/>
              <w:rPr>
                <w:sz w:val="20"/>
                <w:szCs w:val="20"/>
                <w:color w:val="auto"/>
              </w:rPr>
            </w:pPr>
            <w:r>
              <w:rPr>
                <w:rFonts w:ascii="Arial" w:cs="Arial" w:eastAsia="Arial" w:hAnsi="Arial"/>
                <w:sz w:val="13"/>
                <w:szCs w:val="13"/>
                <w:color w:val="auto"/>
              </w:rPr>
              <w:t>F-36</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2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to Significant Customers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percentage of sales to significant customers groups (when they exceed 10 percent of total revenue for the year).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87"/>
              </w:rPr>
              <w:t>Year ended September 30,</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778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97"/>
              </w:rPr>
              <w:t>2008</w:t>
            </w:r>
          </w:p>
        </w:tc>
        <w:tc>
          <w:tcPr>
            <w:tcW w:w="140" w:type="dxa"/>
            <w:vAlign w:val="bottom"/>
          </w:tcPr>
          <w:p>
            <w:pPr>
              <w:spacing w:after="0"/>
              <w:rPr>
                <w:sz w:val="8"/>
                <w:szCs w:val="8"/>
                <w:color w:val="auto"/>
              </w:rPr>
            </w:pPr>
          </w:p>
        </w:tc>
        <w:tc>
          <w:tcPr>
            <w:tcW w:w="760" w:type="dxa"/>
            <w:vAlign w:val="bottom"/>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2007</w:t>
            </w:r>
          </w:p>
        </w:tc>
        <w:tc>
          <w:tcPr>
            <w:tcW w:w="62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8"/>
                <w:szCs w:val="8"/>
                <w:color w:val="auto"/>
              </w:rPr>
            </w:pPr>
          </w:p>
        </w:tc>
      </w:tr>
      <w:tr>
        <w:trPr>
          <w:trHeight w:val="30"/>
        </w:trPr>
        <w:tc>
          <w:tcPr>
            <w:tcW w:w="77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Customer 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2"/>
              </w:rPr>
              <w:t>28%</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22%</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2"/>
              </w:rPr>
              <w:t>23%</w:t>
            </w:r>
          </w:p>
        </w:tc>
      </w:tr>
      <w:tr>
        <w:trPr>
          <w:trHeight w:val="161"/>
        </w:trPr>
        <w:tc>
          <w:tcPr>
            <w:tcW w:w="7780" w:type="dxa"/>
            <w:vAlign w:val="bottom"/>
          </w:tcPr>
          <w:p>
            <w:pPr>
              <w:spacing w:after="0"/>
              <w:rPr>
                <w:sz w:val="20"/>
                <w:szCs w:val="20"/>
                <w:color w:val="auto"/>
              </w:rPr>
            </w:pPr>
            <w:r>
              <w:rPr>
                <w:rFonts w:ascii="Arial" w:cs="Arial" w:eastAsia="Arial" w:hAnsi="Arial"/>
                <w:sz w:val="13"/>
                <w:szCs w:val="13"/>
                <w:color w:val="auto"/>
              </w:rPr>
              <w:t>Customer 2</w:t>
            </w:r>
          </w:p>
        </w:tc>
        <w:tc>
          <w:tcPr>
            <w:tcW w:w="420" w:type="dxa"/>
            <w:vAlign w:val="bottom"/>
            <w:gridSpan w:val="2"/>
          </w:tcPr>
          <w:p>
            <w:pPr>
              <w:ind w:left="160"/>
              <w:spacing w:after="0"/>
              <w:rPr>
                <w:sz w:val="20"/>
                <w:szCs w:val="20"/>
                <w:color w:val="auto"/>
              </w:rPr>
            </w:pPr>
            <w:r>
              <w:rPr>
                <w:rFonts w:ascii="Arial" w:cs="Arial" w:eastAsia="Arial" w:hAnsi="Arial"/>
                <w:sz w:val="13"/>
                <w:szCs w:val="13"/>
                <w:color w:val="auto"/>
              </w:rPr>
              <w:t>12</w:t>
            </w:r>
          </w:p>
        </w:tc>
        <w:tc>
          <w:tcPr>
            <w:tcW w:w="1380" w:type="dxa"/>
            <w:vAlign w:val="bottom"/>
            <w:gridSpan w:val="3"/>
          </w:tcPr>
          <w:p>
            <w:pPr>
              <w:ind w:left="640"/>
              <w:spacing w:after="0"/>
              <w:rPr>
                <w:sz w:val="20"/>
                <w:szCs w:val="20"/>
                <w:color w:val="auto"/>
              </w:rPr>
            </w:pPr>
            <w:r>
              <w:rPr>
                <w:rFonts w:ascii="Arial" w:cs="Arial" w:eastAsia="Arial" w:hAnsi="Arial"/>
                <w:sz w:val="13"/>
                <w:szCs w:val="13"/>
                <w:color w:val="auto"/>
              </w:rPr>
              <w:t>15</w:t>
            </w: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13</w:t>
            </w: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Customer 3</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11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14</w:t>
            </w:r>
          </w:p>
        </w:tc>
      </w:tr>
    </w:tbl>
    <w:p>
      <w:pPr>
        <w:spacing w:after="0" w:line="15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20 —</w:t>
      </w:r>
      <w:r>
        <w:rPr>
          <w:sz w:val="20"/>
          <w:szCs w:val="20"/>
          <w:color w:val="auto"/>
        </w:rPr>
        <w:tab/>
      </w:r>
      <w:r>
        <w:rPr>
          <w:rFonts w:ascii="Arial" w:cs="Arial" w:eastAsia="Arial" w:hAnsi="Arial"/>
          <w:sz w:val="12"/>
          <w:szCs w:val="12"/>
          <w:b w:val="1"/>
          <w:bCs w:val="1"/>
          <w:color w:val="auto"/>
        </w:rPr>
        <w:t>Operational Efficiency and Cost Reduction Programs</w:t>
      </w:r>
    </w:p>
    <w:p>
      <w:pPr>
        <w:spacing w:after="0" w:line="104" w:lineRule="exact"/>
        <w:rPr>
          <w:sz w:val="20"/>
          <w:szCs w:val="20"/>
          <w:color w:val="auto"/>
        </w:rPr>
      </w:pPr>
    </w:p>
    <w:p>
      <w:pPr>
        <w:jc w:val="both"/>
        <w:ind w:left="680" w:right="20" w:firstLine="399"/>
        <w:spacing w:after="0" w:line="294" w:lineRule="auto"/>
        <w:rPr>
          <w:sz w:val="20"/>
          <w:szCs w:val="20"/>
          <w:color w:val="auto"/>
        </w:rPr>
      </w:pPr>
      <w:r>
        <w:rPr>
          <w:rFonts w:ascii="Arial" w:cs="Arial" w:eastAsia="Arial" w:hAnsi="Arial"/>
          <w:sz w:val="13"/>
          <w:szCs w:val="13"/>
          <w:color w:val="auto"/>
        </w:rPr>
        <w:t>In accordance with SFAS No. 112 “Employers’ Accounting for Post Employment Benefits” (“SFAS No. 112”) and SFAS No. 146, “Accounting for Costs Associated with Exit or Disposal Activities” (“SFAS No. 146”), the Company recognized a total of $12,116, $6,011 and $0 in restructuring charges in fiscal 2008, 2007 and 2006, respectively.</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In the quarter ended September 30, 2008, the Company commenced a series of measures designed to improve efficiency and align its operational structure to its expected future growth. As part of this plan, the Company recorded a charge of $12,116, consisting of employee separation costs in connection with the termination of the employment of software and information technology specialists and administrative professionals at various locations around the world. Approximately $1,926 of the total charge had been paid in cash as of September 30, 2008.</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In the quarter ended March 31, 2007, the Company commenced a series of measures designed to align its operational structure to its expected future growth and to improve efficiency. As part of this plan, the Company recorded a charge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$5,322 of the total charge had been paid in cash as of September 30, 2008. The facility related costs are expected to be paid through May 2013.</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restructuring accrual for this cost reduction program is comprised of the following as of September 30, 2008:</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1"/>
                <w:szCs w:val="11"/>
                <w:b w:val="1"/>
                <w:bCs w:val="1"/>
                <w:color w:val="auto"/>
                <w:w w:val="84"/>
              </w:rPr>
              <w:t>Employee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tcPr>
          <w:p>
            <w:pPr>
              <w:jc w:val="center"/>
              <w:ind w:right="580"/>
              <w:spacing w:after="0" w:line="111" w:lineRule="exact"/>
              <w:rPr>
                <w:sz w:val="20"/>
                <w:szCs w:val="20"/>
                <w:color w:val="auto"/>
              </w:rPr>
            </w:pPr>
            <w:r>
              <w:rPr>
                <w:rFonts w:ascii="Arial" w:cs="Arial" w:eastAsia="Arial" w:hAnsi="Arial"/>
                <w:sz w:val="11"/>
                <w:szCs w:val="11"/>
                <w:b w:val="1"/>
                <w:bCs w:val="1"/>
                <w:color w:val="auto"/>
                <w:w w:val="87"/>
              </w:rPr>
              <w:t>Separation</w:t>
            </w:r>
          </w:p>
        </w:tc>
        <w:tc>
          <w:tcPr>
            <w:tcW w:w="120" w:type="dxa"/>
            <w:vAlign w:val="bottom"/>
          </w:tcPr>
          <w:p>
            <w:pPr>
              <w:spacing w:after="0"/>
              <w:rPr>
                <w:sz w:val="9"/>
                <w:szCs w:val="9"/>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w w:val="89"/>
              </w:rPr>
              <w:t>Facilities</w:t>
            </w:r>
          </w:p>
        </w:tc>
        <w:tc>
          <w:tcPr>
            <w:tcW w:w="140" w:type="dxa"/>
            <w:vAlign w:val="bottom"/>
          </w:tcPr>
          <w:p>
            <w:pPr>
              <w:spacing w:after="0"/>
              <w:rPr>
                <w:sz w:val="9"/>
                <w:szCs w:val="9"/>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28"/>
        </w:trPr>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1"/>
                <w:szCs w:val="11"/>
                <w:b w:val="1"/>
                <w:bCs w:val="1"/>
                <w:color w:val="auto"/>
                <w:w w:val="78"/>
              </w:rPr>
              <w:t>Costs</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October 1,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Cash payments</w:t>
            </w:r>
          </w:p>
        </w:tc>
        <w:tc>
          <w:tcPr>
            <w:tcW w:w="10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3"/>
                <w:szCs w:val="13"/>
                <w:color w:val="auto"/>
              </w:rPr>
              <w:t>(401)</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Non-cash</w:t>
            </w: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(447)</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Balance as of September 30, 2008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4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describes restructuring actions the Company initiated in fiscal 2005:</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In connection with the acquisition of DST Innovis, Inc. and DST Interactive, Inc. (collectively, “DST Innovis”) in fiscal 2005, the Company commenced integration activities with respect to the DST Innovis business based on a plan to exit specific research and development activities and to terminate employees</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associated with these activities. The liabilities associated with this plan, which were recorded as part of the purchase accounting, are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1"/>
                <w:szCs w:val="11"/>
                <w:b w:val="1"/>
                <w:bCs w:val="1"/>
                <w:color w:val="auto"/>
              </w:rPr>
              <w:t>Contractual</w:t>
            </w:r>
          </w:p>
        </w:tc>
        <w:tc>
          <w:tcPr>
            <w:tcW w:w="100" w:type="dxa"/>
            <w:vAlign w:val="bottom"/>
          </w:tcPr>
          <w:p>
            <w:pPr>
              <w:spacing w:after="0"/>
              <w:rPr>
                <w:sz w:val="10"/>
                <w:szCs w:val="10"/>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1"/>
                <w:szCs w:val="11"/>
                <w:b w:val="1"/>
                <w:bCs w:val="1"/>
                <w:color w:val="auto"/>
                <w:w w:val="95"/>
              </w:rPr>
              <w:t>Other</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6800" w:type="dxa"/>
            <w:vAlign w:val="bottom"/>
          </w:tcPr>
          <w:p>
            <w:pPr>
              <w:spacing w:after="0"/>
              <w:rPr>
                <w:sz w:val="11"/>
                <w:szCs w:val="11"/>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1"/>
                <w:szCs w:val="11"/>
                <w:b w:val="1"/>
                <w:bCs w:val="1"/>
                <w:color w:val="auto"/>
              </w:rPr>
              <w:t>Obligations</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October 1, 2007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$4,247</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Cash payments</w:t>
            </w:r>
          </w:p>
        </w:tc>
        <w:tc>
          <w:tcPr>
            <w:tcW w:w="1400" w:type="dxa"/>
            <w:vAlign w:val="bottom"/>
            <w:gridSpan w:val="3"/>
          </w:tcPr>
          <w:p>
            <w:pPr>
              <w:jc w:val="right"/>
              <w:ind w:right="440"/>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Non-cash adjustments</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(3,576)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(3,688)</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Balance as of September 30, 2008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41</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21 —</w:t>
      </w:r>
      <w:r>
        <w:rPr>
          <w:sz w:val="20"/>
          <w:szCs w:val="20"/>
          <w:color w:val="auto"/>
        </w:rPr>
        <w:tab/>
      </w:r>
      <w:r>
        <w:rPr>
          <w:rFonts w:ascii="Arial" w:cs="Arial" w:eastAsia="Arial" w:hAnsi="Arial"/>
          <w:sz w:val="12"/>
          <w:szCs w:val="12"/>
          <w:b w:val="1"/>
          <w:bCs w:val="1"/>
          <w:color w:val="auto"/>
        </w:rPr>
        <w:t>Financial Instruments</w:t>
      </w:r>
    </w:p>
    <w:p>
      <w:pPr>
        <w:spacing w:after="0" w:line="104"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The Company enters into forward contracts and options to purchase and sell foreign currencies to reduce the net exposure associated with revenue denominated in a foreign currency and net exposure associated with anticipated expenses (primarily personnel costs) in non-U.S. dollar-based currencies and designates these for accounting purposes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2008 and 2007, the Company had no outstanding fair value hedges. The derivative financial instruments are afforded hedge accounting because they are effective in managing foreign exchange risks and are appropriately assigned to the underlying exposures. The Company also enters into forward contracts that are not designated as hedging instruments under SFAS No. 133 and are used to offset the effect of exchange rates on certain assets and liabilities and certain revenue and expense that are not designated for accounting purposes as cash flow hedges. The Company does not engage in currency speculation. The Company currently enters into forward exchange contracts and options exclusively with major financial institutions. The Company currently hedges its exposure to the variability in future cash flows for a maximum period of two years.</w:t>
      </w:r>
    </w:p>
    <w:p>
      <w:pPr>
        <w:spacing w:after="0" w:line="67" w:lineRule="exact"/>
        <w:rPr>
          <w:sz w:val="20"/>
          <w:szCs w:val="20"/>
          <w:color w:val="auto"/>
        </w:rPr>
      </w:pPr>
    </w:p>
    <w:p>
      <w:pPr>
        <w:ind w:left="680" w:right="80" w:firstLine="399"/>
        <w:spacing w:after="0" w:line="292" w:lineRule="auto"/>
        <w:rPr>
          <w:sz w:val="20"/>
          <w:szCs w:val="20"/>
          <w:color w:val="auto"/>
        </w:rPr>
      </w:pPr>
      <w:r>
        <w:rPr>
          <w:rFonts w:ascii="Arial" w:cs="Arial" w:eastAsia="Arial" w:hAnsi="Arial"/>
          <w:sz w:val="12"/>
          <w:szCs w:val="12"/>
          <w:color w:val="auto"/>
        </w:rPr>
        <w:t>The hedges that are designated for accounting purposes as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The effective portion of the change in the fair value of forward exchange contracts or options, which are classified as cash flow hedges, is recorded as comprehensive income until the underlying transaction is recognized in earnings.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51"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The Company discontinues hedge accounting for a forward contract or options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41"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1040" w:firstLine="399"/>
        <w:spacing w:after="0" w:line="309" w:lineRule="auto"/>
        <w:rPr>
          <w:sz w:val="20"/>
          <w:szCs w:val="20"/>
          <w:color w:val="auto"/>
        </w:rPr>
      </w:pPr>
      <w:r>
        <w:rPr>
          <w:rFonts w:ascii="Arial" w:cs="Arial" w:eastAsia="Arial" w:hAnsi="Arial"/>
          <w:sz w:val="12"/>
          <w:szCs w:val="12"/>
          <w:color w:val="auto"/>
        </w:rPr>
        <w:t>The Company has $260,382 net negative notional value foreign currency forward contracts and options maturing through 2009. Negative notional amounts represent forward contracts and options to buy foreign currency. Notional amounts do not quantify risk or represent assets or liabilities of the Company but are used in calculation of cash settlements under the contracts. The fair value of the open contracts recorded by the Company in its consolidated balance sheets as an asset or a liability is as follows: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42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w w:val="86"/>
              </w:rPr>
              <w:t>As of September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8000" w:type="dxa"/>
            <w:vAlign w:val="bottom"/>
          </w:tcPr>
          <w:p>
            <w:pPr>
              <w:spacing w:after="0"/>
              <w:rPr>
                <w:sz w:val="8"/>
                <w:szCs w:val="8"/>
                <w:color w:val="auto"/>
              </w:rPr>
            </w:pPr>
          </w:p>
        </w:tc>
        <w:tc>
          <w:tcPr>
            <w:tcW w:w="700" w:type="dxa"/>
            <w:vAlign w:val="bottom"/>
            <w:tcBorders>
              <w:bottom w:val="single" w:sz="8" w:color="auto"/>
            </w:tcBorders>
          </w:tcPr>
          <w:p>
            <w:pPr>
              <w:jc w:val="right"/>
              <w:ind w:right="177"/>
              <w:spacing w:after="0" w:line="101" w:lineRule="exact"/>
              <w:rPr>
                <w:sz w:val="20"/>
                <w:szCs w:val="20"/>
                <w:color w:val="auto"/>
              </w:rPr>
            </w:pPr>
            <w:r>
              <w:rPr>
                <w:rFonts w:ascii="Arial" w:cs="Arial" w:eastAsia="Arial" w:hAnsi="Arial"/>
                <w:sz w:val="11"/>
                <w:szCs w:val="11"/>
                <w:b w:val="1"/>
                <w:bCs w:val="1"/>
                <w:color w:val="auto"/>
              </w:rPr>
              <w:t>2008</w:t>
            </w: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8"/>
                <w:szCs w:val="8"/>
                <w:color w:val="auto"/>
              </w:rPr>
            </w:pPr>
          </w:p>
        </w:tc>
      </w:tr>
      <w:tr>
        <w:trPr>
          <w:trHeight w:val="30"/>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$15,259</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$6,492</w:t>
            </w:r>
          </w:p>
        </w:tc>
      </w:tr>
      <w:tr>
        <w:trPr>
          <w:trHeight w:val="161"/>
        </w:trPr>
        <w:tc>
          <w:tcPr>
            <w:tcW w:w="800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r>
      <w:tr>
        <w:trPr>
          <w:trHeight w:val="161"/>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and other current liabilities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(23,517)</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(6,494)</w:t>
            </w:r>
          </w:p>
        </w:tc>
      </w:tr>
      <w:tr>
        <w:trPr>
          <w:trHeight w:val="161"/>
        </w:trPr>
        <w:tc>
          <w:tcPr>
            <w:tcW w:w="8000" w:type="dxa"/>
            <w:vAlign w:val="bottom"/>
          </w:tcPr>
          <w:p>
            <w:pPr>
              <w:spacing w:after="0"/>
              <w:rPr>
                <w:sz w:val="20"/>
                <w:szCs w:val="20"/>
                <w:color w:val="auto"/>
              </w:rPr>
            </w:pPr>
            <w:r>
              <w:rPr>
                <w:rFonts w:ascii="Arial" w:cs="Arial" w:eastAsia="Arial" w:hAnsi="Arial"/>
                <w:sz w:val="13"/>
                <w:szCs w:val="13"/>
                <w:color w:val="auto"/>
              </w:rPr>
              <w:t>Noncurrent liabilities and other</w:t>
            </w:r>
          </w:p>
        </w:tc>
        <w:tc>
          <w:tcPr>
            <w:tcW w:w="1420" w:type="dxa"/>
            <w:vAlign w:val="bottom"/>
            <w:gridSpan w:val="3"/>
          </w:tcPr>
          <w:p>
            <w:pPr>
              <w:jc w:val="right"/>
              <w:ind w:right="7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(1,388)</w:t>
            </w:r>
          </w:p>
        </w:tc>
      </w:tr>
      <w:tr>
        <w:trPr>
          <w:trHeight w:val="20"/>
        </w:trPr>
        <w:tc>
          <w:tcPr>
            <w:tcW w:w="8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Net fair value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$(8,230)</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$(1,380)</w:t>
            </w:r>
          </w:p>
        </w:tc>
      </w:tr>
      <w:tr>
        <w:trPr>
          <w:trHeight w:val="20"/>
        </w:trPr>
        <w:tc>
          <w:tcPr>
            <w:tcW w:w="8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significant portion of the forward contracts and options outstanding as of September 30, 2008 are expected to mature within the next year.</w:t>
      </w:r>
    </w:p>
    <w:p>
      <w:pPr>
        <w:spacing w:after="0" w:line="102"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During fiscal years 2008, 2007 and 2006, the gains or losses recognized in earnings for hedge ineffectiveness, excluding the time value portion excluded from effectiveness testing, were not material. During fiscal years 2008, 2007 and 2006, the Company recognized no material losses resulting from hedged forecasted cash flows that no longer qualified as cash flow hedges. All of the above gains or losses are included in “interest income and other, net.”</w:t>
      </w:r>
    </w:p>
    <w:p>
      <w:pPr>
        <w:spacing w:after="0" w:line="59" w:lineRule="exact"/>
        <w:rPr>
          <w:sz w:val="20"/>
          <w:szCs w:val="20"/>
          <w:color w:val="auto"/>
        </w:rPr>
      </w:pPr>
    </w:p>
    <w:p>
      <w:pPr>
        <w:ind w:left="680" w:right="840" w:firstLine="399"/>
        <w:spacing w:after="0" w:line="309" w:lineRule="auto"/>
        <w:rPr>
          <w:sz w:val="20"/>
          <w:szCs w:val="20"/>
          <w:color w:val="auto"/>
        </w:rPr>
      </w:pPr>
      <w:r>
        <w:rPr>
          <w:rFonts w:ascii="Arial" w:cs="Arial" w:eastAsia="Arial" w:hAnsi="Arial"/>
          <w:sz w:val="12"/>
          <w:szCs w:val="12"/>
          <w:color w:val="auto"/>
        </w:rPr>
        <w:t>Derivatives gains and losses, which are included in other comprehensive income, are reclassified into earnings at the time the forecasted revenue or expenses are recognized. The Company estimates that a $5,196 net loss related to forward contracts and options that are included in other comprehensive income as of September 30, 2008 will be reclassified into earnings within the next twelve months. The amount ultimately realized in earnings will likely differ due to future changes in foreign exchange rates.</w:t>
      </w:r>
    </w:p>
    <w:p>
      <w:pPr>
        <w:spacing w:after="0" w:line="1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22 —</w:t>
      </w:r>
      <w:r>
        <w:rPr>
          <w:sz w:val="20"/>
          <w:szCs w:val="20"/>
          <w:color w:val="auto"/>
        </w:rPr>
        <w:tab/>
      </w:r>
      <w:r>
        <w:rPr>
          <w:rFonts w:ascii="Arial" w:cs="Arial" w:eastAsia="Arial" w:hAnsi="Arial"/>
          <w:sz w:val="12"/>
          <w:szCs w:val="12"/>
          <w:b w:val="1"/>
          <w:bCs w:val="1"/>
          <w:color w:val="auto"/>
        </w:rPr>
        <w:t>Selected Quarterly Results of Operations (Unaudited)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details of the unaudited quarterly results of operations for the three months ended: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1"/>
                <w:szCs w:val="11"/>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0"/>
              </w:rPr>
              <w:t>March 31,</w:t>
            </w:r>
          </w:p>
        </w:tc>
        <w:tc>
          <w:tcPr>
            <w:tcW w:w="10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w:t>
            </w: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Revenue</w:t>
            </w:r>
          </w:p>
        </w:tc>
        <w:tc>
          <w:tcPr>
            <w:tcW w:w="2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825,277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820,288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774,281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742,250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101,463</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105,951</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102,880</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95,302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82,711</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100,672</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99,859</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95,664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0.38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0.44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Revenue</w:t>
            </w:r>
          </w:p>
        </w:tc>
        <w:tc>
          <w:tcPr>
            <w:tcW w:w="2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726,689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712,091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706,361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691,032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94,140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91,989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83,798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87,506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96,243</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88,181</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87,171</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93,342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0.45</w:t>
            </w: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0.43</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0.42</w:t>
            </w:r>
          </w:p>
        </w:tc>
        <w:tc>
          <w:tcPr>
            <w:tcW w:w="800" w:type="dxa"/>
            <w:vAlign w:val="bottom"/>
          </w:tcPr>
          <w:p>
            <w:pPr>
              <w:spacing w:after="0"/>
              <w:rPr>
                <w:sz w:val="14"/>
                <w:szCs w:val="14"/>
                <w:color w:val="auto"/>
              </w:rPr>
            </w:pPr>
          </w:p>
        </w:tc>
      </w:tr>
      <w:tr>
        <w:trPr>
          <w:trHeight w:val="453"/>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80" w:type="dxa"/>
            <w:vAlign w:val="bottom"/>
            <w:gridSpan w:val="2"/>
          </w:tcPr>
          <w:p>
            <w:pPr>
              <w:jc w:val="right"/>
              <w:ind w:right="480"/>
              <w:spacing w:after="0"/>
              <w:rPr>
                <w:sz w:val="20"/>
                <w:szCs w:val="20"/>
                <w:color w:val="auto"/>
              </w:rPr>
            </w:pPr>
            <w:r>
              <w:rPr>
                <w:rFonts w:ascii="Arial" w:cs="Arial" w:eastAsia="Arial" w:hAnsi="Arial"/>
                <w:sz w:val="13"/>
                <w:szCs w:val="13"/>
                <w:color w:val="auto"/>
              </w:rPr>
              <w:t>F-39</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Valuation Allowances</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gridSpan w:val="3"/>
            <w:vMerge w:val="restart"/>
          </w:tcPr>
          <w:p>
            <w:pPr>
              <w:jc w:val="right"/>
              <w:ind w:right="760"/>
              <w:spacing w:after="0"/>
              <w:rPr>
                <w:sz w:val="20"/>
                <w:szCs w:val="20"/>
                <w:color w:val="auto"/>
              </w:rPr>
            </w:pPr>
            <w:r>
              <w:rPr>
                <w:rFonts w:ascii="Arial" w:cs="Arial" w:eastAsia="Arial" w:hAnsi="Arial"/>
                <w:sz w:val="11"/>
                <w:szCs w:val="11"/>
                <w:b w:val="1"/>
                <w:bCs w:val="1"/>
                <w:color w:val="auto"/>
                <w:w w:val="95"/>
              </w:rPr>
              <w:t>Accounts Receivable</w:t>
            </w:r>
          </w:p>
        </w:tc>
        <w:tc>
          <w:tcPr>
            <w:tcW w:w="180" w:type="dxa"/>
            <w:vAlign w:val="bottom"/>
          </w:tcPr>
          <w:p>
            <w:pPr>
              <w:spacing w:after="0"/>
              <w:rPr>
                <w:sz w:val="9"/>
                <w:szCs w:val="9"/>
                <w:color w:val="auto"/>
              </w:rPr>
            </w:pPr>
          </w:p>
        </w:tc>
        <w:tc>
          <w:tcPr>
            <w:tcW w:w="16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on Net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2"/>
              </w:rPr>
              <w:t>Deferred Tax</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3"/>
          </w:tcPr>
          <w:p>
            <w:pPr>
              <w:jc w:val="right"/>
              <w:ind w:right="980"/>
              <w:spacing w:after="0"/>
              <w:rPr>
                <w:sz w:val="20"/>
                <w:szCs w:val="20"/>
                <w:color w:val="auto"/>
              </w:rPr>
            </w:pPr>
            <w:r>
              <w:rPr>
                <w:rFonts w:ascii="Arial" w:cs="Arial" w:eastAsia="Arial" w:hAnsi="Arial"/>
                <w:sz w:val="11"/>
                <w:szCs w:val="11"/>
                <w:b w:val="1"/>
                <w:bCs w:val="1"/>
                <w:color w:val="auto"/>
              </w:rPr>
              <w:t>Allowances</w:t>
            </w:r>
          </w:p>
        </w:tc>
        <w:tc>
          <w:tcPr>
            <w:tcW w:w="180" w:type="dxa"/>
            <w:vAlign w:val="bottom"/>
          </w:tcPr>
          <w:p>
            <w:pPr>
              <w:spacing w:after="0"/>
              <w:rPr>
                <w:sz w:val="11"/>
                <w:szCs w:val="11"/>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3"/>
              </w:rPr>
              <w:t>Assets</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2005</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6,908</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14,302</w:t>
            </w:r>
          </w:p>
        </w:tc>
        <w:tc>
          <w:tcPr>
            <w:tcW w:w="0" w:type="dxa"/>
            <w:vAlign w:val="bottom"/>
          </w:tcPr>
          <w:p>
            <w:pPr>
              <w:spacing w:after="0"/>
              <w:rPr>
                <w:sz w:val="1"/>
                <w:szCs w:val="1"/>
                <w:color w:val="auto"/>
              </w:rPr>
            </w:pPr>
          </w:p>
        </w:tc>
      </w:tr>
      <w:tr>
        <w:trPr>
          <w:trHeight w:val="161"/>
        </w:trPr>
        <w:tc>
          <w:tcPr>
            <w:tcW w:w="618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18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1,592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3"/>
                <w:szCs w:val="13"/>
                <w:color w:val="auto"/>
              </w:rPr>
              <w:t>3,640(1)</w:t>
            </w: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1,448</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18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180" w:type="dxa"/>
            <w:vAlign w:val="bottom"/>
          </w:tcPr>
          <w:p>
            <w:pPr>
              <w:spacing w:after="0"/>
              <w:rPr>
                <w:sz w:val="14"/>
                <w:szCs w:val="14"/>
                <w:color w:val="auto"/>
              </w:rPr>
            </w:pPr>
          </w:p>
        </w:tc>
        <w:tc>
          <w:tcPr>
            <w:tcW w:w="1840" w:type="dxa"/>
            <w:vAlign w:val="bottom"/>
            <w:gridSpan w:val="3"/>
          </w:tcPr>
          <w:p>
            <w:pPr>
              <w:jc w:val="right"/>
              <w:ind w:right="300"/>
              <w:spacing w:after="0"/>
              <w:rPr>
                <w:sz w:val="20"/>
                <w:szCs w:val="20"/>
                <w:color w:val="auto"/>
              </w:rPr>
            </w:pPr>
            <w:r>
              <w:rPr>
                <w:rFonts w:ascii="Arial" w:cs="Arial" w:eastAsia="Arial" w:hAnsi="Arial"/>
                <w:sz w:val="13"/>
                <w:szCs w:val="13"/>
                <w:color w:val="auto"/>
              </w:rPr>
              <w:t>4,406(2)</w:t>
            </w:r>
          </w:p>
        </w:tc>
        <w:tc>
          <w:tcPr>
            <w:tcW w:w="18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3"/>
                <w:szCs w:val="13"/>
                <w:color w:val="auto"/>
              </w:rPr>
              <w:t>11,393(3)</w:t>
            </w: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Deductions</w:t>
            </w:r>
          </w:p>
        </w:tc>
        <w:tc>
          <w:tcPr>
            <w:tcW w:w="18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(2,279)</w:t>
            </w: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3"/>
                <w:szCs w:val="13"/>
                <w:color w:val="auto"/>
              </w:rPr>
              <w:t>Balance as of September 30, 2006</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12,075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29,335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costs and expenses</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1,316</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9,933(4)</w:t>
            </w:r>
          </w:p>
        </w:tc>
        <w:tc>
          <w:tcPr>
            <w:tcW w:w="0" w:type="dxa"/>
            <w:vAlign w:val="bottom"/>
          </w:tcPr>
          <w:p>
            <w:pPr>
              <w:spacing w:after="0"/>
              <w:rPr>
                <w:sz w:val="1"/>
                <w:szCs w:val="1"/>
                <w:color w:val="auto"/>
              </w:rPr>
            </w:pPr>
          </w:p>
        </w:tc>
      </w:tr>
      <w:tr>
        <w:trPr>
          <w:trHeight w:val="161"/>
        </w:trPr>
        <w:tc>
          <w:tcPr>
            <w:tcW w:w="6180" w:type="dxa"/>
            <w:vAlign w:val="bottom"/>
            <w:gridSpan w:val="2"/>
          </w:tcPr>
          <w:p>
            <w:pPr>
              <w:ind w:left="140"/>
              <w:spacing w:after="0"/>
              <w:rPr>
                <w:sz w:val="20"/>
                <w:szCs w:val="20"/>
                <w:color w:val="auto"/>
              </w:rPr>
            </w:pPr>
            <w:r>
              <w:rPr>
                <w:rFonts w:ascii="Arial" w:cs="Arial" w:eastAsia="Arial" w:hAnsi="Arial"/>
                <w:sz w:val="13"/>
                <w:szCs w:val="13"/>
                <w:color w:val="auto"/>
              </w:rPr>
              <w:t>Charged to revenue</w:t>
            </w:r>
          </w:p>
        </w:tc>
        <w:tc>
          <w:tcPr>
            <w:tcW w:w="18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23,102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other accounts</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5,667(3)</w:t>
            </w:r>
          </w:p>
        </w:tc>
        <w:tc>
          <w:tcPr>
            <w:tcW w:w="0" w:type="dxa"/>
            <w:vAlign w:val="bottom"/>
          </w:tcPr>
          <w:p>
            <w:pPr>
              <w:spacing w:after="0"/>
              <w:rPr>
                <w:sz w:val="1"/>
                <w:szCs w:val="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3"/>
                <w:szCs w:val="13"/>
                <w:color w:val="auto"/>
              </w:rPr>
              <w:t>Deductions</w:t>
            </w:r>
          </w:p>
        </w:tc>
        <w:tc>
          <w:tcPr>
            <w:tcW w:w="180" w:type="dxa"/>
            <w:vAlign w:val="bottom"/>
          </w:tcPr>
          <w:p>
            <w:pPr>
              <w:spacing w:after="0"/>
              <w:rPr>
                <w:sz w:val="14"/>
                <w:szCs w:val="14"/>
                <w:color w:val="auto"/>
              </w:rPr>
            </w:pPr>
          </w:p>
        </w:tc>
        <w:tc>
          <w:tcPr>
            <w:tcW w:w="1840" w:type="dxa"/>
            <w:vAlign w:val="bottom"/>
            <w:gridSpan w:val="3"/>
          </w:tcPr>
          <w:p>
            <w:pPr>
              <w:jc w:val="right"/>
              <w:ind w:right="400"/>
              <w:spacing w:after="0"/>
              <w:rPr>
                <w:sz w:val="20"/>
                <w:szCs w:val="20"/>
                <w:color w:val="auto"/>
              </w:rPr>
            </w:pPr>
            <w:r>
              <w:rPr>
                <w:rFonts w:ascii="Arial" w:cs="Arial" w:eastAsia="Arial" w:hAnsi="Arial"/>
                <w:sz w:val="13"/>
                <w:szCs w:val="13"/>
                <w:color w:val="auto"/>
              </w:rPr>
              <w:t>(9,104)</w:t>
            </w:r>
          </w:p>
        </w:tc>
        <w:tc>
          <w:tcPr>
            <w:tcW w:w="1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(11,684)(5)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as of September 30, 2007</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27,416</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33,251</w:t>
            </w:r>
          </w:p>
        </w:tc>
        <w:tc>
          <w:tcPr>
            <w:tcW w:w="0" w:type="dxa"/>
            <w:vAlign w:val="bottom"/>
          </w:tcPr>
          <w:p>
            <w:pPr>
              <w:spacing w:after="0"/>
              <w:rPr>
                <w:sz w:val="1"/>
                <w:szCs w:val="1"/>
                <w:color w:val="auto"/>
              </w:rPr>
            </w:pPr>
          </w:p>
        </w:tc>
      </w:tr>
      <w:tr>
        <w:trPr>
          <w:trHeight w:val="161"/>
        </w:trPr>
        <w:tc>
          <w:tcPr>
            <w:tcW w:w="618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18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97</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3"/>
                <w:szCs w:val="13"/>
                <w:color w:val="auto"/>
              </w:rPr>
              <w:t>24,479(6)</w:t>
            </w: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18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18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7,607</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3"/>
                <w:szCs w:val="13"/>
                <w:color w:val="auto"/>
              </w:rPr>
              <w:t>26,208(3)</w:t>
            </w:r>
          </w:p>
        </w:tc>
        <w:tc>
          <w:tcPr>
            <w:tcW w:w="0" w:type="dxa"/>
            <w:vAlign w:val="bottom"/>
          </w:tcPr>
          <w:p>
            <w:pPr>
              <w:spacing w:after="0"/>
              <w:rPr>
                <w:sz w:val="1"/>
                <w:szCs w:val="1"/>
                <w:color w:val="auto"/>
              </w:rPr>
            </w:pPr>
          </w:p>
        </w:tc>
      </w:tr>
      <w:tr>
        <w:trPr>
          <w:trHeight w:val="161"/>
        </w:trPr>
        <w:tc>
          <w:tcPr>
            <w:tcW w:w="6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Deductions</w:t>
            </w:r>
          </w:p>
        </w:tc>
        <w:tc>
          <w:tcPr>
            <w:tcW w:w="18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(2,518)</w:t>
            </w: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(7,457)(5)</w:t>
            </w:r>
          </w:p>
        </w:tc>
        <w:tc>
          <w:tcPr>
            <w:tcW w:w="0" w:type="dxa"/>
            <w:vAlign w:val="bottom"/>
          </w:tcPr>
          <w:p>
            <w:pPr>
              <w:spacing w:after="0"/>
              <w:rPr>
                <w:sz w:val="1"/>
                <w:szCs w:val="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3"/>
                <w:szCs w:val="13"/>
                <w:color w:val="auto"/>
              </w:rPr>
              <w:t>Balance as of September 30, 2008</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34,564</w:t>
            </w: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76,481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2006.</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accounts receivable allowance of $4,406 acquired primarily as part of a 2006 acquisition.</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primarily in connection with 2006 acquisitions.</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2007.</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Deductions in the valuation allowances on net deferred tax assets were released to income taxes on the consolidated statements of income.</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2008.</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ectPr>
          <w:pgSz w:w="11900" w:h="16838" w:orient="portrait"/>
          <w:cols w:equalWidth="0" w:num="1">
            <w:col w:w="10660"/>
          </w:cols>
          <w:pgMar w:left="220" w:top="349" w:right="10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8</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Significant Subsidiaries of Amdocs Limited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3140" w:type="dxa"/>
            <w:vAlign w:val="bottom"/>
          </w:tcPr>
          <w:p>
            <w:pPr>
              <w:ind w:left="1580"/>
              <w:spacing w:after="0"/>
              <w:rPr>
                <w:sz w:val="20"/>
                <w:szCs w:val="20"/>
                <w:color w:val="auto"/>
              </w:rPr>
            </w:pPr>
            <w:r>
              <w:rPr>
                <w:rFonts w:ascii="Arial" w:cs="Arial" w:eastAsia="Arial" w:hAnsi="Arial"/>
                <w:sz w:val="11"/>
                <w:szCs w:val="11"/>
                <w:b w:val="1"/>
                <w:bCs w:val="1"/>
                <w:color w:val="auto"/>
              </w:rPr>
              <w:t>Jurisdiction of</w:t>
            </w:r>
          </w:p>
        </w:tc>
        <w:tc>
          <w:tcPr>
            <w:tcW w:w="3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1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L</w:t>
            </w:r>
            <w:r>
              <w:rPr>
                <w:rFonts w:ascii="Arial" w:cs="Arial" w:eastAsia="Arial" w:hAnsi="Arial"/>
                <w:sz w:val="11"/>
                <w:szCs w:val="11"/>
                <w:b w:val="1"/>
                <w:bCs w:val="1"/>
                <w:color w:val="auto"/>
              </w:rPr>
              <w:t>ist of the Subsidiaries</w:t>
            </w:r>
          </w:p>
        </w:tc>
        <w:tc>
          <w:tcPr>
            <w:tcW w:w="3140" w:type="dxa"/>
            <w:vAlign w:val="bottom"/>
          </w:tcPr>
          <w:p>
            <w:pPr>
              <w:ind w:left="1520"/>
              <w:spacing w:after="0" w:line="111" w:lineRule="exact"/>
              <w:rPr>
                <w:sz w:val="20"/>
                <w:szCs w:val="20"/>
                <w:color w:val="auto"/>
              </w:rPr>
            </w:pPr>
            <w:r>
              <w:rPr>
                <w:rFonts w:ascii="Arial" w:cs="Arial" w:eastAsia="Arial" w:hAnsi="Arial"/>
                <w:sz w:val="11"/>
                <w:szCs w:val="11"/>
                <w:b w:val="1"/>
                <w:bCs w:val="1"/>
                <w:color w:val="auto"/>
              </w:rPr>
              <w:t>Incorporation or</w:t>
            </w:r>
          </w:p>
        </w:tc>
        <w:tc>
          <w:tcPr>
            <w:tcW w:w="3640" w:type="dxa"/>
            <w:vAlign w:val="bottom"/>
            <w:vMerge w:val="restart"/>
          </w:tcPr>
          <w:p>
            <w:pPr>
              <w:ind w:left="2140"/>
              <w:spacing w:after="0"/>
              <w:rPr>
                <w:sz w:val="20"/>
                <w:szCs w:val="20"/>
                <w:color w:val="auto"/>
              </w:rPr>
            </w:pPr>
            <w:r>
              <w:rPr>
                <w:rFonts w:ascii="Arial" w:cs="Arial" w:eastAsia="Arial" w:hAnsi="Arial"/>
                <w:sz w:val="11"/>
                <w:szCs w:val="11"/>
                <w:b w:val="1"/>
                <w:bCs w:val="1"/>
                <w:color w:val="auto"/>
              </w:rPr>
              <w:t>Business Name</w:t>
            </w:r>
          </w:p>
        </w:tc>
        <w:tc>
          <w:tcPr>
            <w:tcW w:w="0" w:type="dxa"/>
            <w:vAlign w:val="bottom"/>
          </w:tcPr>
          <w:p>
            <w:pPr>
              <w:spacing w:after="0"/>
              <w:rPr>
                <w:sz w:val="1"/>
                <w:szCs w:val="1"/>
                <w:color w:val="auto"/>
              </w:rPr>
            </w:pPr>
          </w:p>
        </w:tc>
      </w:tr>
      <w:tr>
        <w:trPr>
          <w:trHeight w:val="140"/>
        </w:trPr>
        <w:tc>
          <w:tcPr>
            <w:tcW w:w="3140" w:type="dxa"/>
            <w:vAlign w:val="bottom"/>
            <w:vMerge w:val="continue"/>
          </w:tcPr>
          <w:p>
            <w:pPr>
              <w:spacing w:after="0"/>
              <w:rPr>
                <w:sz w:val="12"/>
                <w:szCs w:val="12"/>
                <w:color w:val="auto"/>
              </w:rPr>
            </w:pPr>
          </w:p>
        </w:tc>
        <w:tc>
          <w:tcPr>
            <w:tcW w:w="3140" w:type="dxa"/>
            <w:vAlign w:val="bottom"/>
          </w:tcPr>
          <w:p>
            <w:pPr>
              <w:ind w:left="1900"/>
              <w:spacing w:after="0"/>
              <w:rPr>
                <w:sz w:val="20"/>
                <w:szCs w:val="20"/>
                <w:color w:val="auto"/>
              </w:rPr>
            </w:pPr>
            <w:r>
              <w:rPr>
                <w:rFonts w:ascii="Arial" w:cs="Arial" w:eastAsia="Arial" w:hAnsi="Arial"/>
                <w:sz w:val="11"/>
                <w:szCs w:val="11"/>
                <w:b w:val="1"/>
                <w:bCs w:val="1"/>
                <w:color w:val="auto"/>
              </w:rPr>
              <w:t>Organization</w:t>
            </w: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40" w:type="dxa"/>
            <w:vAlign w:val="bottom"/>
          </w:tcPr>
          <w:p>
            <w:pPr>
              <w:spacing w:after="0"/>
              <w:rPr>
                <w:sz w:val="20"/>
                <w:szCs w:val="20"/>
                <w:color w:val="auto"/>
              </w:rPr>
            </w:pPr>
            <w:r>
              <w:rPr>
                <w:rFonts w:ascii="Arial" w:cs="Arial" w:eastAsia="Arial" w:hAnsi="Arial"/>
                <w:sz w:val="13"/>
                <w:szCs w:val="13"/>
                <w:color w:val="auto"/>
              </w:rPr>
              <w:t>Amdocs Astrum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Ireland</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Astrum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BCS,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California</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BCS,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BCS Vision,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North Carolina</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BCS Vision,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Canadian Managed Services, Inc.</w:t>
            </w:r>
          </w:p>
        </w:tc>
        <w:tc>
          <w:tcPr>
            <w:tcW w:w="3140" w:type="dxa"/>
            <w:vAlign w:val="bottom"/>
          </w:tcPr>
          <w:p>
            <w:pPr>
              <w:ind w:left="360"/>
              <w:spacing w:after="0"/>
              <w:rPr>
                <w:sz w:val="20"/>
                <w:szCs w:val="20"/>
                <w:color w:val="auto"/>
              </w:rPr>
            </w:pPr>
            <w:r>
              <w:rPr>
                <w:rFonts w:ascii="Arial" w:cs="Arial" w:eastAsia="Arial" w:hAnsi="Arial"/>
                <w:sz w:val="13"/>
                <w:szCs w:val="13"/>
                <w:color w:val="auto"/>
              </w:rPr>
              <w:t>Canada</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Canadian Managed Services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Champaign,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Delaware</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Champaign,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(Denmark) ApS</w:t>
            </w:r>
          </w:p>
        </w:tc>
        <w:tc>
          <w:tcPr>
            <w:tcW w:w="3140" w:type="dxa"/>
            <w:vAlign w:val="bottom"/>
          </w:tcPr>
          <w:p>
            <w:pPr>
              <w:ind w:left="360"/>
              <w:spacing w:after="0"/>
              <w:rPr>
                <w:sz w:val="20"/>
                <w:szCs w:val="20"/>
                <w:color w:val="auto"/>
              </w:rPr>
            </w:pPr>
            <w:r>
              <w:rPr>
                <w:rFonts w:ascii="Arial" w:cs="Arial" w:eastAsia="Arial" w:hAnsi="Arial"/>
                <w:sz w:val="13"/>
                <w:szCs w:val="13"/>
                <w:color w:val="auto"/>
              </w:rPr>
              <w:t>Denmark</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(Denmark) ApS</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Development Centre India Private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India</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Development Centre India Private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Development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Republic of Cyprus</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Development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Holdings ULC</w:t>
            </w:r>
          </w:p>
        </w:tc>
        <w:tc>
          <w:tcPr>
            <w:tcW w:w="3140" w:type="dxa"/>
            <w:vAlign w:val="bottom"/>
          </w:tcPr>
          <w:p>
            <w:pPr>
              <w:ind w:left="360"/>
              <w:spacing w:after="0"/>
              <w:rPr>
                <w:sz w:val="20"/>
                <w:szCs w:val="20"/>
                <w:color w:val="auto"/>
              </w:rPr>
            </w:pPr>
            <w:r>
              <w:rPr>
                <w:rFonts w:ascii="Arial" w:cs="Arial" w:eastAsia="Arial" w:hAnsi="Arial"/>
                <w:sz w:val="13"/>
                <w:szCs w:val="13"/>
                <w:color w:val="auto"/>
              </w:rPr>
              <w:t>Canada</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Holdings ULC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Delaware</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International GmbH</w:t>
            </w:r>
          </w:p>
        </w:tc>
        <w:tc>
          <w:tcPr>
            <w:tcW w:w="3140" w:type="dxa"/>
            <w:vAlign w:val="bottom"/>
          </w:tcPr>
          <w:p>
            <w:pPr>
              <w:ind w:left="360"/>
              <w:spacing w:after="0"/>
              <w:rPr>
                <w:sz w:val="20"/>
                <w:szCs w:val="20"/>
                <w:color w:val="auto"/>
              </w:rPr>
            </w:pPr>
            <w:r>
              <w:rPr>
                <w:rFonts w:ascii="Arial" w:cs="Arial" w:eastAsia="Arial" w:hAnsi="Arial"/>
                <w:sz w:val="13"/>
                <w:szCs w:val="13"/>
                <w:color w:val="auto"/>
              </w:rPr>
              <w:t>Switzerland</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International GmbH</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(Israel)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Israel</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(Israel)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Management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United Kingdom</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Management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Software Solutions Kft</w:t>
            </w:r>
          </w:p>
        </w:tc>
        <w:tc>
          <w:tcPr>
            <w:tcW w:w="3140" w:type="dxa"/>
            <w:vAlign w:val="bottom"/>
          </w:tcPr>
          <w:p>
            <w:pPr>
              <w:ind w:left="360"/>
              <w:spacing w:after="0"/>
              <w:rPr>
                <w:sz w:val="20"/>
                <w:szCs w:val="20"/>
                <w:color w:val="auto"/>
              </w:rPr>
            </w:pPr>
            <w:r>
              <w:rPr>
                <w:rFonts w:ascii="Arial" w:cs="Arial" w:eastAsia="Arial" w:hAnsi="Arial"/>
                <w:sz w:val="13"/>
                <w:szCs w:val="13"/>
                <w:color w:val="auto"/>
              </w:rPr>
              <w:t>Hungary</w:t>
            </w:r>
          </w:p>
        </w:tc>
        <w:tc>
          <w:tcPr>
            <w:tcW w:w="3640" w:type="dxa"/>
            <w:vAlign w:val="bottom"/>
          </w:tcPr>
          <w:p>
            <w:pPr>
              <w:ind w:left="620"/>
              <w:spacing w:after="0"/>
              <w:rPr>
                <w:sz w:val="20"/>
                <w:szCs w:val="20"/>
                <w:color w:val="auto"/>
              </w:rPr>
            </w:pPr>
            <w:r>
              <w:rPr>
                <w:rFonts w:ascii="Arial" w:cs="Arial" w:eastAsia="Arial" w:hAnsi="Arial"/>
                <w:sz w:val="13"/>
                <w:szCs w:val="13"/>
                <w:color w:val="auto"/>
                <w:w w:val="96"/>
              </w:rPr>
              <w:t>Amdocs Software Solutions Limited Liability Company</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Software Systems Ltd.</w:t>
            </w:r>
          </w:p>
        </w:tc>
        <w:tc>
          <w:tcPr>
            <w:tcW w:w="3140" w:type="dxa"/>
            <w:vAlign w:val="bottom"/>
          </w:tcPr>
          <w:p>
            <w:pPr>
              <w:ind w:left="360"/>
              <w:spacing w:after="0"/>
              <w:rPr>
                <w:sz w:val="20"/>
                <w:szCs w:val="20"/>
                <w:color w:val="auto"/>
              </w:rPr>
            </w:pPr>
            <w:r>
              <w:rPr>
                <w:rFonts w:ascii="Arial" w:cs="Arial" w:eastAsia="Arial" w:hAnsi="Arial"/>
                <w:sz w:val="13"/>
                <w:szCs w:val="13"/>
                <w:color w:val="auto"/>
              </w:rPr>
              <w:t>Ireland</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Software Systems Ltd.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Stamford,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Delaware</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Stamford, Inc.</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Amdocs (UK)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United Kingdom</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(UK)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Cramer Systems Group Limited</w:t>
            </w:r>
          </w:p>
        </w:tc>
        <w:tc>
          <w:tcPr>
            <w:tcW w:w="3140" w:type="dxa"/>
            <w:vAlign w:val="bottom"/>
          </w:tcPr>
          <w:p>
            <w:pPr>
              <w:ind w:left="360"/>
              <w:spacing w:after="0"/>
              <w:rPr>
                <w:sz w:val="20"/>
                <w:szCs w:val="20"/>
                <w:color w:val="auto"/>
              </w:rPr>
            </w:pPr>
            <w:r>
              <w:rPr>
                <w:rFonts w:ascii="Arial" w:cs="Arial" w:eastAsia="Arial" w:hAnsi="Arial"/>
                <w:sz w:val="13"/>
                <w:szCs w:val="13"/>
                <w:color w:val="auto"/>
              </w:rPr>
              <w:t>United Kingdom</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Systems Group Limited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European Software Marketing Ltd.</w:t>
            </w:r>
          </w:p>
        </w:tc>
        <w:tc>
          <w:tcPr>
            <w:tcW w:w="3140" w:type="dxa"/>
            <w:vAlign w:val="bottom"/>
          </w:tcPr>
          <w:p>
            <w:pPr>
              <w:ind w:left="360"/>
              <w:spacing w:after="0"/>
              <w:rPr>
                <w:sz w:val="20"/>
                <w:szCs w:val="20"/>
                <w:color w:val="auto"/>
              </w:rPr>
            </w:pPr>
            <w:r>
              <w:rPr>
                <w:rFonts w:ascii="Arial" w:cs="Arial" w:eastAsia="Arial" w:hAnsi="Arial"/>
                <w:sz w:val="13"/>
                <w:szCs w:val="13"/>
                <w:color w:val="auto"/>
              </w:rPr>
              <w:t>Island of Guernsey, Channel Islands</w:t>
            </w:r>
          </w:p>
        </w:tc>
        <w:tc>
          <w:tcPr>
            <w:tcW w:w="3640" w:type="dxa"/>
            <w:vAlign w:val="bottom"/>
          </w:tcPr>
          <w:p>
            <w:pPr>
              <w:ind w:left="620"/>
              <w:spacing w:after="0"/>
              <w:rPr>
                <w:sz w:val="20"/>
                <w:szCs w:val="20"/>
                <w:color w:val="auto"/>
              </w:rPr>
            </w:pPr>
            <w:r>
              <w:rPr>
                <w:rFonts w:ascii="Arial" w:cs="Arial" w:eastAsia="Arial" w:hAnsi="Arial"/>
                <w:sz w:val="13"/>
                <w:szCs w:val="13"/>
                <w:color w:val="auto"/>
              </w:rPr>
              <w:t>European Software Marketing Ltd.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Longshine Information Technology Co. Ltd.</w:t>
            </w:r>
          </w:p>
        </w:tc>
        <w:tc>
          <w:tcPr>
            <w:tcW w:w="3140" w:type="dxa"/>
            <w:vAlign w:val="bottom"/>
          </w:tcPr>
          <w:p>
            <w:pPr>
              <w:ind w:left="360"/>
              <w:spacing w:after="0"/>
              <w:rPr>
                <w:sz w:val="20"/>
                <w:szCs w:val="20"/>
                <w:color w:val="auto"/>
              </w:rPr>
            </w:pPr>
            <w:r>
              <w:rPr>
                <w:rFonts w:ascii="Arial" w:cs="Arial" w:eastAsia="Arial" w:hAnsi="Arial"/>
                <w:sz w:val="13"/>
                <w:szCs w:val="13"/>
                <w:color w:val="auto"/>
              </w:rPr>
              <w:t>British Virgin Islands</w:t>
            </w:r>
          </w:p>
        </w:tc>
        <w:tc>
          <w:tcPr>
            <w:tcW w:w="3640" w:type="dxa"/>
            <w:vAlign w:val="bottom"/>
          </w:tcPr>
          <w:p>
            <w:pPr>
              <w:ind w:left="620"/>
              <w:spacing w:after="0"/>
              <w:rPr>
                <w:sz w:val="20"/>
                <w:szCs w:val="20"/>
                <w:color w:val="auto"/>
              </w:rPr>
            </w:pPr>
            <w:r>
              <w:rPr>
                <w:rFonts w:ascii="Arial" w:cs="Arial" w:eastAsia="Arial" w:hAnsi="Arial"/>
                <w:sz w:val="13"/>
                <w:szCs w:val="13"/>
                <w:color w:val="auto"/>
              </w:rPr>
              <w:t>Longshine Information Technology Co. Ltd.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Sypress,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Delaware</w:t>
            </w:r>
          </w:p>
        </w:tc>
        <w:tc>
          <w:tcPr>
            <w:tcW w:w="3640" w:type="dxa"/>
            <w:vAlign w:val="bottom"/>
          </w:tcPr>
          <w:p>
            <w:pPr>
              <w:ind w:left="620"/>
              <w:spacing w:after="0"/>
              <w:rPr>
                <w:sz w:val="20"/>
                <w:szCs w:val="20"/>
                <w:color w:val="auto"/>
              </w:rPr>
            </w:pPr>
            <w:r>
              <w:rPr>
                <w:rFonts w:ascii="Arial" w:cs="Arial" w:eastAsia="Arial" w:hAnsi="Arial"/>
                <w:sz w:val="13"/>
                <w:szCs w:val="13"/>
                <w:color w:val="auto"/>
              </w:rPr>
              <w:t>Sypress, Inc.</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Qpass, Inc.</w:t>
            </w:r>
          </w:p>
        </w:tc>
        <w:tc>
          <w:tcPr>
            <w:tcW w:w="3140" w:type="dxa"/>
            <w:vAlign w:val="bottom"/>
          </w:tcPr>
          <w:p>
            <w:pPr>
              <w:ind w:left="360"/>
              <w:spacing w:after="0"/>
              <w:rPr>
                <w:sz w:val="20"/>
                <w:szCs w:val="20"/>
                <w:color w:val="auto"/>
              </w:rPr>
            </w:pPr>
            <w:r>
              <w:rPr>
                <w:rFonts w:ascii="Arial" w:cs="Arial" w:eastAsia="Arial" w:hAnsi="Arial"/>
                <w:sz w:val="13"/>
                <w:szCs w:val="13"/>
                <w:color w:val="auto"/>
              </w:rPr>
              <w:t>State of Washington</w:t>
            </w:r>
          </w:p>
        </w:tc>
        <w:tc>
          <w:tcPr>
            <w:tcW w:w="3640" w:type="dxa"/>
            <w:vAlign w:val="bottom"/>
          </w:tcPr>
          <w:p>
            <w:pPr>
              <w:ind w:left="620"/>
              <w:spacing w:after="0"/>
              <w:rPr>
                <w:sz w:val="20"/>
                <w:szCs w:val="20"/>
                <w:color w:val="auto"/>
              </w:rPr>
            </w:pPr>
            <w:r>
              <w:rPr>
                <w:rFonts w:ascii="Arial" w:cs="Arial" w:eastAsia="Arial" w:hAnsi="Arial"/>
                <w:sz w:val="13"/>
                <w:szCs w:val="13"/>
                <w:color w:val="auto"/>
              </w:rPr>
              <w:t>Amdocs Qpass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-2283460</wp:posOffset>
            </wp:positionV>
            <wp:extent cx="190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-2283460</wp:posOffset>
            </wp:positionV>
            <wp:extent cx="190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ectPr>
          <w:pgSz w:w="11900" w:h="16838" w:orient="portrait"/>
          <w:cols w:equalWidth="0" w:num="1">
            <w:col w:w="9980"/>
          </w:cols>
          <w:pgMar w:left="900" w:top="127" w:right="1019" w:bottom="1440" w:gutter="0" w:footer="0" w:header="0"/>
        </w:sectPr>
      </w:pPr>
    </w:p>
    <w:bookmarkStart w:id="117" w:name="page118"/>
    <w:bookmarkEnd w:id="117"/>
    <w:p>
      <w:pPr>
        <w:jc w:val="right"/>
        <w:ind w:right="3959"/>
        <w:spacing w:after="0"/>
        <w:rPr>
          <w:sz w:val="20"/>
          <w:szCs w:val="20"/>
          <w:color w:val="auto"/>
        </w:rPr>
      </w:pPr>
      <w:r>
        <w:rPr>
          <w:rFonts w:ascii="Courier New" w:cs="Courier New" w:eastAsia="Courier New" w:hAnsi="Courier New"/>
          <w:sz w:val="13"/>
          <w:szCs w:val="13"/>
          <w:color w:val="auto"/>
        </w:rPr>
        <w:t>EXHIBIT 12.1</w:t>
      </w:r>
    </w:p>
    <w:p>
      <w:pPr>
        <w:spacing w:after="0" w:line="306" w:lineRule="exact"/>
        <w:rPr>
          <w:sz w:val="20"/>
          <w:szCs w:val="20"/>
          <w:color w:val="auto"/>
        </w:rPr>
      </w:pPr>
    </w:p>
    <w:p>
      <w:pPr>
        <w:ind w:left="2600"/>
        <w:spacing w:after="0"/>
        <w:rPr>
          <w:sz w:val="20"/>
          <w:szCs w:val="20"/>
          <w:color w:val="auto"/>
        </w:rPr>
      </w:pPr>
      <w:r>
        <w:rPr>
          <w:rFonts w:ascii="Courier New" w:cs="Courier New" w:eastAsia="Courier New" w:hAnsi="Courier New"/>
          <w:sz w:val="13"/>
          <w:szCs w:val="13"/>
          <w:color w:val="auto"/>
        </w:rPr>
        <w:t>CERTIFICATIONS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Dov Baharav, certify that:</w:t>
      </w:r>
    </w:p>
    <w:p>
      <w:pPr>
        <w:spacing w:after="0" w:line="155" w:lineRule="exact"/>
        <w:rPr>
          <w:sz w:val="20"/>
          <w:szCs w:val="20"/>
          <w:color w:val="auto"/>
        </w:rPr>
      </w:pPr>
    </w:p>
    <w:p>
      <w:pPr>
        <w:ind w:left="620" w:hanging="226"/>
        <w:spacing w:after="0"/>
        <w:tabs>
          <w:tab w:leader="none" w:pos="620"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20-F of Amdocs Limited;</w:t>
      </w:r>
    </w:p>
    <w:p>
      <w:pPr>
        <w:spacing w:after="0" w:line="155"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2" w:lineRule="exact"/>
        <w:rPr>
          <w:sz w:val="20"/>
          <w:szCs w:val="20"/>
          <w:color w:val="auto"/>
        </w:rPr>
      </w:pPr>
    </w:p>
    <w:p>
      <w:pPr>
        <w:jc w:val="both"/>
        <w:ind w:right="3959" w:firstLine="394"/>
        <w:spacing w:after="0" w:line="246" w:lineRule="auto"/>
        <w:tabs>
          <w:tab w:leader="none" w:pos="786"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2" w:lineRule="exact"/>
        <w:rPr>
          <w:sz w:val="20"/>
          <w:szCs w:val="20"/>
          <w:color w:val="auto"/>
        </w:rPr>
      </w:pPr>
    </w:p>
    <w:p>
      <w:pPr>
        <w:jc w:val="both"/>
        <w:ind w:right="3959" w:firstLine="394"/>
        <w:spacing w:after="0" w:line="246" w:lineRule="auto"/>
        <w:tabs>
          <w:tab w:leader="none" w:pos="629"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2" w:lineRule="exact"/>
        <w:rPr>
          <w:sz w:val="20"/>
          <w:szCs w:val="20"/>
          <w:color w:val="auto"/>
        </w:rPr>
      </w:pPr>
    </w:p>
    <w:p>
      <w:pPr>
        <w:jc w:val="both"/>
        <w:ind w:right="3959" w:firstLine="394"/>
        <w:spacing w:after="0" w:line="246" w:lineRule="auto"/>
        <w:tabs>
          <w:tab w:leader="none" w:pos="707"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company's internal control over financial reporting.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December 8, 2008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Dov Baharav</w:t>
      </w:r>
    </w:p>
    <w:p>
      <w:pPr>
        <w:spacing w:after="0" w:line="4" w:lineRule="exact"/>
        <w:rPr>
          <w:sz w:val="20"/>
          <w:szCs w:val="20"/>
          <w:color w:val="auto"/>
        </w:rPr>
      </w:pPr>
    </w:p>
    <w:p>
      <w:pPr>
        <w:ind w:left="160" w:hanging="159"/>
        <w:spacing w:after="0"/>
        <w:tabs>
          <w:tab w:leader="none" w:pos="160"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4" w:lineRule="exact"/>
        <w:rPr>
          <w:rFonts w:ascii="Courier New" w:cs="Courier New" w:eastAsia="Courier New" w:hAnsi="Courier New"/>
          <w:sz w:val="13"/>
          <w:szCs w:val="13"/>
          <w:color w:val="auto"/>
        </w:rPr>
      </w:pPr>
    </w:p>
    <w:p>
      <w:pPr>
        <w:ind w:right="82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Chief Executive Officer Amdocs Management Limited</w:t>
      </w:r>
    </w:p>
    <w:p>
      <w:pPr>
        <w:sectPr>
          <w:pgSz w:w="11900" w:h="16838" w:orient="portrait"/>
          <w:cols w:equalWidth="0" w:num="1">
            <w:col w:w="10239"/>
          </w:cols>
          <w:pgMar w:left="220" w:top="443" w:right="1440" w:bottom="1440" w:gutter="0" w:footer="0" w:header="0"/>
        </w:sectPr>
      </w:pPr>
    </w:p>
    <w:bookmarkStart w:id="118" w:name="page119"/>
    <w:bookmarkEnd w:id="118"/>
    <w:p>
      <w:pPr>
        <w:jc w:val="right"/>
        <w:ind w:right="3959"/>
        <w:spacing w:after="0"/>
        <w:rPr>
          <w:sz w:val="20"/>
          <w:szCs w:val="20"/>
          <w:color w:val="auto"/>
        </w:rPr>
      </w:pPr>
      <w:r>
        <w:rPr>
          <w:rFonts w:ascii="Courier New" w:cs="Courier New" w:eastAsia="Courier New" w:hAnsi="Courier New"/>
          <w:sz w:val="13"/>
          <w:szCs w:val="13"/>
          <w:color w:val="auto"/>
        </w:rPr>
        <w:t>EXHIBIT 12.2</w:t>
      </w:r>
    </w:p>
    <w:p>
      <w:pPr>
        <w:spacing w:after="0" w:line="155" w:lineRule="exact"/>
        <w:rPr>
          <w:sz w:val="20"/>
          <w:szCs w:val="20"/>
          <w:color w:val="auto"/>
        </w:rPr>
      </w:pPr>
    </w:p>
    <w:p>
      <w:pPr>
        <w:ind w:left="2600"/>
        <w:spacing w:after="0"/>
        <w:rPr>
          <w:sz w:val="20"/>
          <w:szCs w:val="20"/>
          <w:color w:val="auto"/>
        </w:rPr>
      </w:pPr>
      <w:r>
        <w:rPr>
          <w:rFonts w:ascii="Courier New" w:cs="Courier New" w:eastAsia="Courier New" w:hAnsi="Courier New"/>
          <w:sz w:val="13"/>
          <w:szCs w:val="13"/>
          <w:color w:val="auto"/>
        </w:rPr>
        <w:t>CERTIFICATIONS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Tamar Rapaport-Dagim, certify that:</w:t>
      </w:r>
    </w:p>
    <w:p>
      <w:pPr>
        <w:spacing w:after="0" w:line="155" w:lineRule="exact"/>
        <w:rPr>
          <w:sz w:val="20"/>
          <w:szCs w:val="20"/>
          <w:color w:val="auto"/>
        </w:rPr>
      </w:pPr>
    </w:p>
    <w:p>
      <w:pPr>
        <w:ind w:left="620" w:hanging="226"/>
        <w:spacing w:after="0"/>
        <w:tabs>
          <w:tab w:leader="none" w:pos="620"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20-F of Amdocs Limited;</w:t>
      </w:r>
    </w:p>
    <w:p>
      <w:pPr>
        <w:spacing w:after="0" w:line="155"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629"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2" w:lineRule="exact"/>
        <w:rPr>
          <w:sz w:val="20"/>
          <w:szCs w:val="20"/>
          <w:color w:val="auto"/>
        </w:rPr>
      </w:pPr>
    </w:p>
    <w:p>
      <w:pPr>
        <w:jc w:val="both"/>
        <w:ind w:right="3959" w:firstLine="394"/>
        <w:spacing w:after="0" w:line="246" w:lineRule="auto"/>
        <w:tabs>
          <w:tab w:leader="none" w:pos="786"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2" w:lineRule="exact"/>
        <w:rPr>
          <w:sz w:val="20"/>
          <w:szCs w:val="20"/>
          <w:color w:val="auto"/>
        </w:rPr>
      </w:pPr>
    </w:p>
    <w:p>
      <w:pPr>
        <w:jc w:val="both"/>
        <w:ind w:right="3959" w:firstLine="394"/>
        <w:spacing w:after="0" w:line="246" w:lineRule="auto"/>
        <w:tabs>
          <w:tab w:leader="none" w:pos="629"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2" w:lineRule="exact"/>
        <w:rPr>
          <w:sz w:val="20"/>
          <w:szCs w:val="20"/>
          <w:color w:val="auto"/>
        </w:rPr>
      </w:pPr>
    </w:p>
    <w:p>
      <w:pPr>
        <w:jc w:val="both"/>
        <w:ind w:right="3959" w:firstLine="394"/>
        <w:spacing w:after="0" w:line="246" w:lineRule="auto"/>
        <w:tabs>
          <w:tab w:leader="none" w:pos="707"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Courier New" w:cs="Courier New" w:eastAsia="Courier New" w:hAnsi="Courier New"/>
          <w:sz w:val="13"/>
          <w:szCs w:val="13"/>
          <w:color w:val="auto"/>
        </w:rPr>
      </w:pPr>
    </w:p>
    <w:p>
      <w:pPr>
        <w:jc w:val="both"/>
        <w:ind w:right="3959" w:firstLine="394"/>
        <w:spacing w:after="0" w:line="246" w:lineRule="auto"/>
        <w:tabs>
          <w:tab w:leader="none" w:pos="707"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company's internal control over financial reporting.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December 8, 2008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Tamar Rapaport-Dagim</w:t>
      </w:r>
    </w:p>
    <w:p>
      <w:pPr>
        <w:spacing w:after="0" w:line="4" w:lineRule="exact"/>
        <w:rPr>
          <w:sz w:val="20"/>
          <w:szCs w:val="20"/>
          <w:color w:val="auto"/>
        </w:rPr>
      </w:pPr>
    </w:p>
    <w:p>
      <w:pPr>
        <w:ind w:left="160" w:hanging="159"/>
        <w:spacing w:after="0"/>
        <w:tabs>
          <w:tab w:leader="none" w:pos="160" w:val="left"/>
        </w:tabs>
        <w:numPr>
          <w:ilvl w:val="0"/>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4" w:lineRule="exact"/>
        <w:rPr>
          <w:rFonts w:ascii="Courier New" w:cs="Courier New" w:eastAsia="Courier New" w:hAnsi="Courier New"/>
          <w:sz w:val="13"/>
          <w:szCs w:val="13"/>
          <w:color w:val="auto"/>
        </w:rPr>
      </w:pPr>
    </w:p>
    <w:p>
      <w:pPr>
        <w:ind w:right="82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Chief Financial Officer Amdocs Management Limited</w:t>
      </w:r>
    </w:p>
    <w:p>
      <w:pPr>
        <w:sectPr>
          <w:pgSz w:w="11900" w:h="16838" w:orient="portrait"/>
          <w:cols w:equalWidth="0" w:num="1">
            <w:col w:w="10239"/>
          </w:cols>
          <w:pgMar w:left="220" w:top="443" w:right="1440" w:bottom="1440" w:gutter="0" w:footer="0" w:header="0"/>
        </w:sectPr>
      </w:pPr>
    </w:p>
    <w:bookmarkStart w:id="119" w:name="page120"/>
    <w:bookmarkEnd w:id="119"/>
    <w:p>
      <w:pPr>
        <w:jc w:val="right"/>
        <w:ind w:right="3959"/>
        <w:spacing w:after="0"/>
        <w:rPr>
          <w:sz w:val="20"/>
          <w:szCs w:val="20"/>
          <w:color w:val="auto"/>
        </w:rPr>
      </w:pPr>
      <w:r>
        <w:rPr>
          <w:rFonts w:ascii="Courier New" w:cs="Courier New" w:eastAsia="Courier New" w:hAnsi="Courier New"/>
          <w:sz w:val="13"/>
          <w:szCs w:val="13"/>
          <w:color w:val="auto"/>
        </w:rPr>
        <w:t>EXHIBIT 13.1</w:t>
      </w:r>
    </w:p>
    <w:p>
      <w:pPr>
        <w:spacing w:after="0" w:line="15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CERTIFICATION PURSUANT TO 18 U.S.C. SECTION 1350,</w:t>
      </w:r>
    </w:p>
    <w:p>
      <w:pPr>
        <w:spacing w:after="0" w:line="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AS ADOPTED PURSUANT TO</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SECTION 906 OF THE SARBANES-OXLEY ACT OF 2002</w:t>
      </w:r>
    </w:p>
    <w:p>
      <w:pPr>
        <w:spacing w:after="0" w:line="306" w:lineRule="exact"/>
        <w:rPr>
          <w:sz w:val="20"/>
          <w:szCs w:val="20"/>
          <w:color w:val="auto"/>
        </w:rPr>
      </w:pPr>
    </w:p>
    <w:p>
      <w:pPr>
        <w:jc w:val="both"/>
        <w:ind w:right="3959" w:firstLine="707"/>
        <w:spacing w:after="0" w:line="246" w:lineRule="auto"/>
        <w:rPr>
          <w:sz w:val="20"/>
          <w:szCs w:val="20"/>
          <w:color w:val="auto"/>
        </w:rPr>
      </w:pPr>
      <w:r>
        <w:rPr>
          <w:rFonts w:ascii="Courier New" w:cs="Courier New" w:eastAsia="Courier New" w:hAnsi="Courier New"/>
          <w:sz w:val="13"/>
          <w:szCs w:val="13"/>
          <w:color w:val="auto"/>
        </w:rPr>
        <w:t>In connection with the annual report on Form 20-F of Amdocs Limited (the "Company") for the period ended September 30, 2008 as filed with the Securities and Exchange Commission on the date hereof (the "Report"), the undersigned, Dov Baharav, Chief Executive Officer of the Company, hereby certifies, pursuant to 18 U.S.C. Section 1350, that to the best of his knowledge and belief:</w:t>
      </w:r>
    </w:p>
    <w:p>
      <w:pPr>
        <w:spacing w:after="0" w:line="152" w:lineRule="exact"/>
        <w:rPr>
          <w:sz w:val="20"/>
          <w:szCs w:val="20"/>
          <w:color w:val="auto"/>
        </w:rPr>
      </w:pPr>
    </w:p>
    <w:p>
      <w:pPr>
        <w:ind w:right="4099" w:firstLine="708"/>
        <w:spacing w:after="0" w:line="246" w:lineRule="auto"/>
        <w:tabs>
          <w:tab w:leader="none" w:pos="1100"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Report fully complies with the requirements of Section 13(a) or 15(d) of the Securities Exchange Act of 1934; and</w:t>
      </w:r>
    </w:p>
    <w:p>
      <w:pPr>
        <w:spacing w:after="0" w:line="151" w:lineRule="exact"/>
        <w:rPr>
          <w:rFonts w:ascii="Courier New" w:cs="Courier New" w:eastAsia="Courier New" w:hAnsi="Courier New"/>
          <w:sz w:val="13"/>
          <w:szCs w:val="13"/>
          <w:color w:val="auto"/>
        </w:rPr>
      </w:pPr>
    </w:p>
    <w:p>
      <w:pPr>
        <w:jc w:val="both"/>
        <w:ind w:right="3959" w:firstLine="708"/>
        <w:spacing w:after="0" w:line="246" w:lineRule="auto"/>
        <w:tabs>
          <w:tab w:leader="none" w:pos="1022"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3"/>
          <w:szCs w:val="13"/>
          <w:color w:val="auto"/>
        </w:rPr>
        <w:t>Dated:</w:t>
        <w:tab/>
        <w:t>December 8, 2008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Dov Baharav</w:t>
      </w:r>
    </w:p>
    <w:p>
      <w:pPr>
        <w:spacing w:after="0" w:line="4" w:lineRule="exact"/>
        <w:rPr>
          <w:sz w:val="20"/>
          <w:szCs w:val="20"/>
          <w:color w:val="auto"/>
        </w:rPr>
      </w:pPr>
    </w:p>
    <w:p>
      <w:pPr>
        <w:ind w:left="160" w:hanging="159"/>
        <w:spacing w:after="0"/>
        <w:tabs>
          <w:tab w:leader="none" w:pos="160"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Dov Baharav</w:t>
      </w:r>
    </w:p>
    <w:p>
      <w:pPr>
        <w:spacing w:after="0" w:line="4" w:lineRule="exact"/>
        <w:rPr>
          <w:rFonts w:ascii="Courier New" w:cs="Courier New" w:eastAsia="Courier New" w:hAnsi="Courier New"/>
          <w:sz w:val="13"/>
          <w:szCs w:val="13"/>
          <w:color w:val="auto"/>
        </w:rPr>
      </w:pPr>
    </w:p>
    <w:p>
      <w:pPr>
        <w:ind w:right="82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Chief Executive Officer Amdocs Management Limited</w:t>
      </w:r>
    </w:p>
    <w:p>
      <w:pPr>
        <w:sectPr>
          <w:pgSz w:w="11900" w:h="16838" w:orient="portrait"/>
          <w:cols w:equalWidth="0" w:num="1">
            <w:col w:w="10239"/>
          </w:cols>
          <w:pgMar w:left="220" w:top="443" w:right="1440" w:bottom="1440" w:gutter="0" w:footer="0" w:header="0"/>
        </w:sectPr>
      </w:pPr>
    </w:p>
    <w:bookmarkStart w:id="120" w:name="page121"/>
    <w:bookmarkEnd w:id="120"/>
    <w:p>
      <w:pPr>
        <w:jc w:val="right"/>
        <w:ind w:right="3959"/>
        <w:spacing w:after="0"/>
        <w:rPr>
          <w:sz w:val="20"/>
          <w:szCs w:val="20"/>
          <w:color w:val="auto"/>
        </w:rPr>
      </w:pPr>
      <w:r>
        <w:rPr>
          <w:rFonts w:ascii="Courier New" w:cs="Courier New" w:eastAsia="Courier New" w:hAnsi="Courier New"/>
          <w:sz w:val="13"/>
          <w:szCs w:val="13"/>
          <w:color w:val="auto"/>
        </w:rPr>
        <w:t>EXHIBIT 13.2</w:t>
      </w:r>
    </w:p>
    <w:p>
      <w:pPr>
        <w:spacing w:after="0" w:line="15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CERTIFICATION PURSUANT TO 18 U.S.C. SECTION 1350,</w:t>
      </w:r>
    </w:p>
    <w:p>
      <w:pPr>
        <w:spacing w:after="0" w:line="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AS ADOPTED PURSUANT TO</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SECTION 906 OF THE SARBANES-OXLEY ACT OF 2002</w:t>
      </w:r>
    </w:p>
    <w:p>
      <w:pPr>
        <w:spacing w:after="0" w:line="306" w:lineRule="exact"/>
        <w:rPr>
          <w:sz w:val="20"/>
          <w:szCs w:val="20"/>
          <w:color w:val="auto"/>
        </w:rPr>
      </w:pPr>
    </w:p>
    <w:p>
      <w:pPr>
        <w:jc w:val="both"/>
        <w:ind w:right="3959" w:firstLine="707"/>
        <w:spacing w:after="0" w:line="246" w:lineRule="auto"/>
        <w:rPr>
          <w:sz w:val="20"/>
          <w:szCs w:val="20"/>
          <w:color w:val="auto"/>
        </w:rPr>
      </w:pPr>
      <w:r>
        <w:rPr>
          <w:rFonts w:ascii="Courier New" w:cs="Courier New" w:eastAsia="Courier New" w:hAnsi="Courier New"/>
          <w:sz w:val="13"/>
          <w:szCs w:val="13"/>
          <w:color w:val="auto"/>
        </w:rPr>
        <w:t>In connection with the annual report on Form 20-F of Amdocs Limited (the "Company") for the period ended September 30, 2008 as filed with the Securities and Exchange Commission on the date hereof (the "Report"), the undersigned, Tamar Rapaport-Dagim, Chief Financial Officer of the Company, hereby certifies, pursuant to 18 U.S.C. Section 1350, that to the best of his knowledge and belief:</w:t>
      </w:r>
    </w:p>
    <w:p>
      <w:pPr>
        <w:spacing w:after="0" w:line="152" w:lineRule="exact"/>
        <w:rPr>
          <w:sz w:val="20"/>
          <w:szCs w:val="20"/>
          <w:color w:val="auto"/>
        </w:rPr>
      </w:pPr>
    </w:p>
    <w:p>
      <w:pPr>
        <w:ind w:right="4099" w:firstLine="708"/>
        <w:spacing w:after="0" w:line="246" w:lineRule="auto"/>
        <w:tabs>
          <w:tab w:leader="none" w:pos="1100"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Report fully complies with the requirements of Section 13(a) or 15(d) of the Securities Exchange Act of 1934; and</w:t>
      </w:r>
    </w:p>
    <w:p>
      <w:pPr>
        <w:spacing w:after="0" w:line="151" w:lineRule="exact"/>
        <w:rPr>
          <w:rFonts w:ascii="Courier New" w:cs="Courier New" w:eastAsia="Courier New" w:hAnsi="Courier New"/>
          <w:sz w:val="13"/>
          <w:szCs w:val="13"/>
          <w:color w:val="auto"/>
        </w:rPr>
      </w:pPr>
    </w:p>
    <w:p>
      <w:pPr>
        <w:jc w:val="both"/>
        <w:ind w:right="3959" w:firstLine="708"/>
        <w:spacing w:after="0" w:line="246" w:lineRule="auto"/>
        <w:tabs>
          <w:tab w:leader="none" w:pos="1022"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3"/>
          <w:szCs w:val="13"/>
          <w:color w:val="auto"/>
        </w:rPr>
        <w:t>Dated:</w:t>
        <w:tab/>
        <w:t>December 8, 2008</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Tamar Rapaport-Dagim</w:t>
      </w:r>
    </w:p>
    <w:p>
      <w:pPr>
        <w:spacing w:after="0" w:line="4" w:lineRule="exact"/>
        <w:rPr>
          <w:sz w:val="20"/>
          <w:szCs w:val="20"/>
          <w:color w:val="auto"/>
        </w:rPr>
      </w:pPr>
    </w:p>
    <w:p>
      <w:pPr>
        <w:ind w:left="160" w:hanging="159"/>
        <w:spacing w:after="0"/>
        <w:tabs>
          <w:tab w:leader="none" w:pos="160"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4" w:lineRule="exact"/>
        <w:rPr>
          <w:rFonts w:ascii="Courier New" w:cs="Courier New" w:eastAsia="Courier New" w:hAnsi="Courier New"/>
          <w:sz w:val="13"/>
          <w:szCs w:val="13"/>
          <w:color w:val="auto"/>
        </w:rPr>
      </w:pPr>
    </w:p>
    <w:p>
      <w:pPr>
        <w:ind w:right="82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Tamar Rapaport-Dagim Chief Financial Officer Amdocs Management Limited</w:t>
      </w:r>
    </w:p>
    <w:p>
      <w:pPr>
        <w:sectPr>
          <w:pgSz w:w="11900" w:h="16838" w:orient="portrait"/>
          <w:cols w:equalWidth="0" w:num="1">
            <w:col w:w="10239"/>
          </w:cols>
          <w:pgMar w:left="220" w:top="443" w:right="1440" w:bottom="1440" w:gutter="0" w:footer="0" w:header="0"/>
        </w:sectPr>
      </w:pPr>
    </w:p>
    <w:bookmarkStart w:id="121" w:name="page122"/>
    <w:bookmarkEnd w:id="121"/>
    <w:p>
      <w:pPr>
        <w:jc w:val="right"/>
        <w:ind w:right="3959"/>
        <w:spacing w:after="0"/>
        <w:rPr>
          <w:sz w:val="20"/>
          <w:szCs w:val="20"/>
          <w:color w:val="auto"/>
        </w:rPr>
      </w:pPr>
      <w:r>
        <w:rPr>
          <w:rFonts w:ascii="Courier New" w:cs="Courier New" w:eastAsia="Courier New" w:hAnsi="Courier New"/>
          <w:sz w:val="13"/>
          <w:szCs w:val="13"/>
          <w:color w:val="auto"/>
        </w:rPr>
        <w:t>EXHIBIT 14.1</w:t>
      </w:r>
    </w:p>
    <w:p>
      <w:pPr>
        <w:spacing w:after="0" w:line="155" w:lineRule="exact"/>
        <w:rPr>
          <w:sz w:val="20"/>
          <w:szCs w:val="20"/>
          <w:color w:val="auto"/>
        </w:rPr>
      </w:pPr>
    </w:p>
    <w:p>
      <w:pPr>
        <w:ind w:left="940"/>
        <w:spacing w:after="0"/>
        <w:rPr>
          <w:sz w:val="20"/>
          <w:szCs w:val="20"/>
          <w:color w:val="auto"/>
        </w:rPr>
      </w:pPr>
      <w:r>
        <w:rPr>
          <w:rFonts w:ascii="Courier New" w:cs="Courier New" w:eastAsia="Courier New" w:hAnsi="Courier New"/>
          <w:sz w:val="13"/>
          <w:szCs w:val="13"/>
          <w:color w:val="auto"/>
        </w:rPr>
        <w:t>CONSENT OF INDEPENDENT REGISTERED PUBLIC ACCOUNTING FIRM</w:t>
      </w:r>
    </w:p>
    <w:p>
      <w:pPr>
        <w:spacing w:after="0" w:line="155" w:lineRule="exact"/>
        <w:rPr>
          <w:sz w:val="20"/>
          <w:szCs w:val="20"/>
          <w:color w:val="auto"/>
        </w:rPr>
      </w:pPr>
    </w:p>
    <w:p>
      <w:pPr>
        <w:jc w:val="both"/>
        <w:ind w:right="3959" w:firstLine="393"/>
        <w:spacing w:after="0" w:line="246" w:lineRule="auto"/>
        <w:rPr>
          <w:sz w:val="20"/>
          <w:szCs w:val="20"/>
          <w:color w:val="auto"/>
        </w:rPr>
      </w:pPr>
      <w:r>
        <w:rPr>
          <w:rFonts w:ascii="Courier New" w:cs="Courier New" w:eastAsia="Courier New" w:hAnsi="Courier New"/>
          <w:sz w:val="13"/>
          <w:szCs w:val="13"/>
          <w:color w:val="auto"/>
        </w:rPr>
        <w:t>We consent to the reference to our firm in the headnote to Item 3. Key Information -- Selected Financial Data included in this Annual Report (Form 20-F) of Amdocs Limited and to the incorporation by reference in the following Registration Statements:</w:t>
      </w:r>
    </w:p>
    <w:p>
      <w:pPr>
        <w:spacing w:after="0" w:line="152" w:lineRule="exact"/>
        <w:rPr>
          <w:sz w:val="20"/>
          <w:szCs w:val="20"/>
          <w:color w:val="auto"/>
        </w:rPr>
      </w:pPr>
    </w:p>
    <w:tbl>
      <w:tblPr>
        <w:tblLayout w:type="fixed"/>
        <w:tblInd w:w="940" w:type="dxa"/>
        <w:tblCellMar>
          <w:top w:w="0" w:type="dxa"/>
          <w:left w:w="0" w:type="dxa"/>
          <w:bottom w:w="0" w:type="dxa"/>
          <w:right w:w="0" w:type="dxa"/>
        </w:tblCellMar>
      </w:tblPr>
      <w:tr>
        <w:trPr>
          <w:trHeight w:val="147"/>
        </w:trPr>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COMMISSION FILE NO.</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Form S-8, No. 333-91847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Form S-8, No. 333-92705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Form S-8, No. 333-31506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Form S-8, No. 333-34104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Form S-8, No. 333-58454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333-114077</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333-132968</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333-135320</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333-137617</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333-139310</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Form S-8, No. 333-140728</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1060" w:type="dxa"/>
            <w:vAlign w:val="bottom"/>
            <w:gridSpan w:val="2"/>
          </w:tcPr>
          <w:p>
            <w:pPr>
              <w:spacing w:after="0"/>
              <w:rPr>
                <w:sz w:val="20"/>
                <w:szCs w:val="20"/>
                <w:color w:val="auto"/>
              </w:rPr>
            </w:pPr>
            <w:r>
              <w:rPr>
                <w:rFonts w:ascii="Courier New" w:cs="Courier New" w:eastAsia="Courier New" w:hAnsi="Courier New"/>
                <w:sz w:val="13"/>
                <w:szCs w:val="13"/>
                <w:color w:val="auto"/>
              </w:rPr>
              <w:t>Form F-3 (and</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related</w:t>
            </w:r>
          </w:p>
        </w:tc>
        <w:tc>
          <w:tcPr>
            <w:tcW w:w="11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Prospectus),</w:t>
            </w:r>
          </w:p>
        </w:tc>
        <w:tc>
          <w:tcPr>
            <w:tcW w:w="300" w:type="dxa"/>
            <w:vAlign w:val="bottom"/>
            <w:gridSpan w:val="2"/>
          </w:tcPr>
          <w:p>
            <w:pPr>
              <w:spacing w:after="0"/>
              <w:rPr>
                <w:sz w:val="20"/>
                <w:szCs w:val="20"/>
                <w:color w:val="auto"/>
              </w:rPr>
            </w:pPr>
            <w:r>
              <w:rPr>
                <w:rFonts w:ascii="Courier New" w:cs="Courier New" w:eastAsia="Courier New" w:hAnsi="Courier New"/>
                <w:sz w:val="13"/>
                <w:szCs w:val="13"/>
                <w:color w:val="auto"/>
              </w:rPr>
              <w:t>No.</w:t>
            </w:r>
          </w:p>
        </w:tc>
        <w:tc>
          <w:tcPr>
            <w:tcW w:w="880" w:type="dxa"/>
            <w:vAlign w:val="bottom"/>
          </w:tcPr>
          <w:p>
            <w:pPr>
              <w:ind w:left="80"/>
              <w:spacing w:after="0"/>
              <w:rPr>
                <w:sz w:val="20"/>
                <w:szCs w:val="20"/>
                <w:color w:val="auto"/>
              </w:rPr>
            </w:pPr>
            <w:r>
              <w:rPr>
                <w:rFonts w:ascii="Courier New" w:cs="Courier New" w:eastAsia="Courier New" w:hAnsi="Courier New"/>
                <w:sz w:val="13"/>
                <w:szCs w:val="13"/>
                <w:color w:val="auto"/>
              </w:rPr>
              <w:t>333-39278</w:t>
            </w:r>
          </w:p>
        </w:tc>
      </w:tr>
      <w:tr>
        <w:trPr>
          <w:trHeight w:val="151"/>
        </w:trPr>
        <w:tc>
          <w:tcPr>
            <w:tcW w:w="1060" w:type="dxa"/>
            <w:vAlign w:val="bottom"/>
            <w:gridSpan w:val="2"/>
          </w:tcPr>
          <w:p>
            <w:pPr>
              <w:spacing w:after="0"/>
              <w:rPr>
                <w:sz w:val="20"/>
                <w:szCs w:val="20"/>
                <w:color w:val="auto"/>
              </w:rPr>
            </w:pPr>
            <w:r>
              <w:rPr>
                <w:rFonts w:ascii="Courier New" w:cs="Courier New" w:eastAsia="Courier New" w:hAnsi="Courier New"/>
                <w:sz w:val="13"/>
                <w:szCs w:val="13"/>
                <w:color w:val="auto"/>
              </w:rPr>
              <w:t>Form F-3 (and</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related</w:t>
            </w:r>
          </w:p>
        </w:tc>
        <w:tc>
          <w:tcPr>
            <w:tcW w:w="11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Prospectus),</w:t>
            </w:r>
          </w:p>
        </w:tc>
        <w:tc>
          <w:tcPr>
            <w:tcW w:w="300" w:type="dxa"/>
            <w:vAlign w:val="bottom"/>
            <w:gridSpan w:val="2"/>
          </w:tcPr>
          <w:p>
            <w:pPr>
              <w:spacing w:after="0"/>
              <w:rPr>
                <w:sz w:val="20"/>
                <w:szCs w:val="20"/>
                <w:color w:val="auto"/>
              </w:rPr>
            </w:pPr>
            <w:r>
              <w:rPr>
                <w:rFonts w:ascii="Courier New" w:cs="Courier New" w:eastAsia="Courier New" w:hAnsi="Courier New"/>
                <w:sz w:val="13"/>
                <w:szCs w:val="13"/>
                <w:color w:val="auto"/>
              </w:rPr>
              <w:t>No.</w:t>
            </w:r>
          </w:p>
        </w:tc>
        <w:tc>
          <w:tcPr>
            <w:tcW w:w="880" w:type="dxa"/>
            <w:vAlign w:val="bottom"/>
          </w:tcPr>
          <w:p>
            <w:pPr>
              <w:ind w:left="80"/>
              <w:spacing w:after="0"/>
              <w:rPr>
                <w:sz w:val="20"/>
                <w:szCs w:val="20"/>
                <w:color w:val="auto"/>
              </w:rPr>
            </w:pPr>
            <w:r>
              <w:rPr>
                <w:rFonts w:ascii="Courier New" w:cs="Courier New" w:eastAsia="Courier New" w:hAnsi="Courier New"/>
                <w:sz w:val="13"/>
                <w:szCs w:val="13"/>
                <w:color w:val="auto"/>
              </w:rPr>
              <w:t>333-44994</w:t>
            </w:r>
          </w:p>
        </w:tc>
      </w:tr>
      <w:tr>
        <w:trPr>
          <w:trHeight w:val="151"/>
        </w:trPr>
        <w:tc>
          <w:tcPr>
            <w:tcW w:w="680" w:type="dxa"/>
            <w:vAlign w:val="bottom"/>
          </w:tcPr>
          <w:p>
            <w:pPr>
              <w:spacing w:after="0"/>
              <w:rPr>
                <w:sz w:val="20"/>
                <w:szCs w:val="20"/>
                <w:color w:val="auto"/>
              </w:rPr>
            </w:pPr>
            <w:r>
              <w:rPr>
                <w:rFonts w:ascii="Courier New" w:cs="Courier New" w:eastAsia="Courier New" w:hAnsi="Courier New"/>
                <w:sz w:val="13"/>
                <w:szCs w:val="13"/>
                <w:color w:val="auto"/>
              </w:rPr>
              <w:t>Form F-3</w:t>
            </w:r>
          </w:p>
        </w:tc>
        <w:tc>
          <w:tcPr>
            <w:tcW w:w="380" w:type="dxa"/>
            <w:vAlign w:val="bottom"/>
          </w:tcPr>
          <w:p>
            <w:pPr>
              <w:ind w:left="40"/>
              <w:spacing w:after="0"/>
              <w:rPr>
                <w:sz w:val="20"/>
                <w:szCs w:val="20"/>
                <w:color w:val="auto"/>
              </w:rPr>
            </w:pPr>
            <w:r>
              <w:rPr>
                <w:rFonts w:ascii="Courier New" w:cs="Courier New" w:eastAsia="Courier New" w:hAnsi="Courier New"/>
                <w:sz w:val="13"/>
                <w:szCs w:val="13"/>
                <w:color w:val="auto"/>
              </w:rPr>
              <w:t>(and</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related</w:t>
            </w:r>
          </w:p>
        </w:tc>
        <w:tc>
          <w:tcPr>
            <w:tcW w:w="11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Prospectus),</w:t>
            </w:r>
          </w:p>
        </w:tc>
        <w:tc>
          <w:tcPr>
            <w:tcW w:w="300" w:type="dxa"/>
            <w:vAlign w:val="bottom"/>
            <w:gridSpan w:val="2"/>
          </w:tcPr>
          <w:p>
            <w:pPr>
              <w:spacing w:after="0"/>
              <w:rPr>
                <w:sz w:val="20"/>
                <w:szCs w:val="20"/>
                <w:color w:val="auto"/>
              </w:rPr>
            </w:pPr>
            <w:r>
              <w:rPr>
                <w:rFonts w:ascii="Courier New" w:cs="Courier New" w:eastAsia="Courier New" w:hAnsi="Courier New"/>
                <w:sz w:val="13"/>
                <w:szCs w:val="13"/>
                <w:color w:val="auto"/>
              </w:rPr>
              <w:t>No.</w:t>
            </w:r>
          </w:p>
        </w:tc>
        <w:tc>
          <w:tcPr>
            <w:tcW w:w="880" w:type="dxa"/>
            <w:vAlign w:val="bottom"/>
          </w:tcPr>
          <w:p>
            <w:pPr>
              <w:ind w:left="80"/>
              <w:spacing w:after="0"/>
              <w:rPr>
                <w:sz w:val="20"/>
                <w:szCs w:val="20"/>
                <w:color w:val="auto"/>
              </w:rPr>
            </w:pPr>
            <w:r>
              <w:rPr>
                <w:rFonts w:ascii="Courier New" w:cs="Courier New" w:eastAsia="Courier New" w:hAnsi="Courier New"/>
                <w:sz w:val="13"/>
                <w:szCs w:val="13"/>
                <w:color w:val="auto"/>
              </w:rPr>
              <w:t>333-57036</w:t>
            </w:r>
          </w:p>
        </w:tc>
      </w:tr>
      <w:tr>
        <w:trPr>
          <w:trHeight w:val="151"/>
        </w:trPr>
        <w:tc>
          <w:tcPr>
            <w:tcW w:w="680" w:type="dxa"/>
            <w:vAlign w:val="bottom"/>
          </w:tcPr>
          <w:p>
            <w:pPr>
              <w:spacing w:after="0"/>
              <w:rPr>
                <w:sz w:val="20"/>
                <w:szCs w:val="20"/>
                <w:color w:val="auto"/>
              </w:rPr>
            </w:pPr>
            <w:r>
              <w:rPr>
                <w:rFonts w:ascii="Courier New" w:cs="Courier New" w:eastAsia="Courier New" w:hAnsi="Courier New"/>
                <w:sz w:val="13"/>
                <w:szCs w:val="13"/>
                <w:color w:val="auto"/>
              </w:rPr>
              <w:t>Form F-3</w:t>
            </w:r>
          </w:p>
        </w:tc>
        <w:tc>
          <w:tcPr>
            <w:tcW w:w="380" w:type="dxa"/>
            <w:vAlign w:val="bottom"/>
          </w:tcPr>
          <w:p>
            <w:pPr>
              <w:ind w:left="40"/>
              <w:spacing w:after="0"/>
              <w:rPr>
                <w:sz w:val="20"/>
                <w:szCs w:val="20"/>
                <w:color w:val="auto"/>
              </w:rPr>
            </w:pPr>
            <w:r>
              <w:rPr>
                <w:rFonts w:ascii="Courier New" w:cs="Courier New" w:eastAsia="Courier New" w:hAnsi="Courier New"/>
                <w:sz w:val="13"/>
                <w:szCs w:val="13"/>
                <w:color w:val="auto"/>
              </w:rPr>
              <w:t>(and</w:t>
            </w: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related Prospectus), No.</w:t>
            </w:r>
          </w:p>
        </w:tc>
        <w:tc>
          <w:tcPr>
            <w:tcW w:w="10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333-67572</w:t>
            </w:r>
          </w:p>
        </w:tc>
      </w:tr>
      <w:tr>
        <w:trPr>
          <w:trHeight w:val="151"/>
        </w:trPr>
        <w:tc>
          <w:tcPr>
            <w:tcW w:w="680" w:type="dxa"/>
            <w:vAlign w:val="bottom"/>
          </w:tcPr>
          <w:p>
            <w:pPr>
              <w:spacing w:after="0"/>
              <w:rPr>
                <w:sz w:val="20"/>
                <w:szCs w:val="20"/>
                <w:color w:val="auto"/>
              </w:rPr>
            </w:pPr>
            <w:r>
              <w:rPr>
                <w:rFonts w:ascii="Courier New" w:cs="Courier New" w:eastAsia="Courier New" w:hAnsi="Courier New"/>
                <w:sz w:val="13"/>
                <w:szCs w:val="13"/>
                <w:color w:val="auto"/>
              </w:rPr>
              <w:t>Form F-3</w:t>
            </w:r>
          </w:p>
        </w:tc>
        <w:tc>
          <w:tcPr>
            <w:tcW w:w="380" w:type="dxa"/>
            <w:vAlign w:val="bottom"/>
          </w:tcPr>
          <w:p>
            <w:pPr>
              <w:ind w:left="40"/>
              <w:spacing w:after="0"/>
              <w:rPr>
                <w:sz w:val="20"/>
                <w:szCs w:val="20"/>
                <w:color w:val="auto"/>
              </w:rPr>
            </w:pPr>
            <w:r>
              <w:rPr>
                <w:rFonts w:ascii="Courier New" w:cs="Courier New" w:eastAsia="Courier New" w:hAnsi="Courier New"/>
                <w:sz w:val="13"/>
                <w:szCs w:val="13"/>
                <w:color w:val="auto"/>
              </w:rPr>
              <w:t>(and</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related</w:t>
            </w:r>
          </w:p>
        </w:tc>
        <w:tc>
          <w:tcPr>
            <w:tcW w:w="11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Prospectus),</w:t>
            </w:r>
          </w:p>
        </w:tc>
        <w:tc>
          <w:tcPr>
            <w:tcW w:w="300" w:type="dxa"/>
            <w:vAlign w:val="bottom"/>
            <w:gridSpan w:val="2"/>
          </w:tcPr>
          <w:p>
            <w:pPr>
              <w:spacing w:after="0"/>
              <w:rPr>
                <w:sz w:val="20"/>
                <w:szCs w:val="20"/>
                <w:color w:val="auto"/>
              </w:rPr>
            </w:pPr>
            <w:r>
              <w:rPr>
                <w:rFonts w:ascii="Courier New" w:cs="Courier New" w:eastAsia="Courier New" w:hAnsi="Courier New"/>
                <w:sz w:val="13"/>
                <w:szCs w:val="13"/>
                <w:color w:val="auto"/>
              </w:rPr>
              <w:t>No.</w:t>
            </w:r>
          </w:p>
        </w:tc>
        <w:tc>
          <w:tcPr>
            <w:tcW w:w="880" w:type="dxa"/>
            <w:vAlign w:val="bottom"/>
          </w:tcPr>
          <w:p>
            <w:pPr>
              <w:ind w:left="80"/>
              <w:spacing w:after="0"/>
              <w:rPr>
                <w:sz w:val="20"/>
                <w:szCs w:val="20"/>
                <w:color w:val="auto"/>
              </w:rPr>
            </w:pPr>
            <w:r>
              <w:rPr>
                <w:rFonts w:ascii="Courier New" w:cs="Courier New" w:eastAsia="Courier New" w:hAnsi="Courier New"/>
                <w:sz w:val="13"/>
                <w:szCs w:val="13"/>
                <w:color w:val="auto"/>
                <w:w w:val="99"/>
              </w:rPr>
              <w:t>333-114079</w:t>
            </w:r>
          </w:p>
        </w:tc>
      </w:tr>
      <w:tr>
        <w:trPr>
          <w:trHeight w:val="151"/>
        </w:trPr>
        <w:tc>
          <w:tcPr>
            <w:tcW w:w="680" w:type="dxa"/>
            <w:vAlign w:val="bottom"/>
          </w:tcPr>
          <w:p>
            <w:pPr>
              <w:spacing w:after="0"/>
              <w:rPr>
                <w:sz w:val="20"/>
                <w:szCs w:val="20"/>
                <w:color w:val="auto"/>
              </w:rPr>
            </w:pPr>
            <w:r>
              <w:rPr>
                <w:rFonts w:ascii="Courier New" w:cs="Courier New" w:eastAsia="Courier New" w:hAnsi="Courier New"/>
                <w:sz w:val="13"/>
                <w:szCs w:val="13"/>
                <w:color w:val="auto"/>
              </w:rPr>
              <w:t>Form F-3</w:t>
            </w:r>
          </w:p>
        </w:tc>
        <w:tc>
          <w:tcPr>
            <w:tcW w:w="380" w:type="dxa"/>
            <w:vAlign w:val="bottom"/>
          </w:tcPr>
          <w:p>
            <w:pPr>
              <w:ind w:left="40"/>
              <w:spacing w:after="0"/>
              <w:rPr>
                <w:sz w:val="20"/>
                <w:szCs w:val="20"/>
                <w:color w:val="auto"/>
              </w:rPr>
            </w:pPr>
            <w:r>
              <w:rPr>
                <w:rFonts w:ascii="Courier New" w:cs="Courier New" w:eastAsia="Courier New" w:hAnsi="Courier New"/>
                <w:sz w:val="13"/>
                <w:szCs w:val="13"/>
                <w:color w:val="auto"/>
              </w:rPr>
              <w:t>(and</w:t>
            </w:r>
          </w:p>
        </w:tc>
        <w:tc>
          <w:tcPr>
            <w:tcW w:w="19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related Prospectus), No.</w:t>
            </w:r>
          </w:p>
        </w:tc>
        <w:tc>
          <w:tcPr>
            <w:tcW w:w="10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333-114344</w:t>
            </w:r>
          </w:p>
        </w:tc>
      </w:tr>
    </w:tbl>
    <w:p>
      <w:pPr>
        <w:spacing w:after="0" w:line="155" w:lineRule="exact"/>
        <w:rPr>
          <w:sz w:val="20"/>
          <w:szCs w:val="20"/>
          <w:color w:val="auto"/>
        </w:rPr>
      </w:pPr>
    </w:p>
    <w:p>
      <w:pPr>
        <w:jc w:val="both"/>
        <w:ind w:right="3959"/>
        <w:spacing w:after="0" w:line="246" w:lineRule="auto"/>
        <w:rPr>
          <w:sz w:val="20"/>
          <w:szCs w:val="20"/>
          <w:color w:val="auto"/>
        </w:rPr>
      </w:pPr>
      <w:r>
        <w:rPr>
          <w:rFonts w:ascii="Courier New" w:cs="Courier New" w:eastAsia="Courier New" w:hAnsi="Courier New"/>
          <w:sz w:val="13"/>
          <w:szCs w:val="13"/>
          <w:color w:val="auto"/>
        </w:rPr>
        <w:t>of our reports dated December 8, 2008, with respect to the consolidated financial statements and financial statement schedule of Amdocs Limited and the effectiveness of internal control over financial reporting of Amdocs Limited, included in this Annual Report (Form 20-F) for the year ended September 30, 2008.</w:t>
      </w: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/s/ ERNST &amp; YOUNG LLP</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New York,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December 8, 2008</w:t>
      </w:r>
    </w:p>
    <w:sectPr>
      <w:pgSz w:w="11900" w:h="16838" w:orient="portrait"/>
      <w:cols w:equalWidth="0" w:num="1">
        <w:col w:w="10239"/>
      </w:cols>
      <w:pgMar w:left="220" w:top="5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o"/>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lvl w:ilvl="1">
      <w:lvlJc w:val="left"/>
      <w:lvlText w:val="•"/>
      <w:numFmt w:val="bullet"/>
      <w:start w:val="1"/>
    </w:lvl>
  </w:abstractNum>
  <w:abstractNum w:abstractNumId="15">
    <w:nsid w:val="2A487CB0"/>
    <w:multiLevelType w:val="hybridMultilevel"/>
    <w:lvl w:ilvl="0">
      <w:lvlJc w:val="left"/>
      <w:lvlText w:val="•"/>
      <w:numFmt w:val="bullet"/>
      <w:start w:val="1"/>
    </w:lvl>
    <w:lvl w:ilvl="1">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lvl w:ilvl="1">
      <w:lvlJc w:val="left"/>
      <w:lvlText w:val="•"/>
      <w:numFmt w:val="bullet"/>
      <w:start w:val="1"/>
    </w:lvl>
  </w:abstractNum>
  <w:abstractNum w:abstractNumId="19">
    <w:nsid w:val="57E4CCAF"/>
    <w:multiLevelType w:val="hybridMultilevel"/>
    <w:lvl w:ilvl="0">
      <w:lvlJc w:val="left"/>
      <w:lvlText w:val="•"/>
      <w:numFmt w:val="bullet"/>
      <w:start w:val="1"/>
    </w:lvl>
    <w:lvl w:ilvl="1">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lvl w:ilvl="1">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5"/>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lowerRoman"/>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8"/>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5"/>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5"/>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2019-12-14T20:54:58Z</dcterms:created>
  <dcterms:modified xsi:type="dcterms:W3CDTF">2019-12-14T20:54:58Z</dcterms:modified>
</cp:coreProperties>
</file>