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MARCH 14, 2001.</w:t>
      </w:r>
    </w:p>
    <w:p>
      <w:pPr>
        <w:ind w:left="4640"/>
        <w:spacing w:after="0" w:line="237" w:lineRule="auto"/>
        <w:rPr>
          <w:sz w:val="20"/>
          <w:szCs w:val="20"/>
          <w:color w:val="auto"/>
        </w:rPr>
      </w:pPr>
      <w:r>
        <w:rPr>
          <w:rFonts w:ascii="Courier New" w:cs="Courier New" w:eastAsia="Courier New" w:hAnsi="Courier New"/>
          <w:sz w:val="15"/>
          <w:szCs w:val="15"/>
          <w:color w:val="auto"/>
        </w:rPr>
        <w:t>REGISTRATION NO. 333-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5"/>
          <w:szCs w:val="15"/>
          <w:color w:val="auto"/>
        </w:rPr>
        <w:t>UNITED STATES</w:t>
      </w:r>
    </w:p>
    <w:p>
      <w:pPr>
        <w:jc w:val="center"/>
        <w:ind w:right="45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4540"/>
        <w:spacing w:after="0" w:line="238" w:lineRule="auto"/>
        <w:rPr>
          <w:sz w:val="20"/>
          <w:szCs w:val="20"/>
          <w:color w:val="auto"/>
        </w:rPr>
      </w:pPr>
      <w:r>
        <w:rPr>
          <w:rFonts w:ascii="Courier New" w:cs="Courier New" w:eastAsia="Courier New" w:hAnsi="Courier New"/>
          <w:sz w:val="15"/>
          <w:szCs w:val="15"/>
          <w:color w:val="auto"/>
        </w:rPr>
        <w:t>WASHINGTON, D.C. 20549</w:t>
      </w:r>
    </w:p>
    <w:p>
      <w:pPr>
        <w:jc w:val="center"/>
        <w:ind w:right="4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F-3</w:t>
      </w:r>
    </w:p>
    <w:p>
      <w:pPr>
        <w:ind w:left="254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8" w:lineRule="auto"/>
        <w:rPr>
          <w:sz w:val="20"/>
          <w:szCs w:val="20"/>
          <w:color w:val="auto"/>
        </w:rPr>
      </w:pPr>
      <w:r>
        <w:rPr>
          <w:rFonts w:ascii="Courier New" w:cs="Courier New" w:eastAsia="Courier New" w:hAnsi="Courier New"/>
          <w:sz w:val="15"/>
          <w:szCs w:val="15"/>
          <w:color w:val="auto"/>
        </w:rPr>
        <w:t>UNDER</w:t>
      </w:r>
    </w:p>
    <w:p>
      <w:pPr>
        <w:ind w:left="2380"/>
        <w:spacing w:after="0" w:line="237" w:lineRule="auto"/>
        <w:rPr>
          <w:sz w:val="20"/>
          <w:szCs w:val="20"/>
          <w:color w:val="auto"/>
        </w:rPr>
      </w:pPr>
      <w:r>
        <w:rPr>
          <w:rFonts w:ascii="Courier New" w:cs="Courier New" w:eastAsia="Courier New" w:hAnsi="Courier New"/>
          <w:sz w:val="15"/>
          <w:szCs w:val="15"/>
          <w:color w:val="auto"/>
        </w:rPr>
        <w:t>THE SECURITIES ACT OF 1933</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AMDOCS LIMITED</w:t>
      </w:r>
    </w:p>
    <w:p>
      <w:pPr>
        <w:jc w:val="center"/>
        <w:ind w:right="454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06" w:orient="portrait"/>
          <w:cols w:equalWidth="0" w:num="1">
            <w:col w:w="11540"/>
          </w:cols>
          <w:pgMar w:left="220" w:top="225" w:right="139" w:bottom="0" w:gutter="0" w:footer="0" w:header="0"/>
        </w:sectPr>
      </w:pPr>
    </w:p>
    <w:p>
      <w:pPr>
        <w:spacing w:after="0" w:line="200" w:lineRule="exact"/>
        <w:rPr>
          <w:sz w:val="24"/>
          <w:szCs w:val="24"/>
          <w:color w:val="auto"/>
        </w:rPr>
      </w:pPr>
    </w:p>
    <w:p>
      <w:pPr>
        <w:spacing w:after="0" w:line="310" w:lineRule="exact"/>
        <w:rPr>
          <w:sz w:val="24"/>
          <w:szCs w:val="24"/>
          <w:color w:val="auto"/>
        </w:rPr>
      </w:pPr>
    </w:p>
    <w:p>
      <w:pPr>
        <w:ind w:left="100" w:firstLine="525"/>
        <w:spacing w:after="0" w:line="258" w:lineRule="auto"/>
        <w:rPr>
          <w:sz w:val="20"/>
          <w:szCs w:val="20"/>
          <w:color w:val="auto"/>
        </w:rPr>
      </w:pPr>
      <w:r>
        <w:rPr>
          <w:rFonts w:ascii="Courier New" w:cs="Courier New" w:eastAsia="Courier New" w:hAnsi="Courier New"/>
          <w:sz w:val="14"/>
          <w:szCs w:val="14"/>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5"/>
          <w:szCs w:val="15"/>
          <w:color w:val="auto"/>
        </w:rPr>
        <w:t>7371</w:t>
      </w:r>
    </w:p>
    <w:p>
      <w:pPr>
        <w:spacing w:after="0" w:line="5"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(PRIMARY STANDARD INDUSTRIAL</w:t>
      </w:r>
    </w:p>
    <w:p>
      <w:pPr>
        <w:spacing w:after="0" w:line="10"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NOT APPLICABLE</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6" w:lineRule="exact"/>
        <w:rPr>
          <w:sz w:val="24"/>
          <w:szCs w:val="24"/>
          <w:color w:val="auto"/>
        </w:rPr>
      </w:pPr>
    </w:p>
    <w:p>
      <w:pPr>
        <w:sectPr>
          <w:pgSz w:w="11900" w:h="16906" w:orient="portrait"/>
          <w:cols w:equalWidth="0" w:num="3">
            <w:col w:w="2800" w:space="360"/>
            <w:col w:w="2680" w:space="720"/>
            <w:col w:w="4980"/>
          </w:cols>
          <w:pgMar w:left="220" w:top="225" w:right="139" w:bottom="0" w:gutter="0" w:footer="0" w:header="0"/>
          <w:type w:val="continuous"/>
        </w:sectPr>
      </w:pPr>
    </w:p>
    <w:p>
      <w:pPr>
        <w:spacing w:after="0" w:line="123"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4620"/>
        <w:spacing w:after="0" w:line="237" w:lineRule="auto"/>
        <w:rPr>
          <w:sz w:val="20"/>
          <w:szCs w:val="20"/>
          <w:color w:val="auto"/>
        </w:rPr>
      </w:pPr>
      <w:r>
        <w:rPr>
          <w:rFonts w:ascii="Courier New" w:cs="Courier New" w:eastAsia="Courier New" w:hAnsi="Courier New"/>
          <w:sz w:val="15"/>
          <w:szCs w:val="15"/>
          <w:color w:val="auto"/>
        </w:rPr>
        <w:t>ST. PETER PORT, ISLAND OF GUERNSEY, GY1 3QT CHANNEL ISLANDS</w:t>
      </w:r>
    </w:p>
    <w:p>
      <w:pPr>
        <w:jc w:val="center"/>
        <w:ind w:right="4520"/>
        <w:spacing w:after="0" w:line="238" w:lineRule="auto"/>
        <w:rPr>
          <w:sz w:val="20"/>
          <w:szCs w:val="20"/>
          <w:color w:val="auto"/>
        </w:rPr>
      </w:pPr>
      <w:r>
        <w:rPr>
          <w:rFonts w:ascii="Courier New" w:cs="Courier New" w:eastAsia="Courier New" w:hAnsi="Courier New"/>
          <w:sz w:val="15"/>
          <w:szCs w:val="15"/>
          <w:color w:val="auto"/>
        </w:rPr>
        <w:t>011-44-1481-728444</w:t>
      </w:r>
    </w:p>
    <w:p>
      <w:pPr>
        <w:jc w:val="center"/>
        <w:ind w:right="4520"/>
        <w:spacing w:after="0" w:line="237" w:lineRule="auto"/>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AMDOCS, INC.</w:t>
      </w:r>
    </w:p>
    <w:p>
      <w:pPr>
        <w:jc w:val="center"/>
        <w:ind w:right="4620"/>
        <w:spacing w:after="0" w:line="237" w:lineRule="auto"/>
        <w:rPr>
          <w:sz w:val="20"/>
          <w:szCs w:val="20"/>
          <w:color w:val="auto"/>
        </w:rPr>
      </w:pPr>
      <w:r>
        <w:rPr>
          <w:rFonts w:ascii="Courier New" w:cs="Courier New" w:eastAsia="Courier New" w:hAnsi="Courier New"/>
          <w:sz w:val="15"/>
          <w:szCs w:val="15"/>
          <w:color w:val="auto"/>
        </w:rPr>
        <w:t>1390 TIMBERLAKE MANOR PARKWAY, CHESTERFIELD, MISSOURI 63017</w:t>
      </w:r>
    </w:p>
    <w:p>
      <w:pPr>
        <w:jc w:val="center"/>
        <w:ind w:right="4620"/>
        <w:spacing w:after="0" w:line="238" w:lineRule="auto"/>
        <w:rPr>
          <w:sz w:val="20"/>
          <w:szCs w:val="20"/>
          <w:color w:val="auto"/>
        </w:rPr>
      </w:pPr>
      <w:r>
        <w:rPr>
          <w:rFonts w:ascii="Courier New" w:cs="Courier New" w:eastAsia="Courier New" w:hAnsi="Courier New"/>
          <w:sz w:val="15"/>
          <w:szCs w:val="15"/>
          <w:color w:val="auto"/>
        </w:rPr>
        <w:t>ATTENTION: THOMAS G. O'BRIEN, TREASURER</w:t>
      </w:r>
    </w:p>
    <w:p>
      <w:pPr>
        <w:jc w:val="center"/>
        <w:ind w:right="4520"/>
        <w:spacing w:after="0" w:line="237" w:lineRule="auto"/>
        <w:rPr>
          <w:sz w:val="20"/>
          <w:szCs w:val="20"/>
          <w:color w:val="auto"/>
        </w:rPr>
      </w:pPr>
      <w:r>
        <w:rPr>
          <w:rFonts w:ascii="Courier New" w:cs="Courier New" w:eastAsia="Courier New" w:hAnsi="Courier New"/>
          <w:sz w:val="15"/>
          <w:szCs w:val="15"/>
          <w:color w:val="auto"/>
        </w:rPr>
        <w:t>(314) 212-8328</w:t>
      </w:r>
    </w:p>
    <w:p>
      <w:pPr>
        <w:jc w:val="center"/>
        <w:ind w:right="4520"/>
        <w:spacing w:after="0" w:line="238"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66" w:lineRule="exact"/>
        <w:rPr>
          <w:sz w:val="24"/>
          <w:szCs w:val="24"/>
          <w:color w:val="auto"/>
        </w:rPr>
      </w:pPr>
    </w:p>
    <w:p>
      <w:pPr>
        <w:jc w:val="center"/>
        <w:ind w:right="4520"/>
        <w:spacing w:after="0"/>
        <w:rPr>
          <w:sz w:val="20"/>
          <w:szCs w:val="20"/>
          <w:color w:val="auto"/>
        </w:rPr>
      </w:pPr>
      <w:r>
        <w:rPr>
          <w:rFonts w:ascii="Courier New" w:cs="Courier New" w:eastAsia="Courier New" w:hAnsi="Courier New"/>
          <w:sz w:val="15"/>
          <w:szCs w:val="15"/>
          <w:color w:val="auto"/>
        </w:rPr>
        <w:t>ROBERT A. SCHWED, ESQ.</w:t>
      </w:r>
    </w:p>
    <w:p>
      <w:pPr>
        <w:jc w:val="center"/>
        <w:ind w:right="4520"/>
        <w:spacing w:after="0" w:line="237" w:lineRule="auto"/>
        <w:rPr>
          <w:sz w:val="20"/>
          <w:szCs w:val="20"/>
          <w:color w:val="auto"/>
        </w:rPr>
      </w:pPr>
      <w:r>
        <w:rPr>
          <w:rFonts w:ascii="Courier New" w:cs="Courier New" w:eastAsia="Courier New" w:hAnsi="Courier New"/>
          <w:sz w:val="15"/>
          <w:szCs w:val="15"/>
          <w:color w:val="auto"/>
        </w:rPr>
        <w:t>JONATHAN P. CRAMER, ESQ.</w:t>
      </w:r>
    </w:p>
    <w:p>
      <w:pPr>
        <w:jc w:val="center"/>
        <w:ind w:right="4520"/>
        <w:spacing w:after="0" w:line="238" w:lineRule="auto"/>
        <w:rPr>
          <w:sz w:val="20"/>
          <w:szCs w:val="20"/>
          <w:color w:val="auto"/>
        </w:rPr>
      </w:pPr>
      <w:r>
        <w:rPr>
          <w:rFonts w:ascii="Courier New" w:cs="Courier New" w:eastAsia="Courier New" w:hAnsi="Courier New"/>
          <w:sz w:val="15"/>
          <w:szCs w:val="15"/>
          <w:color w:val="auto"/>
        </w:rPr>
        <w:t>REBOUL, MACMURRAY, HEWITT, MAYNARD &amp; KRISTOL</w:t>
      </w:r>
    </w:p>
    <w:p>
      <w:pPr>
        <w:jc w:val="center"/>
        <w:ind w:right="4520"/>
        <w:spacing w:after="0" w:line="237" w:lineRule="auto"/>
        <w:rPr>
          <w:sz w:val="20"/>
          <w:szCs w:val="20"/>
          <w:color w:val="auto"/>
        </w:rPr>
      </w:pPr>
      <w:r>
        <w:rPr>
          <w:rFonts w:ascii="Courier New" w:cs="Courier New" w:eastAsia="Courier New" w:hAnsi="Courier New"/>
          <w:sz w:val="15"/>
          <w:szCs w:val="15"/>
          <w:color w:val="auto"/>
        </w:rPr>
        <w:t>45 ROCKEFELLER PLAZA</w:t>
      </w:r>
    </w:p>
    <w:p>
      <w:pPr>
        <w:jc w:val="center"/>
        <w:ind w:right="4520"/>
        <w:spacing w:after="0" w:line="238" w:lineRule="auto"/>
        <w:rPr>
          <w:sz w:val="20"/>
          <w:szCs w:val="20"/>
          <w:color w:val="auto"/>
        </w:rPr>
      </w:pPr>
      <w:r>
        <w:rPr>
          <w:rFonts w:ascii="Courier New" w:cs="Courier New" w:eastAsia="Courier New" w:hAnsi="Courier New"/>
          <w:sz w:val="15"/>
          <w:szCs w:val="15"/>
          <w:color w:val="auto"/>
        </w:rPr>
        <w:t>NEW YORK, NEW YORK 10111</w:t>
      </w:r>
    </w:p>
    <w:p>
      <w:pPr>
        <w:jc w:val="center"/>
        <w:ind w:right="4520"/>
        <w:spacing w:after="0" w:line="237" w:lineRule="auto"/>
        <w:rPr>
          <w:sz w:val="20"/>
          <w:szCs w:val="20"/>
          <w:color w:val="auto"/>
        </w:rPr>
      </w:pPr>
      <w:r>
        <w:rPr>
          <w:rFonts w:ascii="Courier New" w:cs="Courier New" w:eastAsia="Courier New" w:hAnsi="Courier New"/>
          <w:sz w:val="15"/>
          <w:szCs w:val="15"/>
          <w:color w:val="auto"/>
        </w:rPr>
        <w:t>(212) 841-5700</w:t>
      </w:r>
    </w:p>
    <w:p>
      <w:pPr>
        <w:spacing w:after="0" w:line="174" w:lineRule="exact"/>
        <w:rPr>
          <w:sz w:val="24"/>
          <w:szCs w:val="24"/>
          <w:color w:val="auto"/>
        </w:rPr>
      </w:pPr>
    </w:p>
    <w:p>
      <w:pPr>
        <w:jc w:val="both"/>
        <w:ind w:right="4620" w:firstLine="350"/>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3" w:lineRule="exact"/>
        <w:rPr>
          <w:sz w:val="24"/>
          <w:szCs w:val="24"/>
          <w:color w:val="auto"/>
        </w:rPr>
      </w:pPr>
    </w:p>
    <w:p>
      <w:pPr>
        <w:jc w:val="both"/>
        <w:ind w:right="4620" w:firstLine="350"/>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[X] ________</w:t>
      </w:r>
    </w:p>
    <w:p>
      <w:pPr>
        <w:spacing w:after="0" w:line="174" w:lineRule="exact"/>
        <w:rPr>
          <w:sz w:val="24"/>
          <w:szCs w:val="24"/>
          <w:color w:val="auto"/>
        </w:rPr>
      </w:pPr>
    </w:p>
    <w:p>
      <w:pPr>
        <w:ind w:right="4540"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w:t>
      </w:r>
    </w:p>
    <w:p>
      <w:pPr>
        <w:spacing w:after="0" w:line="175" w:lineRule="exact"/>
        <w:rPr>
          <w:sz w:val="24"/>
          <w:szCs w:val="24"/>
          <w:color w:val="auto"/>
        </w:rPr>
      </w:pPr>
    </w:p>
    <w:p>
      <w:pPr>
        <w:ind w:right="4800"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w:t>
      </w:r>
    </w:p>
    <w:p>
      <w:pPr>
        <w:spacing w:after="0" w:line="175" w:lineRule="exact"/>
        <w:rPr>
          <w:sz w:val="24"/>
          <w:szCs w:val="24"/>
          <w:color w:val="auto"/>
        </w:rPr>
      </w:pPr>
    </w:p>
    <w:p>
      <w:pPr>
        <w:ind w:right="4700" w:firstLine="350"/>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 ________</w:t>
      </w:r>
    </w:p>
    <w:p>
      <w:pPr>
        <w:spacing w:after="0" w:line="173" w:lineRule="exact"/>
        <w:rPr>
          <w:sz w:val="24"/>
          <w:szCs w:val="24"/>
          <w:color w:val="auto"/>
        </w:rPr>
      </w:pPr>
    </w:p>
    <w:p>
      <w:pPr>
        <w:ind w:right="4700" w:firstLine="350"/>
        <w:spacing w:after="0" w:line="256" w:lineRule="auto"/>
        <w:rPr>
          <w:sz w:val="20"/>
          <w:szCs w:val="20"/>
          <w:color w:val="auto"/>
        </w:rPr>
      </w:pPr>
      <w:r>
        <w:rPr>
          <w:rFonts w:ascii="Courier New" w:cs="Courier New" w:eastAsia="Courier New" w:hAnsi="Courier New"/>
          <w:sz w:val="14"/>
          <w:szCs w:val="14"/>
          <w:color w:val="auto"/>
        </w:rPr>
        <w:t>Pursuant to Rule 429 of the Securities Act of 1933, as amended, the prospectus contained herein is a combined prospectus relating to securities registered hereby and under Registration Statement No. 333-39278 filed on June 14, 2000 and Registration Statement No. 333-44944 filed on August 31, 2000.</w:t>
      </w:r>
    </w:p>
    <w:p>
      <w:pPr>
        <w:spacing w:after="0" w:line="158"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09"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98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AMOUNT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7"/>
              </w:rPr>
              <w:t>PROPOSED</w:t>
            </w:r>
          </w:p>
        </w:tc>
        <w:tc>
          <w:tcPr>
            <w:tcW w:w="1920" w:type="dxa"/>
            <w:vAlign w:val="bottom"/>
          </w:tcPr>
          <w:p>
            <w:pPr>
              <w:ind w:left="560"/>
              <w:spacing w:after="0"/>
              <w:rPr>
                <w:sz w:val="20"/>
                <w:szCs w:val="20"/>
                <w:color w:val="auto"/>
              </w:rPr>
            </w:pPr>
            <w:r>
              <w:rPr>
                <w:rFonts w:ascii="Courier New" w:cs="Courier New" w:eastAsia="Courier New" w:hAnsi="Courier New"/>
                <w:sz w:val="15"/>
                <w:szCs w:val="15"/>
                <w:color w:val="auto"/>
              </w:rPr>
              <w:t>PROPOSED</w:t>
            </w:r>
          </w:p>
        </w:tc>
        <w:tc>
          <w:tcPr>
            <w:tcW w:w="1620" w:type="dxa"/>
            <w:vAlign w:val="bottom"/>
          </w:tcPr>
          <w:p>
            <w:pPr>
              <w:spacing w:after="0"/>
              <w:rPr>
                <w:sz w:val="14"/>
                <w:szCs w:val="14"/>
                <w:color w:val="auto"/>
              </w:rPr>
            </w:pP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SECURITIES</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 BE</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MAXIMUM OFFERING</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MAXIMUM AGGREGATE</w:t>
            </w: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AMOUNT OF</w:t>
            </w:r>
          </w:p>
        </w:tc>
      </w:tr>
      <w:tr>
        <w:trPr>
          <w:trHeight w:val="168"/>
        </w:trPr>
        <w:tc>
          <w:tcPr>
            <w:tcW w:w="2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 BE REGISTERED</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REGISTERED(1)</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 PER SHARE(2)</w:t>
            </w:r>
          </w:p>
        </w:tc>
        <w:tc>
          <w:tcPr>
            <w:tcW w:w="1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OFFERING PRICE(2)</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REGISTRATION FEE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Ordinary Shares, L0.01 par value</w:t>
            </w: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4,131,731</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$61.00</w:t>
            </w:r>
          </w:p>
        </w:tc>
        <w:tc>
          <w:tcPr>
            <w:tcW w:w="2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$252,035,591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$63,009</w:t>
            </w:r>
          </w:p>
        </w:tc>
      </w:tr>
    </w:tbl>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6" w:lineRule="exact"/>
        <w:rPr>
          <w:sz w:val="24"/>
          <w:szCs w:val="24"/>
          <w:color w:val="auto"/>
        </w:rPr>
      </w:pPr>
    </w:p>
    <w:p>
      <w:pPr>
        <w:ind w:left="360" w:right="4700" w:hanging="350"/>
        <w:spacing w:after="0" w:line="236"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429 of the Securities Act of 1933, the prospectus that is part of this Registration Statement also relates to 2,703,294 Ordinary Shares registered under the Registration Statement on Form F-3, File No. 333-39278, which was declared effective on July 5, 2000, and 2,703,292 Ordinary Shares registered under the Registration Statement on Form F-3, File No. 333-44944, which was declared effective on October 5, 2000. Aggregate registration fees of $94,476 have already been paid by the registrant with respect to such securities.</w:t>
      </w:r>
    </w:p>
    <w:p>
      <w:pPr>
        <w:sectPr>
          <w:pgSz w:w="11900" w:h="16906" w:orient="portrait"/>
          <w:cols w:equalWidth="0" w:num="1">
            <w:col w:w="11540"/>
          </w:cols>
          <w:pgMar w:left="220" w:top="225" w:right="139" w:bottom="0" w:gutter="0" w:footer="0" w:header="0"/>
          <w:type w:val="continuous"/>
        </w:sectPr>
      </w:pPr>
    </w:p>
    <w:bookmarkStart w:id="1" w:name="page2"/>
    <w:bookmarkEnd w:id="1"/>
    <w:p>
      <w:pPr>
        <w:ind w:left="360" w:right="3579" w:hanging="350"/>
        <w:spacing w:after="0" w:line="254"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457(c) under the Securities Act of 1933, based upon the average of the high and low prices of shares as reported on the New York</w:t>
      </w:r>
    </w:p>
    <w:p>
      <w:pPr>
        <w:ind w:left="360"/>
        <w:spacing w:after="0" w:line="232" w:lineRule="auto"/>
        <w:rPr>
          <w:sz w:val="20"/>
          <w:szCs w:val="20"/>
          <w:color w:val="auto"/>
        </w:rPr>
      </w:pPr>
      <w:r>
        <w:rPr>
          <w:rFonts w:ascii="Courier New" w:cs="Courier New" w:eastAsia="Courier New" w:hAnsi="Courier New"/>
          <w:sz w:val="15"/>
          <w:szCs w:val="15"/>
          <w:color w:val="auto"/>
        </w:rPr>
        <w:t>Stock Exchange on March 13, 2001.</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1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THE REGISTRATION OR QUALIFICATION UNDER THE SECURITIES LAWS OF ANY SUCH STATE.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SUBJECT TO COMPLETION, DATED MARCH 14,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7,259,224 Shares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Ordinary Shares</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prospectus relates to the offer and sale of up to 7,259,224 ordinary shares, L0.01 par value,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178"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March 13, 2001 was $61.85 per share.</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NEITHER THE SECURITIES AND EXCHANGE COMMISSION NOR ANY OTHER REGULATORY</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BODY HAS APPROVED OR DISAPPROVED OF THESE SECURITIES OR PASSED UPON THE ACCURACY OR ADEQUACY OF THIS PROSPECTUS. ANY REPRESENTATION TO THE CONTRARY IS A CRIMINAL OFFENSE.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2001.</w:t>
      </w:r>
    </w:p>
    <w:p>
      <w:pPr>
        <w:sectPr>
          <w:pgSz w:w="11900" w:h="16838" w:orient="portrait"/>
          <w:cols w:equalWidth="0" w:num="2">
            <w:col w:w="3660" w:space="720"/>
            <w:col w:w="585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73" w:lineRule="exact"/>
        <w:rPr>
          <w:sz w:val="20"/>
          <w:szCs w:val="20"/>
          <w:color w:val="auto"/>
        </w:rPr>
      </w:pPr>
    </w:p>
    <w:p>
      <w:pPr>
        <w:ind w:left="620" w:right="3239" w:hanging="173"/>
        <w:spacing w:after="0" w:line="23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3" w:lineRule="exact"/>
        <w:rPr>
          <w:rFonts w:ascii="Courier New" w:cs="Courier New" w:eastAsia="Courier New" w:hAnsi="Courier New"/>
          <w:sz w:val="15"/>
          <w:szCs w:val="15"/>
          <w:color w:val="auto"/>
        </w:rPr>
      </w:pPr>
    </w:p>
    <w:p>
      <w:pPr>
        <w:jc w:val="both"/>
        <w:ind w:left="620" w:right="3399" w:hanging="173"/>
        <w:spacing w:after="0" w:line="235"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 Reports and other information concerning Amdocs can also be inspected at the offices of the New York Stock Exchange, 20 Broad Street, New York, New York 10005.</w:t>
      </w:r>
    </w:p>
    <w:p>
      <w:pPr>
        <w:spacing w:after="0" w:line="166"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Amdocs, Inc.</w:t>
      </w:r>
    </w:p>
    <w:p>
      <w:pPr>
        <w:ind w:left="2980"/>
        <w:spacing w:after="0" w:line="237" w:lineRule="auto"/>
        <w:rPr>
          <w:sz w:val="20"/>
          <w:szCs w:val="20"/>
          <w:color w:val="auto"/>
        </w:rPr>
      </w:pPr>
      <w:r>
        <w:rPr>
          <w:rFonts w:ascii="Courier New" w:cs="Courier New" w:eastAsia="Courier New" w:hAnsi="Courier New"/>
          <w:sz w:val="15"/>
          <w:szCs w:val="15"/>
          <w:color w:val="auto"/>
        </w:rPr>
        <w:t>1390 Timberlake Manor Parkway</w:t>
      </w:r>
    </w:p>
    <w:p>
      <w:pPr>
        <w:ind w:left="2980"/>
        <w:spacing w:after="0" w:line="238" w:lineRule="auto"/>
        <w:rPr>
          <w:sz w:val="20"/>
          <w:szCs w:val="20"/>
          <w:color w:val="auto"/>
        </w:rPr>
      </w:pPr>
      <w:r>
        <w:rPr>
          <w:rFonts w:ascii="Courier New" w:cs="Courier New" w:eastAsia="Courier New" w:hAnsi="Courier New"/>
          <w:sz w:val="15"/>
          <w:szCs w:val="15"/>
          <w:color w:val="auto"/>
        </w:rPr>
        <w:t>Chesterfield, Missouri 63017</w:t>
      </w:r>
    </w:p>
    <w:p>
      <w:pPr>
        <w:ind w:left="2980"/>
        <w:spacing w:after="0" w:line="237" w:lineRule="auto"/>
        <w:rPr>
          <w:sz w:val="20"/>
          <w:szCs w:val="20"/>
          <w:color w:val="auto"/>
        </w:rPr>
      </w:pPr>
      <w:r>
        <w:rPr>
          <w:rFonts w:ascii="Courier New" w:cs="Courier New" w:eastAsia="Courier New" w:hAnsi="Courier New"/>
          <w:sz w:val="15"/>
          <w:szCs w:val="15"/>
          <w:color w:val="auto"/>
        </w:rPr>
        <w:t>Telephone: (314) 212-8328</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5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6" w:lineRule="exact"/>
        <w:rPr>
          <w:sz w:val="20"/>
          <w:szCs w:val="20"/>
          <w:color w:val="auto"/>
        </w:rPr>
      </w:pPr>
    </w:p>
    <w:p>
      <w:pPr>
        <w:ind w:left="620" w:right="3579" w:hanging="173"/>
        <w:spacing w:after="0" w:line="234"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2000, filed on January 4, 2001.</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6-K for the quarterly period ended December 31, 2000, filed on February 1, 2001.</w:t>
      </w:r>
    </w:p>
    <w:p>
      <w:pPr>
        <w:spacing w:after="0" w:line="173" w:lineRule="exact"/>
        <w:rPr>
          <w:rFonts w:ascii="Courier New" w:cs="Courier New" w:eastAsia="Courier New" w:hAnsi="Courier New"/>
          <w:sz w:val="15"/>
          <w:szCs w:val="15"/>
          <w:color w:val="auto"/>
        </w:rPr>
      </w:pPr>
    </w:p>
    <w:p>
      <w:pPr>
        <w:ind w:left="620" w:right="3679" w:hanging="173"/>
        <w:spacing w:after="0" w:line="235"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Securities Exchange Act of 1934, including any amendment or report updating this description.</w:t>
      </w:r>
    </w:p>
    <w:p>
      <w:pPr>
        <w:spacing w:after="0" w:line="17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of foreign private issuer on Form 6-K filed on December 13, 1999, April 11, 2000 (as amended by Form 6-K/A filed on June 8, 2000) and December 29, 2000.</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Exchange Act, subsequent to the date of this prospectus and prior to the termination of the offering. These include:</w:t>
      </w:r>
    </w:p>
    <w:p>
      <w:pPr>
        <w:spacing w:after="0" w:line="175" w:lineRule="exact"/>
        <w:rPr>
          <w:sz w:val="20"/>
          <w:szCs w:val="20"/>
          <w:color w:val="auto"/>
        </w:rPr>
      </w:pPr>
    </w:p>
    <w:p>
      <w:pPr>
        <w:ind w:left="620" w:right="3239" w:hanging="173"/>
        <w:spacing w:after="0" w:line="235"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prospectus is part of a Registration Statement we filed with the SEC</w:t>
      </w:r>
    </w:p>
    <w:p>
      <w:pPr>
        <w:spacing w:after="0" w:line="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(File No. 333- ). We will provide without charge to each person to whom a prospectus is delivered, on written or oral request, a copy of any of the documents above other than exhibits to those documents. Requests should be addressed to: Mr. Thomas G. O'Brien, Amdocs Inc., 1390 Timberlake Manor Parkway, Chesterfield, Missouri 63017 (telephone: (314) 212-8328).</w:t>
      </w: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February 28, 2001.</w:t>
      </w:r>
    </w:p>
    <w:p>
      <w:pPr>
        <w:spacing w:after="0" w:line="1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AMDOCS</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We are a leading provider of software products and services to major communications companies in North America, Europe and the rest of the world.</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Business Support Systems, or BSS, products consist of families of customized software products and services designed to meet the critical business needs of specific communications market sectors. We provide primarily Customer Care, Billing and Order Management Systems, or CC&amp;B Systems, for communications and Internet Protocol, or IP, service providers. Our systems support a wide range of communications services including wireline, wireless, broadband, electronic and mobile commerce and Internet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64"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Verizon, BellSouth, SBC, Bell Canada, Tele Danmark and Deutsche Telekom), wireless companies (such as Sprint PCS, Pacific Wireless, Vodafone Group, Mannesmann Mobilfunk and Telstra) and Internet companies (such as BT, E-Plus and Freeserve).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and preparation, bill formatting, collections, fraud management and directory publishing services. We tailor our BSS products to address the unique needs of each communications provider.</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As of December 31, 2000, we employed on a full-time basis approximately 7,700 software and information technology specialists, engaged in research, development, maintenance and support activities, and approximately 1,100 managers and administrative professionals. We employ approximately 4,200 and 1,900 software and information technology specialists in Israel and North America, respectively, with the remaining principally located in Europe and the Asia-Pacific region. We often maintain teams of employees at a customer's premises to work on specific projects.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 Exchangeable Shares, each exchangeable for one of our ordinary shares, and we granted options to acquire 1.7 million of our ordinary shares. The total purchase price of approximately $1.1 billion, based on a per share price of $69.875 for our ordinary shares at the time of the transaction, included both the issuance of and grant of options for ordinary shares, as well as transaction costs.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on page 5 for more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portion of our revenue is derived from products and services provided to directory publishers. We believe that the demand for those products and services will be reduced as a result of the increased competition between directory publishers and other media channels, as well as a broader introduction of electronic directories. Our new products for these markets may not be successful and we believe our current levels of revenue from the sales of products and services to directory publishers are not likely to grow but will remain relatively stable.</w:t>
      </w:r>
    </w:p>
    <w:p>
      <w:pPr>
        <w:spacing w:after="0" w:line="177" w:lineRule="exact"/>
        <w:rPr>
          <w:sz w:val="20"/>
          <w:szCs w:val="20"/>
          <w:color w:val="auto"/>
        </w:rPr>
      </w:pPr>
    </w:p>
    <w:p>
      <w:pPr>
        <w:ind w:left="180" w:right="3939"/>
        <w:spacing w:after="0" w:line="234"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factors, including:</w:t>
      </w:r>
    </w:p>
    <w:p>
      <w:pPr>
        <w:spacing w:after="0" w:line="173" w:lineRule="exact"/>
        <w:rPr>
          <w:sz w:val="20"/>
          <w:szCs w:val="20"/>
          <w:color w:val="auto"/>
        </w:rPr>
      </w:pPr>
    </w:p>
    <w:p>
      <w:pPr>
        <w:ind w:left="700" w:right="3759" w:hanging="253"/>
        <w:spacing w:after="0" w:line="234"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2" w:lineRule="exact"/>
        <w:rPr>
          <w:rFonts w:ascii="Courier New" w:cs="Courier New" w:eastAsia="Courier New" w:hAnsi="Courier New"/>
          <w:sz w:val="15"/>
          <w:szCs w:val="15"/>
          <w:color w:val="auto"/>
        </w:rPr>
      </w:pPr>
    </w:p>
    <w:p>
      <w:pPr>
        <w:ind w:left="700" w:right="4019" w:hanging="253"/>
        <w:spacing w:after="0" w:line="234"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in state-of-the-art computing environments. Our present or future products may not satisfy the evolving needs of the communications market. If we are unable to anticipate or respond adequately to those demands, due to resource, technological or other constraints, our business and results of operations could be materially adversely affected.</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November 30, 1999, in a stock-for-stock transaction, we completed our acquisition of International Telecommunication Data Systems, Inc., or ITDS, a leading provider of billing and customer care service bureau solutions to wireless communications service providers. On April 5, 2000, in a stock-for-stock transaction, we completed our acquisition of Solect Technology Group Inc., a leading provider of IP billing and customer care software to Internet service providers, including wireless companies and Application Service Providers, or ASPs.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that the ITDS or Solect acquisitions will enhance our products or strengthen our competitive position or that we will be able to successfully and efficiently integrate these businesses into our own.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OUR BUSINESS IS HIGHLY DEPENDENT ON A LIMITED NUMBER OF SIGNIFICANT CUSTOMERS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Aggregate revenue derived from the multiple business arrangements we have with each of our five largest customer groups and their affiliates, excluding SBC and its operating subsidiaries (see below), accounted for approximately 39.9% of revenue in the three months ended December 31, 2000 and 39.7%, 33.4% and 39.0% of revenue in fiscal 2000, 1999 and 1998, respectively. After giving effect to the acquisition of Mannesmann Mobilfunk by Vodafone Group in 2000, the combined company would have been one of our largest customers and would have accounted for more than 10% of our revenue in each of fiscal 2000 and 1999.</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installed systems. Therefore, our customers may not continue to purchase new systems, system enhancements and services in amounts similar to previous years.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WE DEPEND ON SBC COMMUNICATIONS INC. FOR A SIGNIFICANT PORTION OF OUR REVENUE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One of our largest groups of customers is SBC Communications Inc., or SBC, and its operating subsidiaries. SBC International Inc., or SBCI, a wholly-owned subsidiary of SBC, is also one of our largest shareholders. As of February 28, 2001, SBCI and its subsidiary SBC Option Delivery LLC together held approximately 9.9% of our outstanding voting ordinary shares and all of our outstanding non-voting ordinary shares. SBCI also has the power to vote an additional 10,000,000 voting ordinary shares pursuant to an irrevocable proxy that it received on December 19, 2000. A significant decrease in the sale of products and services to SBC or its subsidiaries may materially adversely affect our results of operations and financial condition.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13.5% of revenue in the three months ended December 31, 2000 and 12.6%, 15.9% and 20.8% of our total revenue in fiscal 2000, 1999 and 1998, respectively. The amount of revenue attributable to SBC and such subsidiaries amounted to $46.3 million in the three months ended December 31, 2000 and $141.0 million, $99.5 million and $84.4 million in fiscal 2000, 1999 and 1998, respectively.</w:t>
      </w:r>
    </w:p>
    <w:p>
      <w:pPr>
        <w:spacing w:after="0" w:line="179"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with the financial and other resources required to invest in significant ongoing BSS products.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As of December 31, 2000, we employed on a full-time basis approximately 7,700 software and information technology specialists, of which over 4,200 are located in Israel and over 1,900 are located in North America.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5" w:lineRule="exact"/>
        <w:rPr>
          <w:sz w:val="20"/>
          <w:szCs w:val="20"/>
          <w:color w:val="auto"/>
        </w:rPr>
      </w:pPr>
    </w:p>
    <w:p>
      <w:pPr>
        <w:ind w:left="700" w:hanging="253"/>
        <w:spacing w:after="0"/>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71" w:lineRule="exact"/>
        <w:rPr>
          <w:rFonts w:ascii="Courier New" w:cs="Courier New" w:eastAsia="Courier New" w:hAnsi="Courier New"/>
          <w:sz w:val="14"/>
          <w:szCs w:val="14"/>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OUR LENGTHY SALES CYCLE MAKES IT DIFFICULT TO ANTICIPATE THE TIMING OF SALES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67" w:lineRule="exact"/>
        <w:rPr>
          <w:sz w:val="20"/>
          <w:szCs w:val="20"/>
          <w:color w:val="auto"/>
        </w:rPr>
      </w:pPr>
    </w:p>
    <w:p>
      <w:pPr>
        <w:ind w:left="700" w:hanging="253"/>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2"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ind w:left="3500"/>
        <w:spacing w:after="0" w:line="237" w:lineRule="auto"/>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700" w:hanging="253"/>
        <w:spacing w:after="0"/>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2"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71" w:lineRule="exact"/>
        <w:rPr>
          <w:rFonts w:ascii="Courier New" w:cs="Courier New" w:eastAsia="Courier New" w:hAnsi="Courier New"/>
          <w:sz w:val="14"/>
          <w:szCs w:val="14"/>
          <w:color w:val="auto"/>
        </w:rPr>
      </w:pPr>
    </w:p>
    <w:p>
      <w:pPr>
        <w:ind w:left="700" w:hanging="253"/>
        <w:spacing w:after="0"/>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2" w:lineRule="exact"/>
        <w:rPr>
          <w:rFonts w:ascii="Courier New" w:cs="Courier New" w:eastAsia="Courier New" w:hAnsi="Courier New"/>
          <w:sz w:val="15"/>
          <w:szCs w:val="15"/>
          <w:color w:val="auto"/>
        </w:rPr>
      </w:pPr>
    </w:p>
    <w:p>
      <w:pPr>
        <w:ind w:left="700" w:right="3839" w:hanging="253"/>
        <w:spacing w:after="0" w:line="234"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We maintain development facilities in Israel, the United States, Cyprus, Ireland and Canada, operate a support center in Brazil and have operations in North America, Europe, Latin America and the Asia-Pacific region. Although a majority of our revenue in fiscal 2000 was derived from customers in North America and Europe, we obtain significant revenue from customers in the Asia-Pacific region and Latin America. Our strategy is to continue to broaden our customer base in all of these regional customer markets.</w:t>
      </w:r>
    </w:p>
    <w:p>
      <w:pPr>
        <w:spacing w:after="0" w:line="166"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180" w:right="3319"/>
        <w:spacing w:after="0" w:line="234"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180" w:right="3399"/>
        <w:spacing w:after="0" w:line="234"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67" w:lineRule="exact"/>
        <w:rPr>
          <w:sz w:val="20"/>
          <w:szCs w:val="20"/>
          <w:color w:val="auto"/>
        </w:rPr>
      </w:pPr>
    </w:p>
    <w:p>
      <w:pPr>
        <w:ind w:left="620" w:hanging="173"/>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Since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w:t>
      </w:r>
    </w:p>
    <w:p>
      <w:pPr>
        <w:ind w:left="3500"/>
        <w:spacing w:after="0" w:line="236" w:lineRule="auto"/>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75" w:lineRule="exact"/>
        <w:rPr>
          <w:sz w:val="20"/>
          <w:szCs w:val="20"/>
          <w:color w:val="auto"/>
        </w:rPr>
      </w:pPr>
    </w:p>
    <w:p>
      <w:pPr>
        <w:ind w:left="180" w:right="3399"/>
        <w:spacing w:after="0" w:line="234" w:lineRule="auto"/>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Out of the five development centers we maintain worldwide, our largest development center is located in Israel, which is also where we employ over half of our employees. As a result, we are directly influenced by the political, economic and military conditions affecting Israel and any major hostilities involving Israel could have a material adverse effect on our business. We have developed contingency plans to move some development operations within Israel to various sites both within and outside of Israel in the event political or military conditions disrupt our normal operations.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While Israel has entered into peace agreements with both Egypt and Jordan and several other countries have announced their intentions to establish trade and other relations with Israel, Israel has not entered into any peace arrangement with Syria or Lebanon. Moreover, while Israel is in the process of conducting peace negotiations with the Palestinian community, recently there has been a significant deterioration in Israel's relationship with the Palestinian community. Efforts to resolve the problem have failed to result in an agreeable solution. Continued hostilities between the Palestinian community and Israel and any failure to settle the conflict may have a material adverse effect on us and our business. Further deterioration of hostilities into a full scale conflict might require more widespread military reserve service by some of our employees which may have a material adverse effect on our business.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agreeable solution, although the parties did recently agree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3" w:lineRule="exact"/>
        <w:rPr>
          <w:sz w:val="20"/>
          <w:szCs w:val="20"/>
          <w:color w:val="auto"/>
        </w:rPr>
      </w:pPr>
    </w:p>
    <w:p>
      <w:pPr>
        <w:ind w:left="180" w:right="3679"/>
        <w:spacing w:after="0" w:line="234"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March 13, 2001 the closing price of our ordinary shares ranged from a high of $96.00 per share to a low of $8.38 per share. Many factors could cause the market price of our ordinary shares to rise and fall. Some of these factors are:</w:t>
      </w:r>
    </w:p>
    <w:p>
      <w:pPr>
        <w:spacing w:after="0" w:line="168" w:lineRule="exact"/>
        <w:rPr>
          <w:sz w:val="20"/>
          <w:szCs w:val="20"/>
          <w:color w:val="auto"/>
        </w:rPr>
      </w:pPr>
    </w:p>
    <w:p>
      <w:pPr>
        <w:ind w:left="620" w:hanging="173"/>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2"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industry;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2"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180" w:right="3499"/>
        <w:spacing w:after="0" w:line="234" w:lineRule="auto"/>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Sales of substantial amounts of ordinary shares in the public market, or the perception that such sales could occur, could adversely affect prevailing market prices for the ordinary shares. As of February 28, 2001, we had 222,068,645 ordinary shares issued and outstanding, a substantial portion of which are either freely tradeable on the NYSE or currently eligible for sale pursuant to Rule 144, under the Securities Act of 1933, or the Securities Act (subject to compliance with the volume and manner of sale limitation of Rule</w:t>
      </w:r>
    </w:p>
    <w:p>
      <w:pPr>
        <w:spacing w:after="0" w:line="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144), or pursuant to another exemption from the registration requirements of the Securities Act.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and we expect to register an additional 19,000,000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65" w:lineRule="exact"/>
        <w:rPr>
          <w:sz w:val="20"/>
          <w:szCs w:val="20"/>
          <w:color w:val="auto"/>
        </w:rPr>
      </w:pPr>
    </w:p>
    <w:p>
      <w:pPr>
        <w:ind w:left="180" w:right="4199"/>
        <w:spacing w:after="0" w:line="234"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3" w:lineRule="exact"/>
        <w:rPr>
          <w:sz w:val="20"/>
          <w:szCs w:val="20"/>
          <w:color w:val="auto"/>
        </w:rPr>
      </w:pPr>
    </w:p>
    <w:p>
      <w:pPr>
        <w:jc w:val="both"/>
        <w:ind w:right="3939" w:firstLine="437"/>
        <w:spacing w:after="0" w:line="258" w:lineRule="auto"/>
        <w:rPr>
          <w:sz w:val="20"/>
          <w:szCs w:val="20"/>
          <w:color w:val="auto"/>
        </w:rPr>
      </w:pPr>
      <w:r>
        <w:rPr>
          <w:rFonts w:ascii="Courier New" w:cs="Courier New" w:eastAsia="Courier New" w:hAnsi="Courier New"/>
          <w:sz w:val="14"/>
          <w:szCs w:val="14"/>
          <w:color w:val="auto"/>
        </w:rPr>
        <w:t>We do not anticipate paying dividends on our ordinary shares in the foreseeable future. In addition, the terms of bank debt incurred by our subsidiaries effectively prevent us from paying cash dividends.</w:t>
      </w:r>
    </w:p>
    <w:p>
      <w:pPr>
        <w:spacing w:after="0" w:line="161" w:lineRule="exact"/>
        <w:rPr>
          <w:sz w:val="20"/>
          <w:szCs w:val="20"/>
          <w:color w:val="auto"/>
        </w:rPr>
      </w:pPr>
    </w:p>
    <w:p>
      <w:pPr>
        <w:ind w:left="180" w:right="3499"/>
        <w:spacing w:after="0" w:line="234" w:lineRule="auto"/>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7,259,224 of our ordinary shares are being offered in this offering by some of our shareholders, including 3,127,493 shares that were registered under previous registration statements. The offer will be open until the earlier of</w:t>
      </w:r>
    </w:p>
    <w:p>
      <w:pPr>
        <w:spacing w:after="0" w:line="1" w:lineRule="exact"/>
        <w:rPr>
          <w:sz w:val="20"/>
          <w:szCs w:val="20"/>
          <w:color w:val="auto"/>
        </w:rPr>
      </w:pPr>
    </w:p>
    <w:p>
      <w:pPr>
        <w:ind w:right="3239" w:firstLine="1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April 5, 2002, (2) the date on which all of the shares being offered have been sold, and (3) the date on which all of the shares being offered can be sold without registration without regard to the volume restrictions of Rule 144 under the Securities Act of 1933.</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ind w:left="3500"/>
        <w:spacing w:after="0" w:line="237" w:lineRule="auto"/>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unaudited consolidated capitalization of Amdocs as of December 31, 2000.</w:t>
      </w:r>
    </w:p>
    <w:p>
      <w:pPr>
        <w:spacing w:after="0" w:line="200" w:lineRule="exact"/>
        <w:rPr>
          <w:sz w:val="20"/>
          <w:szCs w:val="20"/>
          <w:color w:val="auto"/>
        </w:rPr>
      </w:pPr>
    </w:p>
    <w:p>
      <w:pPr>
        <w:spacing w:after="0" w:line="303"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DECEMBER 31, 2000</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ind w:left="5520"/>
        <w:spacing w:after="0" w:line="238" w:lineRule="auto"/>
        <w:rPr>
          <w:sz w:val="20"/>
          <w:szCs w:val="20"/>
          <w:color w:val="auto"/>
        </w:rPr>
      </w:pPr>
      <w:r>
        <w:rPr>
          <w:rFonts w:ascii="Courier New" w:cs="Courier New" w:eastAsia="Courier New" w:hAnsi="Courier New"/>
          <w:sz w:val="15"/>
          <w:szCs w:val="15"/>
          <w:color w:val="auto"/>
        </w:rPr>
        <w:t>(IN THOUSANDS,</w:t>
      </w:r>
    </w:p>
    <w:p>
      <w:pPr>
        <w:ind w:left="5600"/>
        <w:spacing w:after="0" w:line="237" w:lineRule="auto"/>
        <w:rPr>
          <w:sz w:val="20"/>
          <w:szCs w:val="20"/>
          <w:color w:val="auto"/>
        </w:rPr>
      </w:pPr>
      <w:r>
        <w:rPr>
          <w:rFonts w:ascii="Courier New" w:cs="Courier New" w:eastAsia="Courier New" w:hAnsi="Courier New"/>
          <w:sz w:val="15"/>
          <w:szCs w:val="15"/>
          <w:color w:val="auto"/>
        </w:rPr>
        <w:t>EXCEPT SHARE</w:t>
      </w:r>
    </w:p>
    <w:p>
      <w:pPr>
        <w:ind w:left="5960"/>
        <w:spacing w:after="0" w:line="238" w:lineRule="auto"/>
        <w:rPr>
          <w:sz w:val="20"/>
          <w:szCs w:val="20"/>
          <w:color w:val="auto"/>
        </w:rPr>
      </w:pPr>
      <w:r>
        <w:rPr>
          <w:rFonts w:ascii="Courier New" w:cs="Courier New" w:eastAsia="Courier New" w:hAnsi="Courier New"/>
          <w:sz w:val="15"/>
          <w:szCs w:val="15"/>
          <w:color w:val="auto"/>
        </w:rPr>
        <w:t>DATA)</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portion of capital lease obligations................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lease obligations, less current portion.............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capital lease obligations........................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9,355</w:t>
      </w:r>
    </w:p>
    <w:p>
      <w:pPr>
        <w:spacing w:after="0" w:line="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both"/>
        <w:spacing w:after="0"/>
        <w:tabs>
          <w:tab w:leader="none" w:pos="320" w:val="left"/>
        </w:tabs>
        <w:rPr>
          <w:sz w:val="20"/>
          <w:szCs w:val="20"/>
          <w:color w:val="auto"/>
        </w:rPr>
      </w:pPr>
      <w:r>
        <w:rPr>
          <w:rFonts w:ascii="Courier New" w:cs="Courier New" w:eastAsia="Courier New" w:hAnsi="Courier New"/>
          <w:sz w:val="15"/>
          <w:szCs w:val="15"/>
          <w:color w:val="auto"/>
        </w:rPr>
        <w:t>$</w:t>
        <w:tab/>
        <w:t>25,941</w:t>
      </w:r>
    </w:p>
    <w:p>
      <w:pPr>
        <w:spacing w:after="0" w:line="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35,296</w:t>
      </w:r>
    </w:p>
    <w:p>
      <w:pPr>
        <w:spacing w:after="0" w:line="1" w:lineRule="exact"/>
        <w:rPr>
          <w:sz w:val="20"/>
          <w:szCs w:val="20"/>
          <w:color w:val="auto"/>
        </w:rPr>
      </w:pPr>
    </w:p>
    <w:p>
      <w:pPr>
        <w:sectPr>
          <w:pgSz w:w="11900" w:h="16838" w:orient="portrait"/>
          <w:cols w:equalWidth="0" w:num="2">
            <w:col w:w="5260" w:space="440"/>
            <w:col w:w="4539"/>
          </w:cols>
          <w:pgMar w:left="220" w:top="281"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Shareholders' equity: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 par value L0.01 per share; 25,000,000</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shares authorized; no shares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2">
            <w:col w:w="5680" w:space="720"/>
            <w:col w:w="3839"/>
          </w:cols>
          <w:pgMar w:left="220" w:top="28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Ordinary Shares, par value L0.01 per share; 550,000,000</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shares authorized; 221,318,000 shares issued and</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outstanding on an actual basis(1)(2)..................</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 paid-in capital.............................</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Accumulated other comprehensive income.................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Unearned compensation..................................</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Accumulated deficit....................................</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 shareholders' equity........................</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ind w:left="440"/>
        <w:spacing w:after="0" w:line="237" w:lineRule="auto"/>
        <w:rPr>
          <w:sz w:val="20"/>
          <w:szCs w:val="20"/>
          <w:color w:val="auto"/>
        </w:rPr>
      </w:pPr>
      <w:r>
        <w:rPr>
          <w:rFonts w:ascii="Courier New" w:cs="Courier New" w:eastAsia="Courier New" w:hAnsi="Courier New"/>
          <w:sz w:val="15"/>
          <w:szCs w:val="15"/>
          <w:color w:val="auto"/>
        </w:rPr>
        <w:t>3,542</w:t>
      </w:r>
    </w:p>
    <w:p>
      <w:pPr>
        <w:ind w:left="80"/>
        <w:spacing w:after="0" w:line="238" w:lineRule="auto"/>
        <w:rPr>
          <w:sz w:val="20"/>
          <w:szCs w:val="20"/>
          <w:color w:val="auto"/>
        </w:rPr>
      </w:pPr>
      <w:r>
        <w:rPr>
          <w:rFonts w:ascii="Courier New" w:cs="Courier New" w:eastAsia="Courier New" w:hAnsi="Courier New"/>
          <w:sz w:val="15"/>
          <w:szCs w:val="15"/>
          <w:color w:val="auto"/>
        </w:rPr>
        <w:t>1,786,492</w:t>
      </w:r>
    </w:p>
    <w:p>
      <w:pPr>
        <w:ind w:left="440"/>
        <w:spacing w:after="0" w:line="237" w:lineRule="auto"/>
        <w:rPr>
          <w:sz w:val="20"/>
          <w:szCs w:val="20"/>
          <w:color w:val="auto"/>
        </w:rPr>
      </w:pPr>
      <w:r>
        <w:rPr>
          <w:rFonts w:ascii="Courier New" w:cs="Courier New" w:eastAsia="Courier New" w:hAnsi="Courier New"/>
          <w:sz w:val="15"/>
          <w:szCs w:val="15"/>
          <w:color w:val="auto"/>
        </w:rPr>
        <w:t>1,360</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(740)</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(345,002)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80"/>
        <w:spacing w:after="0" w:line="237" w:lineRule="auto"/>
        <w:rPr>
          <w:sz w:val="20"/>
          <w:szCs w:val="20"/>
          <w:color w:val="auto"/>
        </w:rPr>
      </w:pPr>
      <w:r>
        <w:rPr>
          <w:rFonts w:ascii="Courier New" w:cs="Courier New" w:eastAsia="Courier New" w:hAnsi="Courier New"/>
          <w:sz w:val="15"/>
          <w:szCs w:val="15"/>
          <w:color w:val="auto"/>
        </w:rPr>
        <w:t>1,445,652</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$1,480,948</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260" w:space="440"/>
            <w:col w:w="453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99" w:hanging="350"/>
        <w:spacing w:after="0" w:line="234"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11,017,164 Ordinary Shares reserved for issuance upon the exercise of stock options that have been granted to employees.</w:t>
      </w:r>
    </w:p>
    <w:p>
      <w:pPr>
        <w:spacing w:after="0" w:line="173" w:lineRule="exact"/>
        <w:rPr>
          <w:rFonts w:ascii="Courier New" w:cs="Courier New" w:eastAsia="Courier New" w:hAnsi="Courier New"/>
          <w:sz w:val="15"/>
          <w:szCs w:val="15"/>
          <w:color w:val="auto"/>
        </w:rPr>
      </w:pPr>
    </w:p>
    <w:p>
      <w:pPr>
        <w:ind w:left="360" w:right="3499" w:hanging="350"/>
        <w:spacing w:after="0" w:line="261"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Non-Voting Ordinary Shares comprise 50,000,000 of the authorized Ordinary Shares and 22,606,189 of the issued and outstanding Ordinary Shares.</w:t>
      </w:r>
    </w:p>
    <w:p>
      <w:pPr>
        <w:spacing w:after="0" w:line="1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OFFER AND LISTING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ordinary shares have been listed on the NYSE since June 19, 1998, under the symbol "DOX". The annual high and low reported sale prices for the ordinary shares were $96.00 and $19.81, respectively, for fiscal 2000 and were $30.25 and $8.75, respectively, for fiscal 1999. Through March 13, 2001, the high and low reported sale prices for the ordinary shares were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4"/>
              </w:rPr>
              <w:t>HIGH</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53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Fiscal Year ending September 30, 1999:</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First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$17.50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Second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$26.38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$29.69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Fourth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$30.25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ending September 30, 2000:</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First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$37.94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Second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$96.00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$88.75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Fourth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$88.75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ending September 30, 2001:</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First Quarter.............................................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$73.50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Most recent six months: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September, 2000...........................................</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$72.75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October, 2000.............................................</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$67.38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November, 2000............................................</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$73.50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2000............................................</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$69.75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January, 2001.............................................</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February, 2001............................................</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$79.32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March, 2001 (through March 13, 2001)......................</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$69.35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THE ISSUE</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$ 63,009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Legal fees and expenses.....................................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$ 25,000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Registrar and Transfer Agent fees and expenses..............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Accounting fees and expenses................................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$ 20,000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Printing, EDGAR formatting and mailing expenses.............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Miscellaneous...............................................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5,391</w:t>
            </w:r>
          </w:p>
        </w:tc>
      </w:tr>
      <w:tr>
        <w:trPr>
          <w:trHeight w:val="168"/>
        </w:trPr>
        <w:tc>
          <w:tcPr>
            <w:tcW w:w="54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r>
      <w:tr>
        <w:trPr>
          <w:trHeight w:val="168"/>
        </w:trPr>
        <w:tc>
          <w:tcPr>
            <w:tcW w:w="54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1999.</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75" w:lineRule="exact"/>
        <w:rPr>
          <w:sz w:val="20"/>
          <w:szCs w:val="20"/>
          <w:color w:val="auto"/>
        </w:rPr>
      </w:pPr>
    </w:p>
    <w:p>
      <w:pPr>
        <w:ind w:left="620" w:right="323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2000;</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of ITDS as of and for the two month period ended November 30, 1999; and</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of Solect as of and for the six month period ended January 31, 2000.</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unaudited pro forma condensed combined statements of operations do not include the realization of cost savings from operating efficiencies, synergies or other restructurings resulting from the acquisitions.</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following unaudited pro forma condensed combined statements of operations and notes thereto contain forward-looking statements that involve risks and uncertainties.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tbl>
      <w:tblPr>
        <w:tblLayout w:type="fixed"/>
        <w:tblInd w:w="0" w:type="dxa"/>
        <w:tblCellMar>
          <w:top w:w="0" w:type="dxa"/>
          <w:left w:w="0" w:type="dxa"/>
          <w:bottom w:w="0" w:type="dxa"/>
          <w:right w:w="0" w:type="dxa"/>
        </w:tblCellMar>
      </w:tblPr>
      <w:tr>
        <w:trPr>
          <w:trHeight w:val="168"/>
        </w:trPr>
        <w:tc>
          <w:tcPr>
            <w:tcW w:w="5820" w:type="dxa"/>
            <w:vAlign w:val="bottom"/>
            <w:gridSpan w:val="5"/>
          </w:tcPr>
          <w:p>
            <w:pPr>
              <w:ind w:left="1500"/>
              <w:spacing w:after="0" w:line="168" w:lineRule="exact"/>
              <w:rPr>
                <w:sz w:val="20"/>
                <w:szCs w:val="20"/>
                <w:color w:val="auto"/>
              </w:rPr>
            </w:pPr>
            <w:r>
              <w:rPr>
                <w:rFonts w:ascii="Courier New" w:cs="Courier New" w:eastAsia="Courier New" w:hAnsi="Courier New"/>
                <w:sz w:val="15"/>
                <w:szCs w:val="15"/>
                <w:color w:val="auto"/>
              </w:rPr>
              <w:t>FOR THE TWELVE MONTHS ENDED SEPTEMBER 30, 2000</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ITDS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2"/>
              </w:rPr>
              <w:t>SOLECT</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AMDOCS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ITDS</w:t>
            </w:r>
          </w:p>
        </w:tc>
        <w:tc>
          <w:tcPr>
            <w:tcW w:w="17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SOLECT</w:t>
            </w:r>
          </w:p>
        </w:tc>
        <w:tc>
          <w:tcPr>
            <w:tcW w:w="15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160" w:type="dxa"/>
            <w:vAlign w:val="bottom"/>
          </w:tcPr>
          <w:p>
            <w:pPr>
              <w:spacing w:after="0"/>
              <w:rPr>
                <w:sz w:val="14"/>
                <w:szCs w:val="14"/>
                <w:color w:val="auto"/>
              </w:rPr>
            </w:pP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HISTORICAL</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HISTORICAL</w:t>
            </w:r>
          </w:p>
        </w:tc>
        <w:tc>
          <w:tcPr>
            <w:tcW w:w="172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20" w:type="dxa"/>
            <w:vAlign w:val="bottom"/>
            <w:gridSpan w:val="5"/>
          </w:tcPr>
          <w:p>
            <w:pPr>
              <w:jc w:val="right"/>
              <w:ind w:right="1107"/>
              <w:spacing w:after="0" w:line="168" w:lineRule="exact"/>
              <w:rPr>
                <w:sz w:val="20"/>
                <w:szCs w:val="20"/>
                <w:color w:val="auto"/>
              </w:rPr>
            </w:pPr>
            <w:r>
              <w:rPr>
                <w:rFonts w:ascii="Courier New" w:cs="Courier New" w:eastAsia="Courier New" w:hAnsi="Courier New"/>
                <w:sz w:val="15"/>
                <w:szCs w:val="15"/>
                <w:color w:val="auto"/>
                <w:w w:val="96"/>
              </w:rPr>
              <w:t>(IN THOUSANDS, EXCEPT PER SHARE DATA)</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60" w:type="dxa"/>
            <w:vAlign w:val="bottom"/>
            <w:gridSpan w:val="6"/>
          </w:tcPr>
          <w:p>
            <w:pPr>
              <w:jc w:val="right"/>
              <w:ind w:right="847"/>
              <w:spacing w:after="0" w:line="168" w:lineRule="exact"/>
              <w:rPr>
                <w:sz w:val="20"/>
                <w:szCs w:val="20"/>
                <w:color w:val="auto"/>
              </w:rPr>
            </w:pPr>
            <w:r>
              <w:rPr>
                <w:rFonts w:ascii="Courier New" w:cs="Courier New" w:eastAsia="Courier New" w:hAnsi="Courier New"/>
                <w:sz w:val="15"/>
                <w:szCs w:val="15"/>
                <w:color w:val="auto"/>
              </w:rPr>
              <w:t>(IN U.S. DOLLARS, UNLESS OTHERWISE STATED)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5"/>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$1,118,320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$23,289</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$11,174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$1,152,783</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Cost of revenue....................</w:t>
            </w:r>
          </w:p>
        </w:tc>
        <w:tc>
          <w:tcPr>
            <w:tcW w:w="1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645,524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11,841</w:t>
            </w:r>
          </w:p>
        </w:tc>
        <w:tc>
          <w:tcPr>
            <w:tcW w:w="480" w:type="dxa"/>
            <w:vAlign w:val="bottom"/>
          </w:tcPr>
          <w:p>
            <w:pPr>
              <w:spacing w:after="0"/>
              <w:rPr>
                <w:sz w:val="24"/>
                <w:szCs w:val="2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(1,120)(A2)</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6,607</w:t>
            </w:r>
          </w:p>
        </w:tc>
        <w:tc>
          <w:tcPr>
            <w:tcW w:w="32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662,852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74,852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5,384</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3,416</w:t>
            </w: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83,652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administrative...................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11,311</w:t>
            </w:r>
          </w:p>
        </w:tc>
        <w:tc>
          <w:tcPr>
            <w:tcW w:w="4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(575)(A1)</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6,308</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(5,825)(A5)</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148,223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purchased intangible assets......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111,199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787(A1)</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4,565(B2)</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411(A2)</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543(B3)</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180(A3)</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98,631(B1)</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22(A3)</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202(B3)</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216,540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 process research and development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other indirect acquisition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related costs....................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75,617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(19,876)(A6)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(55,741)(B5)</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1,044,196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28,536</w:t>
            </w:r>
          </w:p>
        </w:tc>
        <w:tc>
          <w:tcPr>
            <w:tcW w:w="48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9"/>
              </w:rPr>
              <w:t>(25,996)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16,331</w:t>
            </w:r>
          </w:p>
        </w:tc>
        <w:tc>
          <w:tcPr>
            <w:tcW w:w="3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1,111,267</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74,124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(5,247)</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25,996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41,516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(expenses), net.......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10,734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704(B6)</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11,027</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income taxes..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(4,861)</w:t>
            </w:r>
          </w:p>
        </w:tc>
        <w:tc>
          <w:tcPr>
            <w:tcW w:w="480" w:type="dxa"/>
            <w:vAlign w:val="bottom"/>
          </w:tcPr>
          <w:p>
            <w:pPr>
              <w:spacing w:after="0"/>
              <w:rPr>
                <w:sz w:val="14"/>
                <w:szCs w:val="14"/>
                <w:color w:val="auto"/>
              </w:rPr>
            </w:pP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25,996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(5,954)</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(47,496)</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52,543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78,880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1,156</w:t>
            </w:r>
          </w:p>
        </w:tc>
        <w:tc>
          <w:tcPr>
            <w:tcW w:w="4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110(A4)</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(2,124)(B4)</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78,059</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$(6,017)</w:t>
            </w:r>
          </w:p>
        </w:tc>
        <w:tc>
          <w:tcPr>
            <w:tcW w:w="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25,886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$(5,991)</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(45,372)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(25,516)</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Basic earnings (loss) per share....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0.03</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0.03</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 number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outstanding...............</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212,005</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220,003</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outstanding...............</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216,935</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220,003(C)</w:t>
            </w:r>
          </w:p>
        </w:tc>
      </w:tr>
      <w:tr>
        <w:trPr>
          <w:trHeight w:val="168"/>
        </w:trPr>
        <w:tc>
          <w:tcPr>
            <w:tcW w:w="316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ind w:left="2200"/>
        <w:spacing w:after="0" w:line="237" w:lineRule="auto"/>
        <w:rPr>
          <w:sz w:val="20"/>
          <w:szCs w:val="20"/>
          <w:color w:val="auto"/>
        </w:rPr>
      </w:pPr>
      <w:r>
        <w:rPr>
          <w:rFonts w:ascii="Courier New" w:cs="Courier New" w:eastAsia="Courier New" w:hAnsi="Courier New"/>
          <w:sz w:val="15"/>
          <w:szCs w:val="15"/>
          <w:color w:val="auto"/>
        </w:rPr>
        <w:t>for discussion of adjustments.</w:t>
      </w:r>
    </w:p>
    <w:p>
      <w:pPr>
        <w:ind w:left="3500"/>
        <w:spacing w:after="0" w:line="238" w:lineRule="auto"/>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040"/>
          </w:cols>
          <w:pgMar w:left="220" w:top="281" w:right="63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UNAUDITED PRO FORMA CONDENSED</w:t>
      </w:r>
    </w:p>
    <w:p>
      <w:pPr>
        <w:ind w:left="2020"/>
        <w:spacing w:after="0" w:line="237" w:lineRule="auto"/>
        <w:rPr>
          <w:sz w:val="20"/>
          <w:szCs w:val="20"/>
          <w:color w:val="auto"/>
        </w:rPr>
      </w:pPr>
      <w:r>
        <w:rPr>
          <w:rFonts w:ascii="Courier New" w:cs="Courier New" w:eastAsia="Courier New" w:hAnsi="Courier New"/>
          <w:sz w:val="15"/>
          <w:szCs w:val="15"/>
          <w:color w:val="auto"/>
        </w:rPr>
        <w:t>COMBINED STATEMENTS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U.S. DOLLARS,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Amdocs acquired ITDS on November 30, 1999. Accordingly, ITDS' operations are included in the historical results of Amdocs from that date. The amounts presented under the column headed ITDS Historical represent the historical results of ITDS for the two months ended November 30, 1999.</w:t>
      </w:r>
    </w:p>
    <w:p>
      <w:pPr>
        <w:spacing w:after="0" w:line="164" w:lineRule="exact"/>
        <w:rPr>
          <w:sz w:val="20"/>
          <w:szCs w:val="20"/>
          <w:color w:val="auto"/>
        </w:rPr>
      </w:pPr>
    </w:p>
    <w:p>
      <w:pPr>
        <w:jc w:val="both"/>
        <w:ind w:right="331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 for the two months ended November 30,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Amortization expense relating to goodwill of $70,797 over 15</w:t>
            </w: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$ 787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historical amortization expense........................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Additional goodwill amortization, net.......................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$ 212</w:t>
            </w:r>
          </w:p>
        </w:tc>
      </w:tr>
      <w:tr>
        <w:trPr>
          <w:trHeight w:val="168"/>
        </w:trPr>
        <w:tc>
          <w:tcPr>
            <w:tcW w:w="5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47"/>
        <w:spacing w:after="0" w:line="235" w:lineRule="auto"/>
        <w:tabs>
          <w:tab w:leader="none" w:pos="7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amortization of intellectual property and core technology and the amortization of the core technology resulting from the valuation at the time of the acquisition for the two months ended November 30, 1999:</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 technology of $12,342</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over 5 years..............................................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historical amortization expense........................</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(1,120)</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Reduction of amortization expense related to core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technology, net...........................................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(709)</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47"/>
        <w:spacing w:after="0" w:line="234" w:lineRule="auto"/>
        <w:tabs>
          <w:tab w:leader="none" w:pos="7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for the two months ended November 30, 1999, as follows: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relating to workforce-in-place of</w:t>
      </w:r>
    </w:p>
    <w:p>
      <w:pPr>
        <w:ind w:left="180"/>
        <w:spacing w:after="0"/>
        <w:tabs>
          <w:tab w:leader="dot" w:pos="5420" w:val="left"/>
        </w:tabs>
        <w:rPr>
          <w:sz w:val="20"/>
          <w:szCs w:val="20"/>
          <w:color w:val="auto"/>
        </w:rPr>
      </w:pPr>
      <w:r>
        <w:rPr>
          <w:rFonts w:ascii="Courier New" w:cs="Courier New" w:eastAsia="Courier New" w:hAnsi="Courier New"/>
          <w:sz w:val="15"/>
          <w:szCs w:val="15"/>
          <w:color w:val="auto"/>
        </w:rPr>
        <w:t>$5,407 over 5 years</w:t>
      </w:r>
      <w:r>
        <w:rPr>
          <w:sz w:val="20"/>
          <w:szCs w:val="20"/>
          <w:color w:val="auto"/>
        </w:rPr>
        <w:tab/>
      </w:r>
      <w:r>
        <w:rPr>
          <w:rFonts w:ascii="Courier New" w:cs="Courier New" w:eastAsia="Courier New" w:hAnsi="Courier New"/>
          <w:sz w:val="14"/>
          <w:szCs w:val="14"/>
          <w:color w:val="auto"/>
        </w:rPr>
        <w:t>$180</w:t>
      </w:r>
    </w:p>
    <w:p>
      <w:pPr>
        <w:spacing w:after="0" w:line="238" w:lineRule="auto"/>
        <w:rPr>
          <w:sz w:val="20"/>
          <w:szCs w:val="20"/>
          <w:color w:val="auto"/>
        </w:rPr>
      </w:pPr>
      <w:r>
        <w:rPr>
          <w:rFonts w:ascii="Courier New" w:cs="Courier New" w:eastAsia="Courier New" w:hAnsi="Courier New"/>
          <w:sz w:val="15"/>
          <w:szCs w:val="15"/>
          <w:color w:val="auto"/>
        </w:rPr>
        <w:t>Amortization expense relating to customer base of $647 over</w:t>
      </w:r>
    </w:p>
    <w:p>
      <w:pPr>
        <w:ind w:left="180"/>
        <w:spacing w:after="0" w:line="237" w:lineRule="auto"/>
        <w:tabs>
          <w:tab w:leader="dot" w:pos="5580" w:val="left"/>
        </w:tabs>
        <w:rPr>
          <w:sz w:val="20"/>
          <w:szCs w:val="20"/>
          <w:color w:val="auto"/>
        </w:rPr>
      </w:pPr>
      <w:r>
        <w:rPr>
          <w:rFonts w:ascii="Courier New" w:cs="Courier New" w:eastAsia="Courier New" w:hAnsi="Courier New"/>
          <w:sz w:val="15"/>
          <w:szCs w:val="15"/>
          <w:color w:val="auto"/>
        </w:rPr>
        <w:t>5 years</w:t>
      </w:r>
      <w:r>
        <w:rPr>
          <w:sz w:val="20"/>
          <w:szCs w:val="20"/>
          <w:color w:val="auto"/>
        </w:rPr>
        <w:tab/>
      </w:r>
      <w:r>
        <w:rPr>
          <w:rFonts w:ascii="Courier New" w:cs="Courier New" w:eastAsia="Courier New" w:hAnsi="Courier New"/>
          <w:sz w:val="15"/>
          <w:szCs w:val="15"/>
          <w:color w:val="auto"/>
        </w:rPr>
        <w:t>22</w:t>
      </w:r>
    </w:p>
    <w:p>
      <w:pPr>
        <w:spacing w:after="0" w:line="342" w:lineRule="exact"/>
        <w:rPr>
          <w:sz w:val="20"/>
          <w:szCs w:val="20"/>
          <w:color w:val="auto"/>
        </w:rPr>
      </w:pPr>
    </w:p>
    <w:p>
      <w:pPr>
        <w:ind w:right="3319" w:firstLine="447"/>
        <w:spacing w:after="0" w:line="235" w:lineRule="auto"/>
        <w:tabs>
          <w:tab w:leader="none" w:pos="7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72"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CONDENSED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COMBINED STATEMENTS OF OPERATIONS -- (CONTINUED)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 THOUSANDS)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U.S. DOLLARS,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SOLECT TRANSACTION: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Amdocs acquired Solect on April 5, 2000. Accordingly, Solect's operations are included in the historical results of Amdocs from that date. The amounts presented under the column headed Solect Historical represent the historical results of Solect for the six months ended January 31, 2000. There were no substantial changes in Solect's financial position or results of operations during the two month period ended March 31, 2000.</w:t>
      </w:r>
    </w:p>
    <w:p>
      <w:pPr>
        <w:spacing w:after="0" w:line="175" w:lineRule="exact"/>
        <w:rPr>
          <w:sz w:val="20"/>
          <w:szCs w:val="20"/>
          <w:color w:val="auto"/>
        </w:rPr>
      </w:pPr>
    </w:p>
    <w:p>
      <w:pPr>
        <w:ind w:right="3499" w:firstLine="447"/>
        <w:spacing w:after="0" w:line="234" w:lineRule="auto"/>
        <w:tabs>
          <w:tab w:leader="none" w:pos="7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goodwill resulting from the acquisition for the six months ended January 31,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Amortization expense relating to goodwill of $986,312 over 5</w:t>
            </w: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$98,631</w:t>
            </w:r>
          </w:p>
        </w:tc>
      </w:tr>
    </w:tbl>
    <w:p>
      <w:pPr>
        <w:spacing w:after="0" w:line="341" w:lineRule="exact"/>
        <w:rPr>
          <w:sz w:val="20"/>
          <w:szCs w:val="20"/>
          <w:color w:val="auto"/>
        </w:rPr>
      </w:pPr>
    </w:p>
    <w:p>
      <w:pPr>
        <w:ind w:right="3499" w:firstLine="447"/>
        <w:spacing w:after="0" w:line="235" w:lineRule="auto"/>
        <w:tabs>
          <w:tab w:leader="none" w:pos="7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 for the six months ended January 31,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 technology of $18,259</w:t>
            </w:r>
          </w:p>
        </w:tc>
        <w:tc>
          <w:tcPr>
            <w:tcW w:w="6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over 2 years..............................................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$4,565</w:t>
            </w:r>
          </w:p>
        </w:tc>
      </w:tr>
    </w:tbl>
    <w:p>
      <w:pPr>
        <w:spacing w:after="0" w:line="341" w:lineRule="exact"/>
        <w:rPr>
          <w:sz w:val="20"/>
          <w:szCs w:val="20"/>
          <w:color w:val="auto"/>
        </w:rPr>
      </w:pPr>
    </w:p>
    <w:p>
      <w:pPr>
        <w:ind w:right="3319" w:firstLine="447"/>
        <w:spacing w:after="0" w:line="234" w:lineRule="auto"/>
        <w:tabs>
          <w:tab w:leader="none" w:pos="7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for the six months ended January 31, 2000,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Amortization</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expense relating to workforce-in-place of</w:t>
            </w:r>
          </w:p>
        </w:tc>
        <w:tc>
          <w:tcPr>
            <w:tcW w:w="440" w:type="dxa"/>
            <w:vAlign w:val="bottom"/>
          </w:tcPr>
          <w:p>
            <w:pPr>
              <w:spacing w:after="0"/>
              <w:rPr>
                <w:sz w:val="14"/>
                <w:szCs w:val="14"/>
                <w:color w:val="auto"/>
              </w:rPr>
            </w:pPr>
          </w:p>
        </w:tc>
      </w:tr>
      <w:tr>
        <w:trPr>
          <w:trHeight w:val="168"/>
        </w:trPr>
        <w:tc>
          <w:tcPr>
            <w:tcW w:w="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$3,259</w:t>
            </w:r>
          </w:p>
        </w:tc>
        <w:tc>
          <w:tcPr>
            <w:tcW w:w="4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over 3 years.......................................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42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expense relating to customer base of $1,211</w:t>
            </w:r>
          </w:p>
        </w:tc>
        <w:tc>
          <w:tcPr>
            <w:tcW w:w="440" w:type="dxa"/>
            <w:vAlign w:val="bottom"/>
          </w:tcPr>
          <w:p>
            <w:pPr>
              <w:spacing w:after="0"/>
              <w:rPr>
                <w:sz w:val="14"/>
                <w:szCs w:val="14"/>
                <w:color w:val="auto"/>
              </w:rPr>
            </w:pPr>
          </w:p>
        </w:tc>
      </w:tr>
      <w:tr>
        <w:trPr>
          <w:trHeight w:val="168"/>
        </w:trPr>
        <w:tc>
          <w:tcPr>
            <w:tcW w:w="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over 3</w:t>
            </w:r>
          </w:p>
        </w:tc>
        <w:tc>
          <w:tcPr>
            <w:tcW w:w="4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years..............................................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bl>
    <w:p>
      <w:pPr>
        <w:spacing w:after="0" w:line="341" w:lineRule="exact"/>
        <w:rPr>
          <w:sz w:val="20"/>
          <w:szCs w:val="20"/>
          <w:color w:val="auto"/>
        </w:rPr>
      </w:pPr>
    </w:p>
    <w:p>
      <w:pPr>
        <w:ind w:right="3399" w:firstLine="447"/>
        <w:spacing w:after="0" w:line="235" w:lineRule="auto"/>
        <w:tabs>
          <w:tab w:leader="none" w:pos="787"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173" w:lineRule="exact"/>
        <w:rPr>
          <w:rFonts w:ascii="Courier New" w:cs="Courier New" w:eastAsia="Courier New" w:hAnsi="Courier New"/>
          <w:sz w:val="15"/>
          <w:szCs w:val="15"/>
          <w:color w:val="auto"/>
        </w:rPr>
      </w:pPr>
    </w:p>
    <w:p>
      <w:pPr>
        <w:ind w:right="3399" w:firstLine="447"/>
        <w:spacing w:after="0" w:line="235" w:lineRule="auto"/>
        <w:tabs>
          <w:tab w:leader="none" w:pos="787"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and other indirect acquisition related costs included in Amdocs' historical financial statements as a result of the Solect acquisition.</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decrease in interest expenses related to Solect's debentures that converted to common stock prior to the closing.</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SELLING SHAREHOLDERS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The first and second of such registration statements were declared effective on July 5, 2000 and October 5, 2000, respectively, and this prospectus is part of the third of such registration statements.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Some of the selling shareholders may distribute their shares, from time to time, to their limited and/or general partners who may sell their shares pursuant to this prospectus. The selling shareholders may also transfer shares that they own by gift, and upon such transfer, the donee would have the same right of sale as the selling shareholder.</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10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SHARES BENEFICIALLY</w:t>
            </w:r>
          </w:p>
        </w:tc>
        <w:tc>
          <w:tcPr>
            <w:tcW w:w="12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5"/>
              </w:rPr>
              <w:t>MAXIMUM</w:t>
            </w:r>
          </w:p>
        </w:tc>
        <w:tc>
          <w:tcPr>
            <w:tcW w:w="18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SHARES BENEFICIALLY</w:t>
            </w:r>
          </w:p>
        </w:tc>
      </w:tr>
      <w:tr>
        <w:trPr>
          <w:trHeight w:val="168"/>
        </w:trPr>
        <w:tc>
          <w:tcPr>
            <w:tcW w:w="3080" w:type="dxa"/>
            <w:vAlign w:val="bottom"/>
          </w:tcPr>
          <w:p>
            <w:pPr>
              <w:spacing w:after="0"/>
              <w:rPr>
                <w:sz w:val="14"/>
                <w:szCs w:val="14"/>
                <w:color w:val="auto"/>
              </w:rPr>
            </w:pPr>
          </w:p>
        </w:tc>
        <w:tc>
          <w:tcPr>
            <w:tcW w:w="130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OWNED</w:t>
            </w:r>
          </w:p>
        </w:tc>
        <w:tc>
          <w:tcPr>
            <w:tcW w:w="800" w:type="dxa"/>
            <w:vAlign w:val="bottom"/>
          </w:tcPr>
          <w:p>
            <w:pPr>
              <w:spacing w:after="0"/>
              <w:rPr>
                <w:sz w:val="14"/>
                <w:szCs w:val="14"/>
                <w:color w:val="auto"/>
              </w:rPr>
            </w:pPr>
          </w:p>
        </w:tc>
        <w:tc>
          <w:tcPr>
            <w:tcW w:w="12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OWNED AFTER THE</w:t>
            </w:r>
          </w:p>
        </w:tc>
      </w:tr>
      <w:tr>
        <w:trPr>
          <w:trHeight w:val="168"/>
        </w:trPr>
        <w:tc>
          <w:tcPr>
            <w:tcW w:w="3080" w:type="dxa"/>
            <w:vAlign w:val="bottom"/>
          </w:tcPr>
          <w:p>
            <w:pPr>
              <w:spacing w:after="0"/>
              <w:rPr>
                <w:sz w:val="14"/>
                <w:szCs w:val="14"/>
                <w:color w:val="auto"/>
              </w:rPr>
            </w:pPr>
          </w:p>
        </w:tc>
        <w:tc>
          <w:tcPr>
            <w:tcW w:w="21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PRIOR TO THE OFFERING</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SHARES</w:t>
            </w:r>
          </w:p>
        </w:tc>
        <w:tc>
          <w:tcPr>
            <w:tcW w:w="18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OFFERING(1)</w:t>
            </w:r>
          </w:p>
        </w:tc>
      </w:tr>
      <w:tr>
        <w:trPr>
          <w:trHeight w:val="168"/>
        </w:trPr>
        <w:tc>
          <w:tcPr>
            <w:tcW w:w="308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BEING</w:t>
            </w:r>
          </w:p>
        </w:tc>
        <w:tc>
          <w:tcPr>
            <w:tcW w:w="18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0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PERCENT</w:t>
            </w:r>
          </w:p>
        </w:tc>
        <w:tc>
          <w:tcPr>
            <w:tcW w:w="12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OFFERED</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NUMBER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30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Telcordia Venture Capital</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4,611,164</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2.09%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4,611,164</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Southwest Sun.....................</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1,428,446</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1,428,446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TCV Solect (A) SRL................</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169,265</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169,265</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TCV Solect (B) SRL................</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173,586</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173,586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TCV Solect (C) SRL................</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213,112</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213,112</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BCS Investment SRL................</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207,539</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207,539</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WPG Networking-Software SRL.......</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206,959</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206,959</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Cactusback &amp; Co...................</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223,548</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223,548</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Morgan Stanley Dean Witter Equity</w:t>
            </w: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Funding, Inc....................</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16,603</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16,603</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G&amp;H Partners......................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1,661</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1,661</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Thomas Campbell...................</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3,307</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3,307</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Stephen Carson....................</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2,291</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2,291</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Raj Mehra.........................</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1,743</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1,743</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7,259,224</w:t>
            </w:r>
          </w:p>
        </w:tc>
        <w:tc>
          <w:tcPr>
            <w:tcW w:w="8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7,259,224</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spacing w:after="0"/>
              <w:rPr>
                <w:sz w:val="14"/>
                <w:szCs w:val="14"/>
                <w:color w:val="auto"/>
              </w:rPr>
            </w:pPr>
          </w:p>
        </w:tc>
      </w:tr>
    </w:tbl>
    <w:p>
      <w:pPr>
        <w:spacing w:after="0" w:line="335"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360" w:right="3319" w:hanging="350"/>
        <w:spacing w:after="0" w:line="235"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73" w:lineRule="exact"/>
        <w:rPr>
          <w:sz w:val="20"/>
          <w:szCs w:val="20"/>
          <w:color w:val="auto"/>
        </w:rPr>
      </w:pPr>
    </w:p>
    <w:p>
      <w:pPr>
        <w:jc w:val="both"/>
        <w:ind w:left="620" w:right="3239" w:hanging="173"/>
        <w:spacing w:after="0" w:line="235"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 New York, New York.</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Ernst &amp; Young LLP, independent auditors, have audited the Consolidated Financial Statements and Schedule of Amdocs as set forth in their report included in our Report of Foreign Private Issuer on Form 6-K dated December 29, 2000, which is incorporated by reference in this prospectus. The Consolidated Financial Statements and Schedule of Amdocs are incorporated by reference in reliance on Ernst &amp; Young LLP's report, given on their authority as experts in accounting and auditing.</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Ernst &amp; Young LLP, independent auditors, have audited the Financial Statements and Schedules of ITDS as set forth in their report included in our Registration Statement on Form F-3/A (No. 333-86609) dated October 4, 1999 and incorporated herein by reference in this prospectus from our Report of Foreign Private Issuer on Form 6-K dated December 13, 1999. The Financial Statements and Schedule of ITDS are incorporated by reference in reliance on Ernst &amp; Young LLP's report, given on their authority as experts in accounting and auditing.</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Ernst &amp; Young LLP, independent auditors, have audited the Consolidated Financial Statements of Solect as set forth in their report included in our Report of Foreign Private Issuer on Form 6-K/A dated June 8, 2000, which is incorporated by reference in this prospectus. The Consolidated Financial Statements of Solect are incorporated by reference in reliance on Ernst &amp; Young LLP's report, given on their authority as experts in accounting and auditing.</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$ 63,009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Legal fees and expenses.....................................</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$ 25,000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Registrar and Transfer Agent fees and expenses..............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Accounting fees and expenses................................</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$ 20,000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Printing, EDGAR formatting and mailing expenses.............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Miscellaneous...............................................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5,391</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Agreement and Plan of Merger dated as of September 3, 1999</w:t>
      </w:r>
    </w:p>
    <w:p>
      <w:pPr>
        <w:ind w:left="1060"/>
        <w:spacing w:after="0" w:line="237" w:lineRule="auto"/>
        <w:rPr>
          <w:sz w:val="20"/>
          <w:szCs w:val="20"/>
          <w:color w:val="auto"/>
        </w:rPr>
      </w:pPr>
      <w:r>
        <w:rPr>
          <w:rFonts w:ascii="Courier New" w:cs="Courier New" w:eastAsia="Courier New" w:hAnsi="Courier New"/>
          <w:sz w:val="15"/>
          <w:szCs w:val="15"/>
          <w:color w:val="auto"/>
        </w:rPr>
        <w:t>among Amdocs Limited, Ivan Acquisition Corp. and</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International Telecommunication Data Systems, Inc. (Exhibit</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2.1 to Amdocs' Current Report on Form 6-K dated September</w:t>
      </w:r>
    </w:p>
    <w:p>
      <w:pPr>
        <w:ind w:left="1060"/>
        <w:spacing w:after="0" w:line="237" w:lineRule="auto"/>
        <w:rPr>
          <w:sz w:val="20"/>
          <w:szCs w:val="20"/>
          <w:color w:val="auto"/>
        </w:rPr>
      </w:pPr>
      <w:r>
        <w:rPr>
          <w:rFonts w:ascii="Courier New" w:cs="Courier New" w:eastAsia="Courier New" w:hAnsi="Courier New"/>
          <w:sz w:val="15"/>
          <w:szCs w:val="15"/>
          <w:color w:val="auto"/>
        </w:rPr>
        <w:t>10, 1999)</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Combination Agreement dated as of February 28, 2000 among</w:t>
      </w:r>
    </w:p>
    <w:p>
      <w:pPr>
        <w:ind w:left="1060"/>
        <w:spacing w:after="0" w:line="237" w:lineRule="auto"/>
        <w:rPr>
          <w:sz w:val="20"/>
          <w:szCs w:val="20"/>
          <w:color w:val="auto"/>
        </w:rPr>
      </w:pPr>
      <w:r>
        <w:rPr>
          <w:rFonts w:ascii="Courier New" w:cs="Courier New" w:eastAsia="Courier New" w:hAnsi="Courier New"/>
          <w:sz w:val="15"/>
          <w:szCs w:val="15"/>
          <w:color w:val="auto"/>
        </w:rPr>
        <w:t>Amdocs Limited, Solect Technology Group Inc., Amdocs</w:t>
      </w:r>
    </w:p>
    <w:p>
      <w:pPr>
        <w:ind w:left="1060"/>
        <w:spacing w:after="0" w:line="238" w:lineRule="auto"/>
        <w:rPr>
          <w:sz w:val="20"/>
          <w:szCs w:val="20"/>
          <w:color w:val="auto"/>
        </w:rPr>
      </w:pPr>
      <w:r>
        <w:rPr>
          <w:rFonts w:ascii="Courier New" w:cs="Courier New" w:eastAsia="Courier New" w:hAnsi="Courier New"/>
          <w:sz w:val="15"/>
          <w:szCs w:val="15"/>
          <w:color w:val="auto"/>
        </w:rPr>
        <w:t>(Denmark) ApS. and Amdocs Holdings ULC (Exhibit 2.1 to</w:t>
      </w:r>
    </w:p>
    <w:p>
      <w:pPr>
        <w:ind w:left="1060"/>
        <w:spacing w:after="0" w:line="237" w:lineRule="auto"/>
        <w:rPr>
          <w:sz w:val="20"/>
          <w:szCs w:val="20"/>
          <w:color w:val="auto"/>
        </w:rPr>
      </w:pPr>
      <w:r>
        <w:rPr>
          <w:rFonts w:ascii="Courier New" w:cs="Courier New" w:eastAsia="Courier New" w:hAnsi="Courier New"/>
          <w:sz w:val="15"/>
          <w:szCs w:val="15"/>
          <w:color w:val="auto"/>
        </w:rPr>
        <w:t>Amdocs' Current Report on Form 6-K dated March 3, 2000)</w:t>
      </w: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Principal Securityholders Voting Agreement dated as of</w:t>
      </w:r>
    </w:p>
    <w:p>
      <w:pPr>
        <w:ind w:left="1060"/>
        <w:spacing w:after="0" w:line="237" w:lineRule="auto"/>
        <w:rPr>
          <w:sz w:val="20"/>
          <w:szCs w:val="20"/>
          <w:color w:val="auto"/>
        </w:rPr>
      </w:pPr>
      <w:r>
        <w:rPr>
          <w:rFonts w:ascii="Courier New" w:cs="Courier New" w:eastAsia="Courier New" w:hAnsi="Courier New"/>
          <w:sz w:val="15"/>
          <w:szCs w:val="15"/>
          <w:color w:val="auto"/>
        </w:rPr>
        <w:t>February 28, 2000 among Amdocs Limited, Solect Technology</w:t>
      </w:r>
    </w:p>
    <w:p>
      <w:pPr>
        <w:ind w:left="1060"/>
        <w:spacing w:after="0" w:line="238" w:lineRule="auto"/>
        <w:rPr>
          <w:sz w:val="20"/>
          <w:szCs w:val="20"/>
          <w:color w:val="auto"/>
        </w:rPr>
      </w:pPr>
      <w:r>
        <w:rPr>
          <w:rFonts w:ascii="Courier New" w:cs="Courier New" w:eastAsia="Courier New" w:hAnsi="Courier New"/>
          <w:sz w:val="15"/>
          <w:szCs w:val="15"/>
          <w:color w:val="auto"/>
        </w:rPr>
        <w:t>Group Inc., Amdocs (Denmark) ApS. and Amdocs Holdings ULC</w:t>
      </w:r>
    </w:p>
    <w:p>
      <w:pPr>
        <w:ind w:left="1060"/>
        <w:spacing w:after="0" w:line="238" w:lineRule="auto"/>
        <w:rPr>
          <w:sz w:val="20"/>
          <w:szCs w:val="20"/>
          <w:color w:val="auto"/>
        </w:rPr>
      </w:pPr>
      <w:r>
        <w:rPr>
          <w:rFonts w:ascii="Courier New" w:cs="Courier New" w:eastAsia="Courier New" w:hAnsi="Courier New"/>
          <w:sz w:val="15"/>
          <w:szCs w:val="15"/>
          <w:color w:val="auto"/>
        </w:rPr>
        <w:t>(Exhibit 2.2 to Amdocs' Current Report on Form 6-K dated</w:t>
      </w:r>
    </w:p>
    <w:p>
      <w:pPr>
        <w:ind w:left="1060"/>
        <w:spacing w:after="0" w:line="237" w:lineRule="auto"/>
        <w:rPr>
          <w:sz w:val="20"/>
          <w:szCs w:val="20"/>
          <w:color w:val="auto"/>
        </w:rPr>
      </w:pPr>
      <w:r>
        <w:rPr>
          <w:rFonts w:ascii="Courier New" w:cs="Courier New" w:eastAsia="Courier New" w:hAnsi="Courier New"/>
          <w:sz w:val="15"/>
          <w:szCs w:val="15"/>
          <w:color w:val="auto"/>
        </w:rPr>
        <w:t>March 3, 2000)</w:t>
      </w:r>
    </w:p>
    <w:p>
      <w:pPr>
        <w:sectPr>
          <w:pgSz w:w="11900" w:h="16838" w:orient="portrait"/>
          <w:cols w:equalWidth="0" w:num="1">
            <w:col w:w="10239"/>
          </w:cols>
          <w:pgMar w:left="220" w:top="281" w:right="1440" w:bottom="1440" w:gutter="0" w:footer="0" w:header="0"/>
          <w:type w:val="continuous"/>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1"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w:t>
            </w:r>
          </w:p>
        </w:tc>
        <w:tc>
          <w:tcPr>
            <w:tcW w:w="538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538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Registrant (Exhibit 4.1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Form F-1 dated June 19, 1998; Registration Number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4.2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dated as of June 29,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1998, among European Software Marketing Limited, the other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Initial Lenders,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Initial Issuing Bank and Swing Line Bank named therein,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NationsBank, N.A., as Administrative Agent and the Bank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333-75151)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Amendment No. 1, dated December 16, 1999, to the Amended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Restated Credit Agreement among European Software Marketing</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Ltd., the other subsidiaries of Amdocs named therein,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Lenders, Initial Issuing Bank and Swing Line Bank named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therein, and Bank of America, N.A., as Administrative Agent</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and the Bank of Nova Scotia, as Syndication Agent. (Exhibit</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4.5 to Amdocs' Registration Statement on Form F-3, dated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June 14, 2000, Registration No. 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Letter Amendment and Waiver No. 2, dated February 29, 2000,</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to the Amended and Restated Credit Agreement among European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Software Marketing Ltd., the other subsidiaries of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named therein, the Lenders, Initial Issuing Bank and Swing</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Line Bank named therein, and Bank of America, N.A.,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Administrative Agent and the Bank of Nova Scotia,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Syndication Agent. (Exhibit 4.6 to Amdocs' Registration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Statement on Form F-3, dated June 14, 2000, Registration No.</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4.5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Conditional Investment Agreement, dated as of September 22,</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(Exhibit 4.6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Letter Agreement, dated September 22, 1997, as amended as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May 20, 1998, between Amdocs and Welsh, Carson, Anderson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Stowe, on behalf of the Investors named therein (Exhibit 4.7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to Amdocs' Registration Statement on Form F-1 dated June 19,</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Letter of Understanding, dated September 22, 1997,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Amdocs and Welsh, Carson, Anderson and Stowe, on behalf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 1997 (Exhibit 4.9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certain other entities in favor of Conbond Holding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Ltd. (Exhibit 4.10 to Amdocs' Registration Statement on Form</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 dated June 19, 1998; Registration No. 333-8826)</w:t>
            </w:r>
          </w:p>
        </w:tc>
      </w:tr>
    </w:tbl>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059"/>
          </w:cols>
          <w:pgMar w:left="400" w:top="281" w:right="1440" w:bottom="1440" w:gutter="0" w:footer="0" w:header="0"/>
        </w:sectPr>
      </w:pPr>
    </w:p>
    <w:bookmarkStart w:id="28" w:name="page29"/>
    <w:bookmarkEnd w:id="28"/>
    <w:tbl>
      <w:tblPr>
        <w:tblLayout w:type="fixed"/>
        <w:tblInd w:w="18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w:t>
            </w:r>
          </w:p>
        </w:tc>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2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4680" w:type="dxa"/>
            <w:vAlign w:val="bottom"/>
            <w:gridSpan w:val="2"/>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4680" w:type="dxa"/>
            <w:vAlign w:val="bottom"/>
            <w:gridSpan w:val="2"/>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2720" w:type="dxa"/>
            <w:vAlign w:val="bottom"/>
          </w:tcPr>
          <w:p>
            <w:pPr>
              <w:ind w:left="140"/>
              <w:spacing w:after="0"/>
              <w:rPr>
                <w:sz w:val="20"/>
                <w:szCs w:val="20"/>
                <w:color w:val="auto"/>
              </w:rPr>
            </w:pPr>
            <w:r>
              <w:rPr>
                <w:rFonts w:ascii="Courier New" w:cs="Courier New" w:eastAsia="Courier New" w:hAnsi="Courier New"/>
                <w:sz w:val="15"/>
                <w:szCs w:val="15"/>
                <w:color w:val="auto"/>
              </w:rPr>
              <w:t>Opinion of Carey Langlois</w:t>
            </w:r>
          </w:p>
        </w:tc>
        <w:tc>
          <w:tcPr>
            <w:tcW w:w="1960" w:type="dxa"/>
            <w:vAlign w:val="bottom"/>
          </w:tcPr>
          <w:p>
            <w:pPr>
              <w:spacing w:after="0"/>
              <w:rPr>
                <w:sz w:val="24"/>
                <w:szCs w:val="24"/>
                <w:color w:val="auto"/>
              </w:rPr>
            </w:pP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Consent of Ernst &amp; Young LLP,</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46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Consent of Carey Langlois (included in Exhibit 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Powers of Attorney (contained</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on the signature pages</w:t>
            </w:r>
          </w:p>
        </w:tc>
      </w:tr>
      <w:tr>
        <w:trPr>
          <w:trHeight w:val="168"/>
        </w:trPr>
        <w:tc>
          <w:tcPr>
            <w:tcW w:w="740" w:type="dxa"/>
            <w:vAlign w:val="bottom"/>
          </w:tcPr>
          <w:p>
            <w:pPr>
              <w:spacing w:after="0"/>
              <w:rPr>
                <w:sz w:val="14"/>
                <w:szCs w:val="14"/>
                <w:color w:val="auto"/>
              </w:rPr>
            </w:pPr>
          </w:p>
        </w:tc>
        <w:tc>
          <w:tcPr>
            <w:tcW w:w="2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hereof).</w:t>
            </w:r>
          </w:p>
        </w:tc>
        <w:tc>
          <w:tcPr>
            <w:tcW w:w="19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right="3399" w:firstLine="447"/>
        <w:spacing w:after="0" w:line="234" w:lineRule="auto"/>
        <w:tabs>
          <w:tab w:leader="none" w:pos="7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22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left="440" w:right="3319" w:firstLine="444"/>
        <w:spacing w:after="0" w:line="237" w:lineRule="auto"/>
        <w:tabs>
          <w:tab w:leader="none" w:pos="1315"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5"/>
          <w:szCs w:val="15"/>
          <w:color w:val="auto"/>
        </w:rPr>
      </w:pPr>
    </w:p>
    <w:p>
      <w:pPr>
        <w:jc w:val="both"/>
        <w:ind w:left="440" w:right="3319" w:firstLine="444"/>
        <w:spacing w:after="0" w:line="258" w:lineRule="auto"/>
        <w:tabs>
          <w:tab w:leader="none" w:pos="140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provided, however, that paragraphs (1)(i) and (1)(ii) above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left="-280" w:right="3239" w:firstLine="447"/>
        <w:spacing w:after="0" w:line="256" w:lineRule="auto"/>
        <w:tabs>
          <w:tab w:leader="none" w:pos="50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280" w:right="3319" w:firstLine="447"/>
        <w:spacing w:after="0" w:line="235" w:lineRule="auto"/>
        <w:tabs>
          <w:tab w:leader="none" w:pos="50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the securities being registered which remain unsold at the termination of the offering.</w:t>
      </w:r>
    </w:p>
    <w:p>
      <w:pPr>
        <w:spacing w:after="0" w:line="173" w:lineRule="exact"/>
        <w:rPr>
          <w:rFonts w:ascii="Courier New" w:cs="Courier New" w:eastAsia="Courier New" w:hAnsi="Courier New"/>
          <w:sz w:val="15"/>
          <w:szCs w:val="15"/>
          <w:color w:val="auto"/>
        </w:rPr>
      </w:pPr>
    </w:p>
    <w:p>
      <w:pPr>
        <w:ind w:left="-280" w:right="3239" w:firstLine="447"/>
        <w:spacing w:after="0" w:line="256" w:lineRule="auto"/>
        <w:tabs>
          <w:tab w:leader="none" w:pos="50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post-effective amendment to the registration statement to include any financial statements required by Rule 3-19 of Regulation S-K, or to incorporate such financial statements in the registration statement by reference to a report filed or made pursuant to the Securities Exchange Act of 1934.</w:t>
      </w:r>
    </w:p>
    <w:p>
      <w:pPr>
        <w:spacing w:after="0" w:line="164" w:lineRule="exact"/>
        <w:rPr>
          <w:rFonts w:ascii="Courier New" w:cs="Courier New" w:eastAsia="Courier New" w:hAnsi="Courier New"/>
          <w:sz w:val="14"/>
          <w:szCs w:val="14"/>
          <w:color w:val="auto"/>
        </w:rPr>
      </w:pPr>
    </w:p>
    <w:p>
      <w:pPr>
        <w:ind w:left="-280" w:right="3319" w:firstLine="447"/>
        <w:spacing w:after="0" w:line="255" w:lineRule="auto"/>
        <w:tabs>
          <w:tab w:leader="none" w:pos="50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59"/>
          </w:cols>
          <w:pgMar w:left="50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the registration statement to be signed on its behalf by the undersigned, thereunto duly authorized, in the city of New York, State of New York, on this 13(th) day of March, 2001.</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BRUCE K. ANDERSON</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Bruce K. Anderson</w:t>
      </w:r>
    </w:p>
    <w:p>
      <w:pPr>
        <w:jc w:val="center"/>
        <w:ind w:right="-540"/>
        <w:spacing w:after="0" w:line="237" w:lineRule="auto"/>
        <w:rPr>
          <w:sz w:val="20"/>
          <w:szCs w:val="20"/>
          <w:color w:val="auto"/>
        </w:rPr>
      </w:pPr>
      <w:r>
        <w:rPr>
          <w:rFonts w:ascii="Courier New" w:cs="Courier New" w:eastAsia="Courier New" w:hAnsi="Courier New"/>
          <w:sz w:val="15"/>
          <w:szCs w:val="15"/>
          <w:color w:val="auto"/>
        </w:rPr>
        <w:t>Chief Executive Officer</w:t>
      </w:r>
    </w:p>
    <w:p>
      <w:pPr>
        <w:jc w:val="center"/>
        <w:ind w:right="-540"/>
        <w:spacing w:after="0" w:line="238" w:lineRule="auto"/>
        <w:rPr>
          <w:sz w:val="20"/>
          <w:szCs w:val="20"/>
          <w:color w:val="auto"/>
        </w:rPr>
      </w:pPr>
      <w:r>
        <w:rPr>
          <w:rFonts w:ascii="Courier New" w:cs="Courier New" w:eastAsia="Courier New" w:hAnsi="Courier New"/>
          <w:sz w:val="15"/>
          <w:szCs w:val="15"/>
          <w:color w:val="auto"/>
        </w:rPr>
        <w:t>and Chairman of the Board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KNOW ALL MEN BY THESE PRESENTS that each individual whose signature appears below hereby constitutes and appoints Bruce K. Anderson and Robert A. Minicucci, and each of them,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174" w:lineRule="exact"/>
        <w:rPr>
          <w:sz w:val="20"/>
          <w:szCs w:val="20"/>
          <w:color w:val="auto"/>
        </w:rPr>
      </w:pPr>
    </w:p>
    <w:p>
      <w:pPr>
        <w:jc w:val="both"/>
        <w:ind w:right="40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5060" w:space="720"/>
            <w:col w:w="1560" w:space="720"/>
            <w:col w:w="217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5"/>
          <w:szCs w:val="15"/>
          <w:color w:val="auto"/>
        </w:rPr>
        <w:t>/s/ BRUCE K. ANDERSON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Bruce K. Anderson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and Chief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Executive Officer (Principal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13, 2001</w:t>
      </w:r>
    </w:p>
    <w:p>
      <w:pPr>
        <w:spacing w:after="0" w:line="507" w:lineRule="exact"/>
        <w:rPr>
          <w:sz w:val="20"/>
          <w:szCs w:val="20"/>
          <w:color w:val="auto"/>
        </w:rPr>
      </w:pPr>
    </w:p>
    <w:p>
      <w:pPr>
        <w:sectPr>
          <w:pgSz w:w="11900" w:h="16838" w:orient="portrait"/>
          <w:cols w:equalWidth="0" w:num="3">
            <w:col w:w="4640" w:space="0"/>
            <w:col w:w="2800" w:space="180"/>
            <w:col w:w="2619"/>
          </w:cols>
          <w:pgMar w:left="220" w:top="281"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/s/ ROBERT A. MINICUCCI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Robert A. Minicucci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 and Chief Financial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Officer (Principal Financial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13, 2001</w:t>
      </w:r>
    </w:p>
    <w:p>
      <w:pPr>
        <w:spacing w:after="0" w:line="514" w:lineRule="exact"/>
        <w:rPr>
          <w:sz w:val="20"/>
          <w:szCs w:val="20"/>
          <w:color w:val="auto"/>
        </w:rPr>
      </w:pPr>
    </w:p>
    <w:p>
      <w:pPr>
        <w:sectPr>
          <w:pgSz w:w="11900" w:h="16838" w:orient="portrait"/>
          <w:cols w:equalWidth="0" w:num="3">
            <w:col w:w="4640" w:space="0"/>
            <w:col w:w="2800" w:space="180"/>
            <w:col w:w="2619"/>
          </w:cols>
          <w:pgMar w:left="220" w:top="281"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Avinoam Naor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of Amdocs Limited and</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Executive Officer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Amdocs Management Limited</w:t>
      </w:r>
    </w:p>
    <w:p>
      <w:pPr>
        <w:spacing w:after="0" w:line="173" w:lineRule="exact"/>
        <w:rPr>
          <w:sz w:val="20"/>
          <w:szCs w:val="20"/>
          <w:color w:val="auto"/>
        </w:rPr>
      </w:pPr>
    </w:p>
    <w:p>
      <w:pPr>
        <w:sectPr>
          <w:pgSz w:w="11900" w:h="16838" w:orient="portrait"/>
          <w:cols w:equalWidth="0" w:num="2">
            <w:col w:w="4640" w:space="0"/>
            <w:col w:w="5599"/>
          </w:cols>
          <w:pgMar w:left="220" w:top="281"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/s/ ADRIAN GARDNER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13, 2001</w:t>
      </w:r>
    </w:p>
    <w:p>
      <w:pPr>
        <w:spacing w:after="0" w:line="3" w:lineRule="exact"/>
        <w:rPr>
          <w:sz w:val="20"/>
          <w:szCs w:val="20"/>
          <w:color w:val="auto"/>
        </w:rPr>
      </w:pPr>
    </w:p>
    <w:p>
      <w:pPr>
        <w:sectPr>
          <w:pgSz w:w="11900" w:h="16838" w:orient="portrait"/>
          <w:cols w:equalWidth="0" w:num="3">
            <w:col w:w="3920" w:space="720"/>
            <w:col w:w="2260" w:space="720"/>
            <w:col w:w="2619"/>
          </w:cols>
          <w:pgMar w:left="220" w:top="281" w:right="1440" w:bottom="1440" w:gutter="0" w:footer="0" w:header="0"/>
          <w:type w:val="continuous"/>
        </w:sect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17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James S. Kahan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281"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2"/>
          <w:szCs w:val="12"/>
          <w:color w:val="auto"/>
        </w:rPr>
        <w:t>31</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SIGNATURE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JOHN T. MCLENNAN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John T. McLennan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LAWRENCE PERLMAN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Lawrence Perlman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MICHAEL J.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Michael J. Price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 MODI ROSEN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Modi Rosen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 RON ZUCKERMAN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Ron Zuckerman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Thomas G. O'Brien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TITLE</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Limited's Authorized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Representative in the United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5"/>
          <w:szCs w:val="15"/>
          <w:color w:val="auto"/>
        </w:rPr>
        <w:t>DATE</w:t>
      </w:r>
    </w:p>
    <w:p>
      <w:pPr>
        <w:jc w:val="center"/>
        <w:ind w:right="139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4"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4"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4"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4"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4"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March 13, 2001</w:t>
      </w:r>
    </w:p>
    <w:p>
      <w:pPr>
        <w:spacing w:after="0" w:line="541" w:lineRule="exact"/>
        <w:rPr>
          <w:sz w:val="20"/>
          <w:szCs w:val="20"/>
          <w:color w:val="auto"/>
        </w:rPr>
      </w:pPr>
    </w:p>
    <w:p>
      <w:pPr>
        <w:sectPr>
          <w:pgSz w:w="11900" w:h="16838" w:orient="portrait"/>
          <w:cols w:equalWidth="0" w:num="3">
            <w:col w:w="4640" w:space="0"/>
            <w:col w:w="2800" w:space="180"/>
            <w:col w:w="2619"/>
          </w:cols>
          <w:pgMar w:left="220" w:top="287" w:right="1440" w:bottom="1440" w:gutter="0" w:footer="0" w:header="0"/>
          <w:type w:val="continuous"/>
        </w:sectPr>
      </w:pPr>
    </w:p>
    <w:p>
      <w:pPr>
        <w:spacing w:after="0" w:line="1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7" w:right="1440" w:bottom="1440" w:gutter="0" w:footer="0" w:header="0"/>
          <w:type w:val="continuous"/>
        </w:sectPr>
      </w:pPr>
    </w:p>
    <w:bookmarkStart w:id="32" w:name="page33"/>
    <w:bookmarkEnd w:id="32"/>
    <w:p>
      <w:pPr>
        <w:ind w:left="10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40" w:type="dxa"/>
            <w:vAlign w:val="bottom"/>
          </w:tcPr>
          <w:p>
            <w:pPr>
              <w:ind w:left="1540"/>
              <w:spacing w:after="0"/>
              <w:rPr>
                <w:sz w:val="20"/>
                <w:szCs w:val="20"/>
                <w:color w:val="auto"/>
              </w:rPr>
            </w:pPr>
            <w:r>
              <w:rPr>
                <w:rFonts w:ascii="Courier New" w:cs="Courier New" w:eastAsia="Courier New" w:hAnsi="Courier New"/>
                <w:sz w:val="15"/>
                <w:szCs w:val="15"/>
                <w:color w:val="auto"/>
              </w:rPr>
              <w:t>EXHIBIT INDEX</w:t>
            </w: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4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440" w:type="dxa"/>
            <w:vAlign w:val="bottom"/>
          </w:tcPr>
          <w:p>
            <w:pPr>
              <w:spacing w:after="0"/>
              <w:rPr>
                <w:sz w:val="14"/>
                <w:szCs w:val="14"/>
                <w:color w:val="auto"/>
              </w:rPr>
            </w:pPr>
          </w:p>
        </w:tc>
        <w:tc>
          <w:tcPr>
            <w:tcW w:w="494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494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53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Agreement and Plan of Merger dated as of September 3, 1999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among Amdocs Limited, Ivan Acquisition Corp.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International Telecommunication Data Systems, Inc. (Exhibit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2.1 to Amdocs' Current Report on Form 6-K dated September</w:t>
            </w:r>
          </w:p>
        </w:tc>
      </w:tr>
      <w:tr>
        <w:trPr>
          <w:trHeight w:val="168"/>
        </w:trPr>
        <w:tc>
          <w:tcPr>
            <w:tcW w:w="740" w:type="dxa"/>
            <w:vAlign w:val="bottom"/>
          </w:tcPr>
          <w:p>
            <w:pPr>
              <w:spacing w:after="0"/>
              <w:rPr>
                <w:sz w:val="14"/>
                <w:szCs w:val="14"/>
                <w:color w:val="auto"/>
              </w:rPr>
            </w:pP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w:t>
            </w:r>
          </w:p>
        </w:tc>
        <w:tc>
          <w:tcPr>
            <w:tcW w:w="49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Combination Agreement dated as of February 28, 2000 among</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Amdocs Limited, Solect Technology Group Inc.,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(Denmark) ApS. and Amdocs Holdings ULC (Exhibit 2.1 to</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Amdocs' Current Report on Form 6-K dated March 3, 2000)</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Principal Securityholders Voting Agreement dated as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February 28, 2000 among Amdocs Limited, Solect Technology</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Group Inc., Amdocs (Denmark) ApS. and Amdocs Holdings ULC</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(Exhibit 2.2 to Amdocs' Current Report on Form 6-K dated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March 3, 2000)</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Registrant (Exhibit 4.1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Form F-1 dated June 19, 1998; Registration Number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4.2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Amended and Restated Credit Agreement, dated as of June 29,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1998, among European Software Marketing Limited, the other</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Initial Lenders,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Initial Issuing Bank and Swing Line Bank named therein, and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NationsBank, N.A., as Administrative Agent and the Bank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333-75151)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Amendment No. 1, dated December 16, 1999, to the Credit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Agreement among European Software Marketing Ltd., the other</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subsidiaries of Amdocs named therein, the Lenders, Initial</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Issuing Bank and Swing Line Bank named therein, and Bank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America, N.A., as Administrative Agent and the Bank of Nova</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Scotia, as Syndication Agent. (Exhibit 4.5 to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F-3, dated June 14, 2000;</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No. 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Letter Amendment and Waiver No. 2, dated February 29, 2000,</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to the Credit Agreement among European Software Marketing</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Ltd., the other subsidiaries of Amdocs named therein, the</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Lenders, Initial Issuing Bank and Swing Line Bank named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therein, and Bank of America, N.A., as Administrative Agent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and the Bank of Nova Scotia, as Syndication Agent. (Exhibit</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4.6 to Amdocs' Registration Statement on Form F-3, dated</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June 14, 2000; Registration No. 333-39278)</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4.5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Conditional Investment Agreement, dated as of September 22,</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1997, among the several investors named therein and Amdocs</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(Exhibit 4.6 to Amdocs' Registration Statement on Form F-1</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Letter Agreement, dated September 22, 1997, as amended as of</w:t>
            </w:r>
          </w:p>
        </w:tc>
      </w:tr>
      <w:tr>
        <w:trPr>
          <w:trHeight w:val="168"/>
        </w:trPr>
        <w:tc>
          <w:tcPr>
            <w:tcW w:w="740" w:type="dxa"/>
            <w:vAlign w:val="bottom"/>
          </w:tcPr>
          <w:p>
            <w:pPr>
              <w:spacing w:after="0"/>
              <w:rPr>
                <w:sz w:val="14"/>
                <w:szCs w:val="14"/>
                <w:color w:val="auto"/>
              </w:rPr>
            </w:pPr>
          </w:p>
        </w:tc>
        <w:tc>
          <w:tcPr>
            <w:tcW w:w="53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May 20, 1998, between Amdocs and Welsh, Carson, Anderson and</w:t>
            </w:r>
          </w:p>
        </w:tc>
      </w:tr>
    </w:tbl>
    <w:p>
      <w:pPr>
        <w:spacing w:after="0" w:line="5" w:lineRule="exact"/>
        <w:rPr>
          <w:sz w:val="20"/>
          <w:szCs w:val="20"/>
          <w:color w:val="auto"/>
        </w:rPr>
      </w:pPr>
    </w:p>
    <w:p>
      <w:pPr>
        <w:jc w:val="both"/>
        <w:ind w:left="880" w:right="3939"/>
        <w:spacing w:after="0" w:line="235" w:lineRule="auto"/>
        <w:rPr>
          <w:sz w:val="20"/>
          <w:szCs w:val="20"/>
          <w:color w:val="auto"/>
        </w:rPr>
      </w:pPr>
      <w:r>
        <w:rPr>
          <w:rFonts w:ascii="Courier New" w:cs="Courier New" w:eastAsia="Courier New" w:hAnsi="Courier New"/>
          <w:sz w:val="15"/>
          <w:szCs w:val="15"/>
          <w:color w:val="auto"/>
        </w:rPr>
        <w:t>Stowe, on behalf of the Investors named therein (Exhibit 4.7 to Amdocs' Registration Statement on Form F-1 dated June 19, 1998; Registration No. 333-8826)</w:t>
      </w:r>
    </w:p>
    <w:p>
      <w:pPr>
        <w:sectPr>
          <w:pgSz w:w="11900" w:h="16838" w:orient="portrait"/>
          <w:cols w:equalWidth="0" w:num="1">
            <w:col w:w="10059"/>
          </w:cols>
          <w:pgMar w:left="400" w:top="281" w:right="1440" w:bottom="1440" w:gutter="0" w:footer="0" w:header="0"/>
        </w:sectPr>
      </w:pPr>
    </w:p>
    <w:bookmarkStart w:id="33" w:name="page34"/>
    <w:bookmarkEnd w:id="33"/>
    <w:tbl>
      <w:tblPr>
        <w:tblLayout w:type="fixed"/>
        <w:tblInd w:w="180" w:type="dxa"/>
        <w:tblCellMar>
          <w:top w:w="0" w:type="dxa"/>
          <w:left w:w="0" w:type="dxa"/>
          <w:bottom w:w="0" w:type="dxa"/>
          <w:right w:w="0" w:type="dxa"/>
        </w:tblCellMar>
      </w:tblPr>
      <w:tr>
        <w:trPr>
          <w:trHeight w:val="170"/>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w:t>
            </w:r>
          </w:p>
        </w:tc>
        <w:tc>
          <w:tcPr>
            <w:tcW w:w="5380" w:type="dxa"/>
            <w:vAlign w:val="bottom"/>
          </w:tcPr>
          <w:p>
            <w:pPr>
              <w:spacing w:after="0"/>
              <w:rPr>
                <w:sz w:val="14"/>
                <w:szCs w:val="14"/>
                <w:color w:val="auto"/>
              </w:rPr>
            </w:pPr>
          </w:p>
        </w:tc>
      </w:tr>
      <w:tr>
        <w:trPr>
          <w:trHeight w:val="673"/>
        </w:trPr>
        <w:tc>
          <w:tcPr>
            <w:tcW w:w="7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EXHIBIT</w:t>
            </w:r>
          </w:p>
        </w:tc>
        <w:tc>
          <w:tcPr>
            <w:tcW w:w="5380" w:type="dxa"/>
            <w:vAlign w:val="bottom"/>
          </w:tcPr>
          <w:p>
            <w:pPr>
              <w:spacing w:after="0"/>
              <w:rPr>
                <w:sz w:val="24"/>
                <w:szCs w:val="24"/>
                <w:color w:val="auto"/>
              </w:rPr>
            </w:pP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NO.</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7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538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9"/>
              </w:rPr>
              <w:t>Letter of Understanding, dated September 22, 1997,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Amdocs and Welsh, Carson, Anderson and Stowe, on behalf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22, 1997 (Exhibit 4.9 to Amdocs' Registration Statement on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certain other entities in favor of Conbond Holding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Ltd. (Exhibit 4.10 to Amdocs' Registration Statement on Form</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 dated June 19, 1998; Registration No. 333-8826)</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Opinion of Carey Langlois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68"/>
        </w:trPr>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Powers of Attorney (contained on the signature pages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hereof).</w:t>
            </w:r>
          </w:p>
        </w:tc>
      </w:tr>
    </w:tbl>
    <w:p>
      <w:pPr>
        <w:spacing w:after="0" w:line="335"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5.1</w:t>
      </w:r>
    </w:p>
    <w:p>
      <w:pPr>
        <w:spacing w:after="0" w:line="17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Amdocs Limited</w:t>
      </w:r>
      <w:r>
        <w:rPr>
          <w:sz w:val="20"/>
          <w:szCs w:val="20"/>
          <w:color w:val="auto"/>
        </w:rPr>
        <w:tab/>
      </w:r>
      <w:r>
        <w:rPr>
          <w:rFonts w:ascii="Courier New" w:cs="Courier New" w:eastAsia="Courier New" w:hAnsi="Courier New"/>
          <w:sz w:val="14"/>
          <w:szCs w:val="14"/>
          <w:color w:val="auto"/>
        </w:rPr>
        <w:t>[CAREY LANGLOIS LETTERHEAD]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March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 AMDOCS LIMITED</w:t>
      </w:r>
    </w:p>
    <w:p>
      <w:pPr>
        <w:ind w:left="360"/>
        <w:spacing w:after="0" w:line="237" w:lineRule="auto"/>
        <w:rPr>
          <w:sz w:val="20"/>
          <w:szCs w:val="20"/>
          <w:color w:val="auto"/>
        </w:rPr>
      </w:pPr>
      <w:r>
        <w:rPr>
          <w:rFonts w:ascii="Courier New" w:cs="Courier New" w:eastAsia="Courier New" w:hAnsi="Courier New"/>
          <w:sz w:val="15"/>
          <w:szCs w:val="15"/>
          <w:color w:val="auto"/>
        </w:rPr>
        <w:t>REGISTRATION STATEMENT ON FORM F-3</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We have acted as counsel to Amdocs Limited, a Guernsey Corporation (the "Company"), in connection with its Registration Statement on Form F-3 (the "Registration Statement"), filed under the Securities Act of 1933, as amended (the "Act"), relating to the proposed public offering of up to 7,259,224 Ordinary Shares, Pounds Sterling 0.01 per value (the "Shares"), of the Company.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Amended and Restated Articles of Association and the Memorandum of Association of the Company and the Combination Agreement dated as of February 28, 2000 between the Company, the Company's subsidiaries named therein and Solect Technology Group Inc (the "Combination Agreement"). Capitalised terms used herein without definition shall have the meanings ascribed to them in the Combination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upon the foregoing, we are of the opinion that:</w:t>
      </w:r>
    </w:p>
    <w:p>
      <w:pPr>
        <w:spacing w:after="0" w:line="173" w:lineRule="exact"/>
        <w:rPr>
          <w:sz w:val="20"/>
          <w:szCs w:val="20"/>
          <w:color w:val="auto"/>
        </w:rPr>
      </w:pPr>
    </w:p>
    <w:p>
      <w:pPr>
        <w:ind w:left="280" w:right="3319" w:hanging="270"/>
        <w:spacing w:after="0" w:line="234" w:lineRule="auto"/>
        <w:tabs>
          <w:tab w:leader="none" w:pos="2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organised and is validly existing as a corporation under the laws of Guernsey.</w:t>
      </w:r>
    </w:p>
    <w:p>
      <w:pPr>
        <w:spacing w:after="0" w:line="173" w:lineRule="exact"/>
        <w:rPr>
          <w:rFonts w:ascii="Courier New" w:cs="Courier New" w:eastAsia="Courier New" w:hAnsi="Courier New"/>
          <w:sz w:val="15"/>
          <w:szCs w:val="15"/>
          <w:color w:val="auto"/>
        </w:rPr>
      </w:pPr>
    </w:p>
    <w:p>
      <w:pPr>
        <w:ind w:left="280" w:right="3319" w:hanging="270"/>
        <w:spacing w:after="0" w:line="236" w:lineRule="auto"/>
        <w:tabs>
          <w:tab w:leader="none" w:pos="2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authorised, and the Shares being sold by the Selling Shareholders listed in the Registration Statement when issued upon the exchange of the Exchangeable Shares in accordance with the terms of the Combination Agreement and the Share Restructing Plan will be validly issued, fully paid, and non-assessable.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 and to the reference to our firm under "Enforceability of Civil Liabilities" and "Legal Matters" in the Prospectus comprising a part of the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Carey Langlois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NIGEL CAREY</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Nigel Carey</w:t>
      </w:r>
    </w:p>
    <w:p>
      <w:pPr>
        <w:sectPr>
          <w:pgSz w:w="11900" w:h="16838" w:orient="portrait"/>
          <w:cols w:equalWidth="0" w:num="1">
            <w:col w:w="10239"/>
          </w:cols>
          <w:pgMar w:left="220" w:top="135"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F-3 No. 333-____) and related Prospectus of Amdocs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Limited for the registration of 7,259,224 shares of its ordinary shares and to the incorporation by reference therein of our report dated November 2, 2000 with respect to the consolidated financial statements of Amdocs Limited included in its Report of Foreign Private Issuer (Form 6-K), filed with the Securities Exchange Commission on December 29, 2000.</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37" w:lineRule="auto"/>
        <w:rPr>
          <w:sz w:val="20"/>
          <w:szCs w:val="20"/>
          <w:color w:val="auto"/>
        </w:rPr>
      </w:pPr>
      <w:r>
        <w:rPr>
          <w:rFonts w:ascii="Courier New" w:cs="Courier New" w:eastAsia="Courier New" w:hAnsi="Courier New"/>
          <w:sz w:val="15"/>
          <w:szCs w:val="15"/>
          <w:color w:val="auto"/>
        </w:rPr>
        <w:t>March 14, 2001</w:t>
      </w:r>
    </w:p>
    <w:p>
      <w:pPr>
        <w:sectPr>
          <w:pgSz w:w="11900" w:h="16838" w:orient="portrait"/>
          <w:cols w:equalWidth="0" w:num="1">
            <w:col w:w="10239"/>
          </w:cols>
          <w:pgMar w:left="220" w:top="135"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23.2</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F-3 No. 333-_____) and related Prospectus of</w:t>
      </w:r>
    </w:p>
    <w:p>
      <w:pPr>
        <w:spacing w:after="0" w:line="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Amdocs Limited for the registration of 7,259,224 shares of its ordinary shares and to the incorporation therein of our report dated February 16, 1999, with respect to the financial statements and schedules of International Telecommunications Data Systems, Inc. included in the Registration Statement (Form F-3/A No. 333-86609) and related Prospectus of Amdocs Limited for the registration of 20,700,000 shares of its ordinary shares filed with the Securities Exchange Commission on October 4, 1999 and incorporated herein by reference from its Report of Foreign Private Issuer (Form 6-K) filed with the Securities and Exchange Commission on December 13, 1999.</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237" w:lineRule="auto"/>
        <w:rPr>
          <w:sz w:val="20"/>
          <w:szCs w:val="20"/>
          <w:color w:val="auto"/>
        </w:rPr>
      </w:pPr>
      <w:r>
        <w:rPr>
          <w:rFonts w:ascii="Courier New" w:cs="Courier New" w:eastAsia="Courier New" w:hAnsi="Courier New"/>
          <w:sz w:val="15"/>
          <w:szCs w:val="15"/>
          <w:color w:val="auto"/>
        </w:rPr>
        <w:t>March 14, 2001</w:t>
      </w:r>
    </w:p>
    <w:p>
      <w:pPr>
        <w:sectPr>
          <w:pgSz w:w="11900" w:h="16838" w:orient="portrait"/>
          <w:cols w:equalWidth="0" w:num="1">
            <w:col w:w="10239"/>
          </w:cols>
          <w:pgMar w:left="220" w:top="135"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23.3</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F-3 No. 333-____) and related Prospectus of Amdocs</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Limited for the registration of 7,259,224 shares of its ordinary shares and to the incorporation by reference therein of our report dated October 15, 1999, related to the consolidated financial statements of Solect Technology Group Inc. included in Amendment No. 1 to the Report of Foreign Private Issuer on Form 6-K/A of Amdocs Limited filed with the Securities Exchange Commission on June 8,</w:t>
      </w:r>
    </w:p>
    <w:p>
      <w:pPr>
        <w:spacing w:after="0" w:line="233" w:lineRule="auto"/>
        <w:rPr>
          <w:sz w:val="20"/>
          <w:szCs w:val="20"/>
          <w:color w:val="auto"/>
        </w:rPr>
      </w:pPr>
      <w:r>
        <w:rPr>
          <w:rFonts w:ascii="Courier New" w:cs="Courier New" w:eastAsia="Courier New" w:hAnsi="Courier New"/>
          <w:sz w:val="15"/>
          <w:szCs w:val="15"/>
          <w:color w:val="auto"/>
        </w:rPr>
        <w:t>2000.</w:t>
      </w:r>
    </w:p>
    <w:p>
      <w:pPr>
        <w:sectPr>
          <w:pgSz w:w="11900" w:h="16838" w:orient="portrait"/>
          <w:cols w:equalWidth="0" w:num="1">
            <w:col w:w="10239"/>
          </w:cols>
          <w:pgMar w:left="220" w:top="135"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Canada</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 Ernst &amp; Young LLP</w:t>
      </w:r>
    </w:p>
    <w:p>
      <w:pPr>
        <w:spacing w:after="0" w:line="178" w:lineRule="exact"/>
        <w:rPr>
          <w:sz w:val="20"/>
          <w:szCs w:val="20"/>
          <w:color w:val="auto"/>
        </w:rPr>
      </w:pPr>
    </w:p>
    <w:p>
      <w:pPr>
        <w:sectPr>
          <w:pgSz w:w="11900" w:h="16838" w:orient="portrait"/>
          <w:cols w:equalWidth="0" w:num="2">
            <w:col w:w="4180" w:space="720"/>
            <w:col w:w="533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March 14, 2001</w:t>
      </w:r>
    </w:p>
    <w:p>
      <w:pPr>
        <w:spacing w:after="0" w:line="20" w:lineRule="exact"/>
        <w:rPr>
          <w:sz w:val="20"/>
          <w:szCs w:val="20"/>
          <w:color w:val="auto"/>
        </w:rPr>
      </w:pPr>
      <w:r>
        <w:rPr>
          <w:sz w:val="20"/>
          <w:szCs w:val="20"/>
          <w:color w:val="auto"/>
        </w:rPr>
        <w:br w:type="column"/>
      </w:r>
    </w:p>
    <w:p>
      <w:pPr>
        <w:jc w:val="center"/>
        <w:ind w:right="3579"/>
        <w:spacing w:after="0"/>
        <w:rPr>
          <w:sz w:val="20"/>
          <w:szCs w:val="20"/>
          <w:color w:val="auto"/>
        </w:rPr>
      </w:pPr>
      <w:r>
        <w:rPr>
          <w:rFonts w:ascii="Courier New" w:cs="Courier New" w:eastAsia="Courier New" w:hAnsi="Courier New"/>
          <w:sz w:val="14"/>
          <w:szCs w:val="14"/>
          <w:color w:val="auto"/>
        </w:rPr>
        <w:t>Chartered Accountants</w:t>
      </w:r>
    </w:p>
    <w:sectPr>
      <w:pgSz w:w="11900" w:h="16838" w:orient="portrait"/>
      <w:cols w:equalWidth="0" w:num="2">
        <w:col w:w="4100" w:space="720"/>
        <w:col w:w="541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2"/>
    </w:lvl>
  </w:abstractNum>
  <w:abstractNum w:abstractNumId="19">
    <w:nsid w:val="71F32454"/>
    <w:multiLevelType w:val="hybridMultilevel"/>
    <w:lvl w:ilvl="0">
      <w:lvlJc w:val="left"/>
      <w:lvlText w:val="(%1)"/>
      <w:numFmt w:val="decimal"/>
      <w:start w:val="3"/>
    </w:lvl>
  </w:abstractNum>
  <w:abstractNum w:abstractNumId="20">
    <w:nsid w:val="2CA88611"/>
    <w:multiLevelType w:val="hybridMultilevel"/>
    <w:lvl w:ilvl="0">
      <w:lvlJc w:val="left"/>
      <w:lvlText w:val="(%1)"/>
      <w:numFmt w:val="decimal"/>
      <w:start w:val="4"/>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3"/>
    </w:lvl>
  </w:abstractNum>
  <w:abstractNum w:abstractNumId="24">
    <w:nsid w:val="8138641"/>
    <w:multiLevelType w:val="hybridMultilevel"/>
    <w:lvl w:ilvl="0">
      <w:lvlJc w:val="left"/>
      <w:lvlText w:val="%1"/>
      <w:numFmt w:val="upperLetter"/>
      <w:start w:val="1"/>
    </w:lvl>
    <w:lvl w:ilvl="1">
      <w:lvlJc w:val="left"/>
      <w:lvlText w:val="(%2)"/>
      <w:numFmt w:val="decimal"/>
      <w:start w:val="4"/>
    </w:lvl>
  </w:abstractNum>
  <w:abstractNum w:abstractNumId="25">
    <w:nsid w:val="1E7FF521"/>
    <w:multiLevelType w:val="hybridMultilevel"/>
    <w:lvl w:ilvl="0">
      <w:lvlJc w:val="left"/>
      <w:lvlText w:val="(%1)"/>
      <w:numFmt w:val="upperLetter"/>
      <w:start w:val="3"/>
    </w:lvl>
    <w:lvl w:ilvl="1">
      <w:lvlJc w:val="left"/>
      <w:lvlText w:val="%2"/>
      <w:numFmt w:val="decimal"/>
      <w:start w:val="1"/>
    </w:lvl>
  </w:abstractNum>
  <w:abstractNum w:abstractNumId="26">
    <w:nsid w:val="7C3DBD3D"/>
    <w:multiLevelType w:val="hybridMultilevel"/>
    <w:lvl w:ilvl="0">
      <w:lvlJc w:val="left"/>
      <w:lvlText w:val="-"/>
      <w:numFmt w:val="bullet"/>
      <w:start w:val="1"/>
    </w:lvl>
    <w:lvl w:ilvl="1">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2)"/>
      <w:numFmt w:val="lowerRoman"/>
      <w:start w:val="1"/>
    </w:lvl>
  </w:abstractNum>
  <w:abstractNum w:abstractNumId="30">
    <w:nsid w:val="4516DDE9"/>
    <w:multiLevelType w:val="hybridMultilevel"/>
    <w:lvl w:ilvl="0">
      <w:lvlJc w:val="left"/>
      <w:lvlText w:val="(%1)"/>
      <w:numFmt w:val="decimal"/>
      <w:start w:val="2"/>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2019-12-14T19:40:50Z</dcterms:created>
  <dcterms:modified xsi:type="dcterms:W3CDTF">2019-12-14T19:40:50Z</dcterms:modified>
</cp:coreProperties>
</file>