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month of April, 2013</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AMDOCS LIMITED</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Suite 5, Tower Hill House Le Bordage</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St. Peter Port, Island of Guernsey, GY1 3QT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Amdocs, Inc.</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39" w:lineRule="exact"/>
        <w:rPr>
          <w:sz w:val="24"/>
          <w:szCs w:val="24"/>
          <w:color w:val="auto"/>
        </w:rPr>
      </w:pPr>
    </w:p>
    <w:p>
      <w:pPr>
        <w:ind w:left="4160"/>
        <w:spacing w:after="0" w:line="207" w:lineRule="exact"/>
        <w:tabs>
          <w:tab w:leader="none" w:pos="61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14" w:right="359" w:bottom="1440" w:gutter="0" w:footer="0" w:header="0"/>
        </w:sectPr>
      </w:pPr>
    </w:p>
    <w:bookmarkStart w:id="1" w:name="page2"/>
    <w:bookmarkEnd w:id="1"/>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April 30, 2013, Amdocs Limited (“Amdocs”) issued a press release announcing financial results for the quarter ended March 31, 2013. A copy of the press release is furnished as Exhibit 99.1 to this Report of Foreign Private Issuer on Form 6-K.</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1280"/>
          </w:cols>
          <w:pgMar w:left="240" w:top="280" w:right="37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Elizabeth W.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Elizabeth W. McDermon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 and Authorized Signatory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2013</w:t>
      </w:r>
    </w:p>
    <w:p>
      <w:pPr>
        <w:sectPr>
          <w:pgSz w:w="11900" w:h="16838" w:orient="portrait"/>
          <w:cols w:equalWidth="0" w:num="1">
            <w:col w:w="10980"/>
          </w:cols>
          <w:pgMar w:left="240" w:top="274" w:right="6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40" w:type="dxa"/>
            <w:vAlign w:val="bottom"/>
          </w:tcPr>
          <w:p>
            <w:pPr>
              <w:ind w:left="228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860" w:type="dxa"/>
            <w:vAlign w:val="bottom"/>
          </w:tcPr>
          <w:p>
            <w:pPr>
              <w:ind w:left="40"/>
              <w:spacing w:after="0"/>
              <w:rPr>
                <w:sz w:val="20"/>
                <w:szCs w:val="20"/>
                <w:color w:val="auto"/>
              </w:rPr>
            </w:pPr>
            <w:r>
              <w:rPr>
                <w:rFonts w:ascii="Arial" w:cs="Arial" w:eastAsia="Arial" w:hAnsi="Arial"/>
                <w:sz w:val="14"/>
                <w:szCs w:val="14"/>
                <w:color w:val="auto"/>
                <w:w w:val="96"/>
              </w:rPr>
              <w:t>EXHIBIT NO.</w:t>
            </w:r>
          </w:p>
        </w:tc>
        <w:tc>
          <w:tcPr>
            <w:tcW w:w="5540" w:type="dxa"/>
            <w:vAlign w:val="bottom"/>
            <w:gridSpan w:val="3"/>
          </w:tcPr>
          <w:p>
            <w:pPr>
              <w:ind w:left="980"/>
              <w:spacing w:after="0"/>
              <w:rPr>
                <w:sz w:val="20"/>
                <w:szCs w:val="20"/>
                <w:color w:val="auto"/>
              </w:rPr>
            </w:pPr>
            <w:r>
              <w:rPr>
                <w:rFonts w:ascii="Arial" w:cs="Arial" w:eastAsia="Arial" w:hAnsi="Arial"/>
                <w:sz w:val="14"/>
                <w:szCs w:val="14"/>
                <w:color w:val="auto"/>
              </w:rPr>
              <w:t>DESCRIPTION</w:t>
            </w:r>
          </w:p>
        </w:tc>
      </w:tr>
      <w:tr>
        <w:trPr>
          <w:trHeight w:val="20"/>
        </w:trPr>
        <w:tc>
          <w:tcPr>
            <w:tcW w:w="8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316"/>
        </w:trPr>
        <w:tc>
          <w:tcPr>
            <w:tcW w:w="860" w:type="dxa"/>
            <w:vAlign w:val="bottom"/>
          </w:tcPr>
          <w:p>
            <w:pPr>
              <w:spacing w:after="0"/>
              <w:rPr>
                <w:sz w:val="20"/>
                <w:szCs w:val="20"/>
                <w:color w:val="auto"/>
              </w:rPr>
            </w:pPr>
            <w:r>
              <w:rPr>
                <w:rFonts w:ascii="Arial" w:cs="Arial" w:eastAsia="Arial" w:hAnsi="Arial"/>
                <w:sz w:val="18"/>
                <w:szCs w:val="18"/>
                <w:color w:val="auto"/>
              </w:rPr>
              <w:t>99.1</w:t>
            </w:r>
          </w:p>
        </w:tc>
        <w:tc>
          <w:tcPr>
            <w:tcW w:w="5540" w:type="dxa"/>
            <w:vAlign w:val="bottom"/>
            <w:gridSpan w:val="3"/>
          </w:tcPr>
          <w:p>
            <w:pPr>
              <w:ind w:left="980"/>
              <w:spacing w:after="0"/>
              <w:rPr>
                <w:sz w:val="20"/>
                <w:szCs w:val="20"/>
                <w:color w:val="auto"/>
              </w:rPr>
            </w:pPr>
            <w:r>
              <w:rPr>
                <w:rFonts w:ascii="Arial" w:cs="Arial" w:eastAsia="Arial" w:hAnsi="Arial"/>
                <w:sz w:val="18"/>
                <w:szCs w:val="18"/>
                <w:color w:val="auto"/>
              </w:rPr>
              <w:t>Amdocs Limited Press Release dated April 30, 2013.</w:t>
            </w:r>
          </w:p>
        </w:tc>
      </w:tr>
    </w:tbl>
    <w:p>
      <w:pPr>
        <w:ind w:left="980"/>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6342380</wp:posOffset>
            </wp:positionH>
            <wp:positionV relativeFrom="paragraph">
              <wp:posOffset>143510</wp:posOffset>
            </wp:positionV>
            <wp:extent cx="909320" cy="197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09320" cy="19748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Limited Reports Record Quarterly Revenue of $833M, Up 3.0% YoY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Delivers Quarterly Diluted Non-GAAP EPS of $0.73, Up 9% YoY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Quarterly Diluted GAAP EPS of $0.64, Up 7% YoY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Key highlights:</w:t>
      </w:r>
    </w:p>
    <w:p>
      <w:pPr>
        <w:spacing w:after="0" w:line="90" w:lineRule="exact"/>
        <w:rPr>
          <w:sz w:val="20"/>
          <w:szCs w:val="20"/>
          <w:color w:val="auto"/>
        </w:rPr>
      </w:pPr>
    </w:p>
    <w:p>
      <w:pPr>
        <w:ind w:left="900" w:right="52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Second fiscal quarter revenue of $833 million, within the $820-$850 million guidance range. Foreign currency movements negatively affected revenue by approximately $2 million relative to the first quarter of fiscal 2013</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Second fiscal quarter non-GAAP operating income of $140 million; non-GAAP operating margin of 16.8%; GAAP operating income of $123 million</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Second fiscal quarter diluted non-GAAP EPS of $0.73, compared to the $0.69-$0.75 guidance range, excluding amortization of purchased intangible assets and other acquisition related costs and equity-based compensation expense, net of related tax effects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Diluted GAAP EPS of $0.64 for the second fiscal quarter, compared to the $0.58-$0.66 guidance range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Free cash flow of $91 million for the second fiscal quarter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Twelve-month backlog of $2.81 billion at the end of the second fiscal quarter, up $10 million from the end of the first quarter of fiscal 2013</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Repurchased $109 million of ordinary shares during the second fiscal quarter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board of directors approved a $0.13 per share quarterly cash dividend to be paid on July 19, 2013</w:t>
      </w:r>
    </w:p>
    <w:p>
      <w:pPr>
        <w:spacing w:after="0" w:line="90" w:lineRule="exact"/>
        <w:rPr>
          <w:rFonts w:ascii="Arial" w:cs="Arial" w:eastAsia="Arial" w:hAnsi="Arial"/>
          <w:sz w:val="18"/>
          <w:szCs w:val="18"/>
          <w:color w:val="auto"/>
        </w:rPr>
      </w:pPr>
    </w:p>
    <w:p>
      <w:pPr>
        <w:ind w:left="900" w:right="260" w:hanging="325"/>
        <w:spacing w:after="0" w:line="306"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Third quarter fiscal 2013 guidance: Expected revenue of approximately $825-$855 million and diluted non-GAAP EPS of $0.70-$0.76, excluding amortization of purchased intangible assets and other acquisition-related costs and approximately $0.05-$0.06 per share of equity-based compensation expense, net of related tax effects. Diluted GAAP EPS is expected to be approximately $0.60-$0.68</w:t>
      </w:r>
    </w:p>
    <w:p>
      <w:pPr>
        <w:sectPr>
          <w:pgSz w:w="11900" w:h="16838" w:orient="portrait"/>
          <w:cols w:equalWidth="0" w:num="1">
            <w:col w:w="11420"/>
          </w:cols>
          <w:pgMar w:left="240" w:top="125" w:right="239" w:bottom="1440" w:gutter="0" w:footer="0" w:header="0"/>
        </w:sectPr>
      </w:pPr>
    </w:p>
    <w:bookmarkStart w:id="5" w:name="page6"/>
    <w:bookmarkEnd w:id="5"/>
    <w:p>
      <w:pPr>
        <w:spacing w:after="0" w:line="29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 LOUIS – April 30, 2013 </w:t>
      </w:r>
      <w:r>
        <w:rPr>
          <w:rFonts w:ascii="Arial" w:cs="Arial" w:eastAsia="Arial" w:hAnsi="Arial"/>
          <w:sz w:val="16"/>
          <w:szCs w:val="16"/>
          <w:color w:val="auto"/>
        </w:rPr>
        <w:t>– Amdocs Limited (NYSE: DOX) today reported that for its fiscal quarter ended March 31, 2013, revenue was $832.9 million, up</w:t>
      </w:r>
      <w:r>
        <w:rPr>
          <w:rFonts w:ascii="Arial" w:cs="Arial" w:eastAsia="Arial" w:hAnsi="Arial"/>
          <w:sz w:val="16"/>
          <w:szCs w:val="16"/>
          <w:b w:val="1"/>
          <w:bCs w:val="1"/>
          <w:color w:val="auto"/>
        </w:rPr>
        <w:t xml:space="preserve"> </w:t>
      </w:r>
      <w:r>
        <w:rPr>
          <w:rFonts w:ascii="Arial" w:cs="Arial" w:eastAsia="Arial" w:hAnsi="Arial"/>
          <w:sz w:val="16"/>
          <w:szCs w:val="16"/>
          <w:color w:val="auto"/>
        </w:rPr>
        <w:t>0.8% sequentially from the first fiscal quarter of 2013 and up 3.0% as compared to last year’s second fiscal quarter. Net income on a non-GAAP basis was $119.3 million, or $0.73 per diluted share, compared to non-GAAP net income of $114.7 million, or $0.67 per diluted share, in the second quarter of fiscal 2012. Non-GAAP net income excludes amortization of purchased intangible assets and other acquisition related costs and equity-based compensation expenses of $14.4 million, net of related tax effects, in the second quarter of fiscal 2013 and excludes such amortization and other acquisition related costs, gain on sale of investment and equity-based compensation expenses of $12.8 million, net of related tax effects, in the second quarter of fiscal 2012. The Company’s GAAP net income for the second quarter of fiscal 2013 was $104.9 million, or $0.64 per diluted share, compared to GAAP net income of $101.9 million, or $0.60 per diluted share, in the prior fiscal year’s second quarter.</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followed-up our strong start to fiscal 2013 by delivering record revenues in the second fiscal quarter. We achieved year-on-year improvement in North America for the second consecutive quarter, driven by AT&amp;T and other key customers. This compensated for currency headwinds, the effects of macroeconomic uncertainty, and longer decision making cycles in Europe. Operating margin remained comfortably within our targeted range, and, with the contribution from our continued share repurchase activity, we delivered non-GAAP earnings per share growth of 9% year-on-year in the second fiscal quarter” said Eli Gelman, chief executive officer of Amdocs Management Limited.</w:t>
      </w:r>
    </w:p>
    <w:p>
      <w:pPr>
        <w:spacing w:after="0" w:line="14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Gelman continued, “During the quarter, we continued to sign new business and achieve key milestones with new and existing customers. For example, we have achieved the first of several important delivery milestones under the pivotal managed transformation with Globe Telecom. Additionally, in the second fiscal quarter we reached key production milestones in the modernization of both US Cellular and Vodafone Netherland’s Business Support Systems. In Broadband, Cable &amp; Satellite, Amdocs has expanded its Comcast relationship to provide managed services for Comcast’s Operational Support Systems, in addition to its billing systems.”</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Gelman concluded, “Our free cash flow continues to be strong and we remain focused on efficiently allocating our cash over the long-term. Looking toward the second half of fiscal</w:t>
      </w:r>
    </w:p>
    <w:p>
      <w:pPr>
        <w:sectPr>
          <w:pgSz w:w="11900" w:h="16838" w:orient="portrait"/>
          <w:cols w:equalWidth="0" w:num="1">
            <w:col w:w="11380"/>
          </w:cols>
          <w:pgMar w:left="240" w:top="274" w:right="279" w:bottom="1440" w:gutter="0" w:footer="0" w:header="0"/>
        </w:sectPr>
      </w:pPr>
    </w:p>
    <w:bookmarkStart w:id="6" w:name="page7"/>
    <w:bookmarkEnd w:id="6"/>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2013, we will continue to monitor macroeconomic and industry conditions closely, which include the uncertainty arising from announced M&amp;A activity among operators in North America and macroeconomic pressures, especially in Europe. Based on our current market outlook, we believe that we can perform within the fiscal year 2013 guidance ranges furnished at the beginning of the year and provide an attractive total return to our shareholders.”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Discussion of Second Fiscal Quarter Results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Free cash flow was $91 million for the quarter, comprised of cash flow from operations of $120 million less $29 million in net capital expenditures and other.</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on-going support activities, was $2.81 billion at the end of the second quarter of fiscal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Amdocs expects that revenue for the third quarter of fiscal 2013 will be approximately $825-$855 million. Diluted earnings per share on a non-GAAP basis for the third fiscal quarter are expected to be $0.70-$0.76, excluding amortization of purchased intangible assets and other acquisition-related costs and approximately $0.05-$0.06 per share of equity-based compensation expense, net of related tax effects. Amdocs estimates GAAP diluted earnings per share for the third fiscal quarter will be $0.60-$0.68.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Cash Dividend Program</w:t>
      </w:r>
    </w:p>
    <w:p>
      <w:pPr>
        <w:spacing w:after="0" w:line="9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On April 30, 2013, the Board approved the Company’s next quarterly cash dividend payment and set June 28, 2013 as the record date for determining the shareholders entitled to receive the dividend, which is payable on July 19,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Amdocs will host a conference call on April 30, 2013 at 5:00 p.m. Eastern Time to discuss the Company’s second fiscal quarter results. The call will be carried live on the Internet via the Amdocs website, www.amdocs.com.</w:t>
      </w:r>
    </w:p>
    <w:p>
      <w:pPr>
        <w:sectPr>
          <w:pgSz w:w="11900" w:h="16838" w:orient="portrait"/>
          <w:cols w:equalWidth="0" w:num="1">
            <w:col w:w="11400"/>
          </w:cols>
          <w:pgMar w:left="240" w:top="2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Non-GAAP Financial Measures</w:t>
      </w:r>
    </w:p>
    <w:p>
      <w:pPr>
        <w:spacing w:after="0" w:line="9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This release includes non-GAAP diluted earnings per share and other non-GAAP financial measures, including free cash flow, non-GAAP cost of service, non-GAAP research and development, non-GAAP selling, general and administrative, non-GAAP operating income, non-GAAP operating margin, non-GAAP interest and other (expense) income, net, non-GAAP income taxes and non-GAAP net income. These non-GAAP measures exclude the following items:</w:t>
      </w:r>
    </w:p>
    <w:p>
      <w:pPr>
        <w:spacing w:after="0" w:line="2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amortization of purchased intangible assets and other acquisition related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gain on sale of investment;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equity-based compensation expense;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Amdocs believes that the presentation of non-GAAP diluted earnings per share and other financial measures, including free cash flow, non-GAAP cost of service, non-GAAP research and development, non-GAAP selling, general and administrative, non-GAAP operating income, non-GAAP operating margin, non-GAAP interest and other (expense) income, net, non-GAAP income taxes and non-GAAP net income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4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For its internal budgeting process and in monitoring the results of the business, Amdocs’ management uses financial statements that do not include amortization of purchased</w:t>
      </w:r>
    </w:p>
    <w:p>
      <w:pPr>
        <w:sectPr>
          <w:pgSz w:w="11900" w:h="16838" w:orient="portrait"/>
          <w:cols w:equalWidth="0" w:num="1">
            <w:col w:w="11400"/>
          </w:cols>
          <w:pgMar w:left="240" w:top="274" w:right="259" w:bottom="1440" w:gutter="0" w:footer="0" w:header="0"/>
        </w:sectPr>
      </w:pPr>
    </w:p>
    <w:bookmarkStart w:id="8" w:name="page9"/>
    <w:bookmarkEnd w:id="8"/>
    <w:p>
      <w:pPr>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intangible assets and other acquisition related costs, gain on sale of investment,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9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interest and other (expense) income,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9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For 30 years, Amdocs has ensured service providers’ success and embraced their biggest challenges. To win in the connected world, service providers rely on Amdocs to simplify the customer experience, harness the data explosion, stay ahead with new services and improve operational efficiency. The global company uniquely combines a market-leading BSS, OSS and network control product portfolio with value-driven professional services and managed services operations. With revenue of $3.2 billion in fiscal 2012, Amdocs and its approximately 20,000 employees serve customers in more than 60 countries.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Amdocs: Embrace Challenge, Experience Success.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w:t>
      </w:r>
    </w:p>
    <w:p>
      <w:pPr>
        <w:sectPr>
          <w:pgSz w:w="11900" w:h="16838" w:orient="portrait"/>
          <w:cols w:equalWidth="0" w:num="1">
            <w:col w:w="11400"/>
          </w:cols>
          <w:pgMar w:left="240" w:top="280" w:right="259" w:bottom="1440" w:gutter="0" w:footer="0" w:header="0"/>
        </w:sectPr>
      </w:pPr>
    </w:p>
    <w:bookmarkStart w:id="9" w:name="page10"/>
    <w:bookmarkEnd w:id="9"/>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2012 filed on December 11, 2012 and our Form 6-K furnished for the first quarter of fiscal 2013 on February 12, 2013.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Elizabeth W. Grausam McDermon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Strategy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 # #</w:t>
      </w:r>
    </w:p>
    <w:p>
      <w:pPr>
        <w:sectPr>
          <w:pgSz w:w="11900" w:h="16838" w:orient="portrait"/>
          <w:cols w:equalWidth="0" w:num="1">
            <w:col w:w="11420"/>
          </w:cols>
          <w:pgMar w:left="240" w:top="2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17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7"/>
              </w:rPr>
              <w:t>Three months ended</w:t>
            </w:r>
          </w:p>
        </w:tc>
        <w:tc>
          <w:tcPr>
            <w:tcW w:w="100" w:type="dxa"/>
            <w:vAlign w:val="bottom"/>
          </w:tcPr>
          <w:p>
            <w:pPr>
              <w:spacing w:after="0"/>
              <w:rPr>
                <w:sz w:val="14"/>
                <w:szCs w:val="14"/>
                <w:color w:val="auto"/>
              </w:rPr>
            </w:pPr>
          </w:p>
        </w:tc>
        <w:tc>
          <w:tcPr>
            <w:tcW w:w="19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4"/>
                <w:szCs w:val="14"/>
                <w:color w:val="auto"/>
              </w:rPr>
            </w:pPr>
          </w:p>
        </w:tc>
        <w:tc>
          <w:tcPr>
            <w:tcW w:w="19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License</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21,901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26,238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40,817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811,037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782,690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1,618,480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1,553,904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832,938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808,928</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1,659,297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1,615,938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538,094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517,549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1,073,107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1,033,730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60,059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60,350</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119,419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102,683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106,842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210,143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1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13,320</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710,083</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699,056</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1,423,785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1,397,018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122,855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109,872</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235,512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5,286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121,098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115,158</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233,647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220,593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8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16,186</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13,288</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104,912</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101,870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203,927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194,601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gridSpan w:val="2"/>
            <w:vMerge w:val="continue"/>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0.64</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0.60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160,955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169,739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gridSpan w:val="2"/>
            <w:vMerge w:val="continue"/>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162,884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170,971</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163,239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172,397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7"/>
              </w:rPr>
              <w:t>Three months ended</w:t>
            </w:r>
          </w:p>
        </w:tc>
        <w:tc>
          <w:tcPr>
            <w:tcW w:w="100" w:type="dxa"/>
            <w:vAlign w:val="bottom"/>
          </w:tcPr>
          <w:p>
            <w:pPr>
              <w:spacing w:after="0"/>
              <w:rPr>
                <w:sz w:val="14"/>
                <w:szCs w:val="14"/>
                <w:color w:val="auto"/>
              </w:rPr>
            </w:pPr>
          </w:p>
        </w:tc>
        <w:tc>
          <w:tcPr>
            <w:tcW w:w="19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832,938</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2"/>
              </w:rPr>
              <w:t>808,928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1,659,297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1,615,938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280" w:type="dxa"/>
            <w:vAlign w:val="bottom"/>
            <w:gridSpan w:val="2"/>
          </w:tcPr>
          <w:p>
            <w:pPr>
              <w:spacing w:after="0"/>
              <w:rPr>
                <w:sz w:val="20"/>
                <w:szCs w:val="20"/>
                <w:color w:val="auto"/>
              </w:rPr>
            </w:pPr>
            <w:r>
              <w:rPr>
                <w:rFonts w:ascii="Arial" w:cs="Arial" w:eastAsia="Arial" w:hAnsi="Arial"/>
                <w:sz w:val="18"/>
                <w:szCs w:val="18"/>
                <w:color w:val="auto"/>
              </w:rPr>
              <w:t>Non-GAAP operating income</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140,169</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82"/>
              </w:rPr>
              <w:t>134,312</w:t>
            </w:r>
          </w:p>
        </w:tc>
        <w:tc>
          <w:tcPr>
            <w:tcW w:w="10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277,384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267,119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119,300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2"/>
              </w:rPr>
              <w:t>114,703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238,724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280" w:type="dxa"/>
            <w:vAlign w:val="bottom"/>
            <w:gridSpan w:val="2"/>
          </w:tcPr>
          <w:p>
            <w:pPr>
              <w:spacing w:after="0"/>
              <w:rPr>
                <w:sz w:val="20"/>
                <w:szCs w:val="20"/>
                <w:color w:val="auto"/>
              </w:rPr>
            </w:pPr>
            <w:r>
              <w:rPr>
                <w:rFonts w:ascii="Arial" w:cs="Arial" w:eastAsia="Arial" w:hAnsi="Arial"/>
                <w:sz w:val="18"/>
                <w:szCs w:val="18"/>
                <w:color w:val="auto"/>
              </w:rPr>
              <w:t>Non-GAAP diluted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0.73</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0.67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1.46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162,884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2"/>
              </w:rPr>
              <w:t>170,971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163,239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274" w:right="69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85"/>
              </w:rPr>
              <w:t>Three months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7"/>
          </w:tcPr>
          <w:p>
            <w:pPr>
              <w:jc w:val="center"/>
              <w:ind w:right="640"/>
              <w:spacing w:after="0"/>
              <w:rPr>
                <w:sz w:val="20"/>
                <w:szCs w:val="20"/>
                <w:color w:val="auto"/>
              </w:rPr>
            </w:pPr>
            <w:r>
              <w:rPr>
                <w:rFonts w:ascii="Arial" w:cs="Arial" w:eastAsia="Arial" w:hAnsi="Arial"/>
                <w:sz w:val="14"/>
                <w:szCs w:val="14"/>
                <w:b w:val="1"/>
                <w:bCs w:val="1"/>
                <w:color w:val="auto"/>
                <w:w w:val="88"/>
              </w:rPr>
              <w:t>March 31, 2013</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8"/>
          </w:tcPr>
          <w:p>
            <w:pPr>
              <w:jc w:val="center"/>
              <w:ind w:right="240"/>
              <w:spacing w:after="0" w:line="142" w:lineRule="exact"/>
              <w:rPr>
                <w:sz w:val="20"/>
                <w:szCs w:val="20"/>
                <w:color w:val="auto"/>
              </w:rPr>
            </w:pPr>
            <w:r>
              <w:rPr>
                <w:rFonts w:ascii="Arial" w:cs="Arial" w:eastAsia="Arial" w:hAnsi="Arial"/>
                <w:sz w:val="14"/>
                <w:szCs w:val="14"/>
                <w:b w:val="1"/>
                <w:bCs w:val="1"/>
                <w:color w:val="auto"/>
                <w:w w:val="85"/>
              </w:rPr>
              <w:t>Reconciliation items</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60" w:type="dxa"/>
            <w:vAlign w:val="bottom"/>
            <w:gridSpan w:val="7"/>
          </w:tcPr>
          <w:p>
            <w:pPr>
              <w:jc w:val="right"/>
              <w:ind w:right="600"/>
              <w:spacing w:after="0" w:line="129" w:lineRule="exact"/>
              <w:rPr>
                <w:sz w:val="20"/>
                <w:szCs w:val="20"/>
                <w:color w:val="auto"/>
              </w:rPr>
            </w:pPr>
            <w:r>
              <w:rPr>
                <w:rFonts w:ascii="Arial" w:cs="Arial" w:eastAsia="Arial" w:hAnsi="Arial"/>
                <w:sz w:val="14"/>
                <w:szCs w:val="14"/>
                <w:b w:val="1"/>
                <w:bCs w:val="1"/>
                <w:color w:val="auto"/>
              </w:rPr>
              <w:t>Amortization of</w:t>
            </w:r>
          </w:p>
        </w:tc>
        <w:tc>
          <w:tcPr>
            <w:tcW w:w="1260" w:type="dxa"/>
            <w:vAlign w:val="bottom"/>
            <w:gridSpan w:val="5"/>
          </w:tcPr>
          <w:p>
            <w:pPr>
              <w:ind w:left="20"/>
              <w:spacing w:after="0" w:line="129" w:lineRule="exact"/>
              <w:rPr>
                <w:sz w:val="20"/>
                <w:szCs w:val="20"/>
                <w:color w:val="auto"/>
              </w:rPr>
            </w:pPr>
            <w:r>
              <w:rPr>
                <w:rFonts w:ascii="Arial" w:cs="Arial" w:eastAsia="Arial" w:hAnsi="Arial"/>
                <w:sz w:val="14"/>
                <w:szCs w:val="14"/>
                <w:b w:val="1"/>
                <w:bCs w:val="1"/>
                <w:color w:val="auto"/>
              </w:rPr>
              <w:t>Equity based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gridSpan w:val="7"/>
          </w:tcPr>
          <w:p>
            <w:pPr>
              <w:spacing w:after="0" w:line="149" w:lineRule="exact"/>
              <w:rPr>
                <w:sz w:val="20"/>
                <w:szCs w:val="20"/>
                <w:color w:val="auto"/>
              </w:rPr>
            </w:pPr>
            <w:r>
              <w:rPr>
                <w:rFonts w:ascii="Arial" w:cs="Arial" w:eastAsia="Arial" w:hAnsi="Arial"/>
                <w:sz w:val="14"/>
                <w:szCs w:val="14"/>
                <w:b w:val="1"/>
                <w:bCs w:val="1"/>
                <w:color w:val="auto"/>
              </w:rPr>
              <w:t>purchased intangible</w:t>
            </w:r>
          </w:p>
        </w:tc>
        <w:tc>
          <w:tcPr>
            <w:tcW w:w="12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GAAP</w:t>
            </w:r>
          </w:p>
        </w:tc>
        <w:tc>
          <w:tcPr>
            <w:tcW w:w="360" w:type="dxa"/>
            <w:vAlign w:val="bottom"/>
          </w:tcPr>
          <w:p>
            <w:pPr>
              <w:spacing w:after="0"/>
              <w:rPr>
                <w:sz w:val="14"/>
                <w:szCs w:val="14"/>
                <w:color w:val="auto"/>
              </w:rPr>
            </w:pPr>
          </w:p>
        </w:tc>
        <w:tc>
          <w:tcPr>
            <w:tcW w:w="166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w w:val="93"/>
              </w:rPr>
              <w:t>assets and other</w:t>
            </w:r>
          </w:p>
        </w:tc>
        <w:tc>
          <w:tcPr>
            <w:tcW w:w="1260" w:type="dxa"/>
            <w:vAlign w:val="bottom"/>
            <w:gridSpan w:val="5"/>
          </w:tcPr>
          <w:p>
            <w:pPr>
              <w:ind w:left="180"/>
              <w:spacing w:after="0"/>
              <w:rPr>
                <w:sz w:val="20"/>
                <w:szCs w:val="20"/>
                <w:color w:val="auto"/>
              </w:rPr>
            </w:pPr>
            <w:r>
              <w:rPr>
                <w:rFonts w:ascii="Arial" w:cs="Arial" w:eastAsia="Arial" w:hAnsi="Arial"/>
                <w:sz w:val="14"/>
                <w:szCs w:val="14"/>
                <w:b w:val="1"/>
                <w:bCs w:val="1"/>
                <w:color w:val="auto"/>
              </w:rPr>
              <w:t>expense</w:t>
            </w: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rPr>
              <w:t>Tax effect</w:t>
            </w:r>
          </w:p>
        </w:tc>
        <w:tc>
          <w:tcPr>
            <w:tcW w:w="1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642</w:t>
            </w:r>
          </w:p>
        </w:tc>
        <w:tc>
          <w:tcPr>
            <w:tcW w:w="6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538,094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(4,470)</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533,624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60,059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(975)</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102,683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(3,264)</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w w:val="99"/>
              </w:rPr>
              <w:t>Amortization of purchased intangible assets and other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8,605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4"/>
          </w:tcPr>
          <w:p>
            <w:pPr>
              <w:jc w:val="right"/>
              <w:ind w:right="136"/>
              <w:spacing w:after="0"/>
              <w:rPr>
                <w:sz w:val="20"/>
                <w:szCs w:val="20"/>
                <w:color w:val="auto"/>
              </w:rPr>
            </w:pPr>
            <w:r>
              <w:rPr>
                <w:rFonts w:ascii="Arial" w:cs="Arial" w:eastAsia="Arial" w:hAnsi="Arial"/>
                <w:sz w:val="18"/>
                <w:szCs w:val="18"/>
                <w:color w:val="auto"/>
              </w:rPr>
              <w:t>(8,605)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710,083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36"/>
              <w:spacing w:after="0"/>
              <w:rPr>
                <w:sz w:val="20"/>
                <w:szCs w:val="20"/>
                <w:color w:val="auto"/>
              </w:rPr>
            </w:pPr>
            <w:r>
              <w:rPr>
                <w:rFonts w:ascii="Arial" w:cs="Arial" w:eastAsia="Arial" w:hAnsi="Arial"/>
                <w:sz w:val="18"/>
                <w:szCs w:val="18"/>
                <w:color w:val="auto"/>
              </w:rPr>
              <w:t>(8,605)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(8,709)</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692,769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122,855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96"/>
              <w:spacing w:after="0"/>
              <w:rPr>
                <w:sz w:val="20"/>
                <w:szCs w:val="20"/>
                <w:color w:val="auto"/>
              </w:rPr>
            </w:pPr>
            <w:r>
              <w:rPr>
                <w:rFonts w:ascii="Arial" w:cs="Arial" w:eastAsia="Arial" w:hAnsi="Arial"/>
                <w:sz w:val="18"/>
                <w:szCs w:val="18"/>
                <w:color w:val="auto"/>
                <w:w w:val="84"/>
              </w:rPr>
              <w:t>8,605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8,709</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140,169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2,926</w:t>
            </w:r>
          </w:p>
        </w:tc>
        <w:tc>
          <w:tcPr>
            <w:tcW w:w="28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gridSpan w:val="5"/>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104,912</w:t>
            </w:r>
          </w:p>
        </w:tc>
        <w:tc>
          <w:tcPr>
            <w:tcW w:w="6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96"/>
              <w:spacing w:after="0"/>
              <w:rPr>
                <w:sz w:val="20"/>
                <w:szCs w:val="20"/>
                <w:color w:val="auto"/>
              </w:rPr>
            </w:pPr>
            <w:r>
              <w:rPr>
                <w:rFonts w:ascii="Arial" w:cs="Arial" w:eastAsia="Arial" w:hAnsi="Arial"/>
                <w:sz w:val="18"/>
                <w:szCs w:val="18"/>
                <w:color w:val="auto"/>
                <w:w w:val="84"/>
              </w:rPr>
              <w:t>8,605</w:t>
            </w:r>
          </w:p>
        </w:tc>
        <w:tc>
          <w:tcPr>
            <w:tcW w:w="18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8,709</w:t>
            </w:r>
          </w:p>
        </w:tc>
        <w:tc>
          <w:tcPr>
            <w:tcW w:w="340" w:type="dxa"/>
            <w:vAlign w:val="bottom"/>
          </w:tcPr>
          <w:p>
            <w:pPr>
              <w:spacing w:after="0"/>
              <w:rPr>
                <w:sz w:val="19"/>
                <w:szCs w:val="19"/>
                <w:color w:val="auto"/>
              </w:rPr>
            </w:pPr>
          </w:p>
        </w:tc>
        <w:tc>
          <w:tcPr>
            <w:tcW w:w="860" w:type="dxa"/>
            <w:vAlign w:val="bottom"/>
            <w:gridSpan w:val="4"/>
          </w:tcPr>
          <w:p>
            <w:pPr>
              <w:spacing w:after="0"/>
              <w:rPr>
                <w:sz w:val="20"/>
                <w:szCs w:val="20"/>
                <w:color w:val="auto"/>
              </w:rPr>
            </w:pPr>
            <w:r>
              <w:rPr>
                <w:rFonts w:ascii="Arial" w:cs="Arial" w:eastAsia="Arial" w:hAnsi="Arial"/>
                <w:sz w:val="18"/>
                <w:szCs w:val="18"/>
                <w:color w:val="auto"/>
              </w:rPr>
              <w:t>$ (2,926)</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$ 119,300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6"/>
          </w:tcPr>
          <w:p>
            <w:pPr>
              <w:jc w:val="center"/>
              <w:spacing w:after="0"/>
              <w:rPr>
                <w:sz w:val="20"/>
                <w:szCs w:val="20"/>
                <w:color w:val="auto"/>
              </w:rPr>
            </w:pPr>
            <w:r>
              <w:rPr>
                <w:rFonts w:ascii="Arial" w:cs="Arial" w:eastAsia="Arial" w:hAnsi="Arial"/>
                <w:sz w:val="14"/>
                <w:szCs w:val="14"/>
                <w:b w:val="1"/>
                <w:bCs w:val="1"/>
                <w:color w:val="auto"/>
                <w:w w:val="85"/>
              </w:rPr>
              <w:t>Three months ended</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5"/>
          </w:tcPr>
          <w:p>
            <w:pPr>
              <w:jc w:val="center"/>
              <w:ind w:right="92"/>
              <w:spacing w:after="0"/>
              <w:rPr>
                <w:sz w:val="20"/>
                <w:szCs w:val="20"/>
                <w:color w:val="auto"/>
              </w:rPr>
            </w:pPr>
            <w:r>
              <w:rPr>
                <w:rFonts w:ascii="Arial" w:cs="Arial" w:eastAsia="Arial" w:hAnsi="Arial"/>
                <w:sz w:val="14"/>
                <w:szCs w:val="14"/>
                <w:b w:val="1"/>
                <w:bCs w:val="1"/>
                <w:color w:val="auto"/>
                <w:w w:val="90"/>
              </w:rPr>
              <w:t>March 31, 2012</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6"/>
          </w:tcPr>
          <w:p>
            <w:pPr>
              <w:jc w:val="center"/>
              <w:spacing w:after="0" w:line="142" w:lineRule="exact"/>
              <w:rPr>
                <w:sz w:val="20"/>
                <w:szCs w:val="20"/>
                <w:color w:val="auto"/>
              </w:rPr>
            </w:pPr>
            <w:r>
              <w:rPr>
                <w:rFonts w:ascii="Arial" w:cs="Arial" w:eastAsia="Arial" w:hAnsi="Arial"/>
                <w:sz w:val="14"/>
                <w:szCs w:val="14"/>
                <w:b w:val="1"/>
                <w:bCs w:val="1"/>
                <w:color w:val="auto"/>
                <w:w w:val="86"/>
              </w:rPr>
              <w:t>Reconciliation items</w:t>
            </w: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5"/>
          </w:tcPr>
          <w:p>
            <w:pPr>
              <w:jc w:val="right"/>
              <w:ind w:right="380"/>
              <w:spacing w:after="0" w:line="129" w:lineRule="exact"/>
              <w:rPr>
                <w:sz w:val="20"/>
                <w:szCs w:val="20"/>
                <w:color w:val="auto"/>
              </w:rPr>
            </w:pPr>
            <w:r>
              <w:rPr>
                <w:rFonts w:ascii="Arial" w:cs="Arial" w:eastAsia="Arial" w:hAnsi="Arial"/>
                <w:sz w:val="14"/>
                <w:szCs w:val="14"/>
                <w:b w:val="1"/>
                <w:bCs w:val="1"/>
                <w:color w:val="auto"/>
              </w:rPr>
              <w:t>Amortization of</w:t>
            </w:r>
          </w:p>
        </w:tc>
        <w:tc>
          <w:tcPr>
            <w:tcW w:w="160" w:type="dxa"/>
            <w:vAlign w:val="bottom"/>
          </w:tcPr>
          <w:p>
            <w:pPr>
              <w:spacing w:after="0"/>
              <w:rPr>
                <w:sz w:val="11"/>
                <w:szCs w:val="11"/>
                <w:color w:val="auto"/>
              </w:rPr>
            </w:pPr>
          </w:p>
        </w:tc>
        <w:tc>
          <w:tcPr>
            <w:tcW w:w="98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Equity based</w:t>
            </w:r>
          </w:p>
        </w:tc>
        <w:tc>
          <w:tcPr>
            <w:tcW w:w="220" w:type="dxa"/>
            <w:vAlign w:val="bottom"/>
          </w:tcPr>
          <w:p>
            <w:pPr>
              <w:spacing w:after="0"/>
              <w:rPr>
                <w:sz w:val="11"/>
                <w:szCs w:val="11"/>
                <w:color w:val="auto"/>
              </w:rPr>
            </w:pPr>
          </w:p>
        </w:tc>
        <w:tc>
          <w:tcPr>
            <w:tcW w:w="1040" w:type="dxa"/>
            <w:vAlign w:val="bottom"/>
            <w:gridSpan w:val="4"/>
          </w:tcPr>
          <w:p>
            <w:pPr>
              <w:jc w:val="center"/>
              <w:ind w:right="340"/>
              <w:spacing w:after="0" w:line="129" w:lineRule="exact"/>
              <w:rPr>
                <w:sz w:val="20"/>
                <w:szCs w:val="20"/>
                <w:color w:val="auto"/>
              </w:rPr>
            </w:pPr>
            <w:r>
              <w:rPr>
                <w:rFonts w:ascii="Arial" w:cs="Arial" w:eastAsia="Arial" w:hAnsi="Arial"/>
                <w:sz w:val="14"/>
                <w:szCs w:val="14"/>
                <w:b w:val="1"/>
                <w:bCs w:val="1"/>
                <w:color w:val="auto"/>
                <w:w w:val="84"/>
              </w:rPr>
              <w:t>Gain on sale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purchased intangible</w:t>
            </w:r>
          </w:p>
        </w:tc>
        <w:tc>
          <w:tcPr>
            <w:tcW w:w="160" w:type="dxa"/>
            <w:vAlign w:val="bottom"/>
          </w:tcPr>
          <w:p>
            <w:pPr>
              <w:spacing w:after="0"/>
              <w:rPr>
                <w:sz w:val="12"/>
                <w:szCs w:val="12"/>
                <w:color w:val="auto"/>
              </w:rPr>
            </w:pPr>
          </w:p>
        </w:tc>
        <w:tc>
          <w:tcPr>
            <w:tcW w:w="9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75"/>
              </w:rPr>
              <w:t>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b w:val="1"/>
                <w:bCs w:val="1"/>
                <w:color w:val="auto"/>
              </w:rPr>
              <w:t>GAAP</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3"/>
              </w:rPr>
              <w:t>assets and other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5"/>
              </w:rPr>
              <w:t>expense</w:t>
            </w:r>
          </w:p>
        </w:tc>
        <w:tc>
          <w:tcPr>
            <w:tcW w:w="220" w:type="dxa"/>
            <w:vAlign w:val="bottom"/>
          </w:tcPr>
          <w:p>
            <w:pPr>
              <w:spacing w:after="0"/>
              <w:rPr>
                <w:sz w:val="14"/>
                <w:szCs w:val="14"/>
                <w:color w:val="auto"/>
              </w:rPr>
            </w:pPr>
          </w:p>
        </w:tc>
        <w:tc>
          <w:tcPr>
            <w:tcW w:w="10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3"/>
              </w:rPr>
              <w:t>investment</w:t>
            </w:r>
          </w:p>
        </w:tc>
        <w:tc>
          <w:tcPr>
            <w:tcW w:w="6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Tax effect</w:t>
            </w:r>
          </w:p>
        </w:tc>
        <w:tc>
          <w:tcPr>
            <w:tcW w:w="1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8"/>
                <w:szCs w:val="18"/>
                <w:color w:val="auto"/>
              </w:rPr>
            </w:pPr>
          </w:p>
        </w:tc>
        <w:tc>
          <w:tcPr>
            <w:tcW w:w="4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517,549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511,786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60,350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(1,172)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106,842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w w:val="99"/>
              </w:rPr>
              <w:t>Amortization of purchased intangible assets and 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(13,320)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699,056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(13,320)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(11,120)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674,616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109,872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13,320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11,120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134,312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(6,270)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w w:val="74"/>
              </w:rPr>
              <w:t>5,337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101,870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13,320</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11,120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(6,270)</w:t>
            </w:r>
          </w:p>
        </w:tc>
        <w:tc>
          <w:tcPr>
            <w:tcW w:w="8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 (5,337)</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$ 114,703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4"/>
              </w:rPr>
              <w:t>Six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500"/>
              <w:spacing w:after="0"/>
              <w:rPr>
                <w:sz w:val="20"/>
                <w:szCs w:val="20"/>
                <w:color w:val="auto"/>
              </w:rPr>
            </w:pPr>
            <w:r>
              <w:rPr>
                <w:rFonts w:ascii="Arial" w:cs="Arial" w:eastAsia="Arial" w:hAnsi="Arial"/>
                <w:sz w:val="14"/>
                <w:szCs w:val="14"/>
                <w:b w:val="1"/>
                <w:bCs w:val="1"/>
                <w:color w:val="auto"/>
                <w:w w:val="90"/>
              </w:rPr>
              <w:t>March 31, 2013</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6"/>
          </w:tcPr>
          <w:p>
            <w:pPr>
              <w:jc w:val="center"/>
              <w:ind w:left="577"/>
              <w:spacing w:after="0" w:line="142" w:lineRule="exact"/>
              <w:rPr>
                <w:sz w:val="20"/>
                <w:szCs w:val="20"/>
                <w:color w:val="auto"/>
              </w:rPr>
            </w:pPr>
            <w:r>
              <w:rPr>
                <w:rFonts w:ascii="Arial" w:cs="Arial" w:eastAsia="Arial" w:hAnsi="Arial"/>
                <w:sz w:val="14"/>
                <w:szCs w:val="14"/>
                <w:b w:val="1"/>
                <w:bCs w:val="1"/>
                <w:color w:val="auto"/>
                <w:w w:val="85"/>
              </w:rPr>
              <w:t>Reconciliation items</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Amortization of</w:t>
            </w:r>
          </w:p>
        </w:tc>
        <w:tc>
          <w:tcPr>
            <w:tcW w:w="380" w:type="dxa"/>
            <w:vAlign w:val="bottom"/>
          </w:tcPr>
          <w:p>
            <w:pPr>
              <w:spacing w:after="0"/>
              <w:rPr>
                <w:sz w:val="11"/>
                <w:szCs w:val="11"/>
                <w:color w:val="auto"/>
              </w:rPr>
            </w:pPr>
          </w:p>
        </w:tc>
        <w:tc>
          <w:tcPr>
            <w:tcW w:w="1060" w:type="dxa"/>
            <w:vAlign w:val="bottom"/>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87"/>
              </w:rPr>
              <w:t>Equity based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purchased intangible</w:t>
            </w:r>
          </w:p>
        </w:tc>
        <w:tc>
          <w:tcPr>
            <w:tcW w:w="38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GAAP</w:t>
            </w:r>
          </w:p>
        </w:tc>
        <w:tc>
          <w:tcPr>
            <w:tcW w:w="10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assets and other</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2"/>
              </w:rPr>
              <w:t>expense</w:t>
            </w:r>
          </w:p>
        </w:tc>
        <w:tc>
          <w:tcPr>
            <w:tcW w:w="2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Tax effect</w:t>
            </w:r>
          </w:p>
        </w:tc>
        <w:tc>
          <w:tcPr>
            <w:tcW w:w="20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1,278</w:t>
            </w: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1,073,107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1,063,604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119,419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210,143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19,838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left="457"/>
              <w:spacing w:after="0"/>
              <w:rPr>
                <w:sz w:val="20"/>
                <w:szCs w:val="20"/>
                <w:color w:val="auto"/>
              </w:rPr>
            </w:pPr>
            <w:r>
              <w:rPr>
                <w:rFonts w:ascii="Arial" w:cs="Arial" w:eastAsia="Arial" w:hAnsi="Arial"/>
                <w:sz w:val="18"/>
                <w:szCs w:val="18"/>
                <w:color w:val="auto"/>
                <w:w w:val="89"/>
              </w:rPr>
              <w:t>(19,838)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1,423,785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left="457"/>
              <w:spacing w:after="0"/>
              <w:rPr>
                <w:sz w:val="20"/>
                <w:szCs w:val="20"/>
                <w:color w:val="auto"/>
              </w:rPr>
            </w:pPr>
            <w:r>
              <w:rPr>
                <w:rFonts w:ascii="Arial" w:cs="Arial" w:eastAsia="Arial" w:hAnsi="Arial"/>
                <w:sz w:val="18"/>
                <w:szCs w:val="18"/>
                <w:color w:val="auto"/>
                <w:w w:val="89"/>
              </w:rPr>
              <w:t>(19,838)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1,381,913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235,512</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center"/>
              <w:ind w:left="537"/>
              <w:spacing w:after="0"/>
              <w:rPr>
                <w:sz w:val="20"/>
                <w:szCs w:val="20"/>
                <w:color w:val="auto"/>
              </w:rPr>
            </w:pPr>
            <w:r>
              <w:rPr>
                <w:rFonts w:ascii="Arial" w:cs="Arial" w:eastAsia="Arial" w:hAnsi="Arial"/>
                <w:sz w:val="18"/>
                <w:szCs w:val="18"/>
                <w:color w:val="auto"/>
                <w:w w:val="87"/>
              </w:rPr>
              <w:t>19,838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22,034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277,384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29,720</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7,075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203,927</w:t>
            </w:r>
          </w:p>
        </w:tc>
        <w:tc>
          <w:tcPr>
            <w:tcW w:w="4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tcPr>
          <w:p>
            <w:pPr>
              <w:jc w:val="center"/>
              <w:ind w:left="537"/>
              <w:spacing w:after="0"/>
              <w:rPr>
                <w:sz w:val="20"/>
                <w:szCs w:val="20"/>
                <w:color w:val="auto"/>
              </w:rPr>
            </w:pPr>
            <w:r>
              <w:rPr>
                <w:rFonts w:ascii="Arial" w:cs="Arial" w:eastAsia="Arial" w:hAnsi="Arial"/>
                <w:sz w:val="18"/>
                <w:szCs w:val="18"/>
                <w:color w:val="auto"/>
                <w:w w:val="87"/>
              </w:rPr>
              <w:t>19,838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22,034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(7,075)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238,724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center"/>
              <w:ind w:right="42"/>
              <w:spacing w:after="0"/>
              <w:rPr>
                <w:sz w:val="20"/>
                <w:szCs w:val="20"/>
                <w:color w:val="auto"/>
              </w:rPr>
            </w:pPr>
            <w:r>
              <w:rPr>
                <w:rFonts w:ascii="Arial" w:cs="Arial" w:eastAsia="Arial" w:hAnsi="Arial"/>
                <w:sz w:val="14"/>
                <w:szCs w:val="14"/>
                <w:b w:val="1"/>
                <w:bCs w:val="1"/>
                <w:color w:val="auto"/>
                <w:w w:val="84"/>
              </w:rPr>
              <w:t>Six months ended</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2012</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5"/>
              </w:rPr>
              <w:t>Reconciliation items</w:t>
            </w:r>
          </w:p>
        </w:tc>
        <w:tc>
          <w:tcPr>
            <w:tcW w:w="5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1"/>
              </w:rPr>
              <w:t>Amortization of</w:t>
            </w:r>
          </w:p>
        </w:tc>
        <w:tc>
          <w:tcPr>
            <w:tcW w:w="160" w:type="dxa"/>
            <w:vAlign w:val="bottom"/>
          </w:tcPr>
          <w:p>
            <w:pPr>
              <w:spacing w:after="0"/>
              <w:rPr>
                <w:sz w:val="11"/>
                <w:szCs w:val="11"/>
                <w:color w:val="auto"/>
              </w:rPr>
            </w:pPr>
          </w:p>
        </w:tc>
        <w:tc>
          <w:tcPr>
            <w:tcW w:w="1180" w:type="dxa"/>
            <w:vAlign w:val="bottom"/>
            <w:gridSpan w:val="3"/>
          </w:tcPr>
          <w:p>
            <w:pPr>
              <w:jc w:val="right"/>
              <w:ind w:right="400"/>
              <w:spacing w:after="0" w:line="129" w:lineRule="exact"/>
              <w:rPr>
                <w:sz w:val="20"/>
                <w:szCs w:val="20"/>
                <w:color w:val="auto"/>
              </w:rPr>
            </w:pPr>
            <w:r>
              <w:rPr>
                <w:rFonts w:ascii="Arial" w:cs="Arial" w:eastAsia="Arial" w:hAnsi="Arial"/>
                <w:sz w:val="14"/>
                <w:szCs w:val="14"/>
                <w:b w:val="1"/>
                <w:bCs w:val="1"/>
                <w:color w:val="auto"/>
                <w:w w:val="87"/>
              </w:rPr>
              <w:t>Equity based</w:t>
            </w: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Gain on sale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purchased intangible</w:t>
            </w:r>
          </w:p>
        </w:tc>
        <w:tc>
          <w:tcPr>
            <w:tcW w:w="16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60" w:type="dxa"/>
            <w:vAlign w:val="bottom"/>
          </w:tcPr>
          <w:p>
            <w:pPr>
              <w:spacing w:after="0"/>
              <w:rPr>
                <w:sz w:val="12"/>
                <w:szCs w:val="12"/>
                <w:color w:val="auto"/>
              </w:rPr>
            </w:pPr>
          </w:p>
        </w:tc>
        <w:tc>
          <w:tcPr>
            <w:tcW w:w="9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of</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GAAP</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4"/>
              </w:rPr>
              <w:t>assets and other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expense</w:t>
            </w: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investment</w:t>
            </w:r>
          </w:p>
        </w:tc>
        <w:tc>
          <w:tcPr>
            <w:tcW w:w="10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1"/>
              </w:rPr>
              <w:t>Tax effect</w:t>
            </w:r>
          </w:p>
        </w:tc>
        <w:tc>
          <w:tcPr>
            <w:tcW w:w="9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Non-GAAP</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1,926</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1,033,730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(11,366)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1,022,364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121,657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(2,213)</w:t>
            </w:r>
          </w:p>
        </w:tc>
        <w:tc>
          <w:tcPr>
            <w:tcW w:w="16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119,444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213,179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(8,094)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205,085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6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26,526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(26,526)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1,397,018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(21,673)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1,348,819</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218,920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26,526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21,673</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267,119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(6,270)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(4,597)</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25,992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10,573</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36,565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194,601</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26,526</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(6,270)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(10,573)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14"/>
              <w:spacing w:after="0" w:line="129" w:lineRule="exact"/>
              <w:rPr>
                <w:sz w:val="20"/>
                <w:szCs w:val="20"/>
                <w:color w:val="auto"/>
              </w:rPr>
            </w:pPr>
            <w:r>
              <w:rPr>
                <w:rFonts w:ascii="Arial" w:cs="Arial" w:eastAsia="Arial" w:hAnsi="Arial"/>
                <w:sz w:val="14"/>
                <w:szCs w:val="14"/>
                <w:b w:val="1"/>
                <w:bCs w:val="1"/>
                <w:color w:val="auto"/>
                <w:w w:val="89"/>
              </w:rPr>
              <w:t>March 31,</w:t>
            </w:r>
          </w:p>
        </w:tc>
        <w:tc>
          <w:tcPr>
            <w:tcW w:w="44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8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76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978,157</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1,118,177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Accounts receivable, net, including unbilled of $124,415 and $130,697, respectively</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669,531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687,223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receivable</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123,428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166,347</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1,937,463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2,041,070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600" w:type="dxa"/>
            <w:vAlign w:val="bottom"/>
            <w:gridSpan w:val="2"/>
          </w:tcPr>
          <w:p>
            <w:pPr>
              <w:spacing w:after="0"/>
              <w:rPr>
                <w:sz w:val="20"/>
                <w:szCs w:val="20"/>
                <w:color w:val="auto"/>
              </w:rPr>
            </w:pPr>
            <w:r>
              <w:rPr>
                <w:rFonts w:ascii="Arial" w:cs="Arial" w:eastAsia="Arial" w:hAnsi="Arial"/>
                <w:sz w:val="18"/>
                <w:szCs w:val="18"/>
                <w:color w:val="auto"/>
              </w:rPr>
              <w:t>Equipment and leasehold improvements, net</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268,962</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277,907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 net</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1,862,805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1,883,064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424,447</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4,493,677</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4,645,223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0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5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Accounts payable, accruals and other</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587,551</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690,823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Short-term financing arrangements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Deferred revenue</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160,681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payable</w:t>
            </w:r>
          </w:p>
        </w:tc>
        <w:tc>
          <w:tcPr>
            <w:tcW w:w="1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33,126</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781,358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1,065,558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562,747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Shareholders’ equity</w:t>
            </w:r>
          </w:p>
        </w:tc>
        <w:tc>
          <w:tcPr>
            <w:tcW w:w="1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3,149,572</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3,033,202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4,493,677</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4,645,223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5"/>
              </w:rPr>
              <w:t>Six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203,927</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194,601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73,623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79,873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Equity-based compensation expense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equity-based compensation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Gain on sale of investment</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short-term interest-bearing investments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Net changes in operating assets and liabilities: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(26,919)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Accounts payable, accrued expenses and accrued personnel</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(72,007)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265,534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224,482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(58,366)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144,612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210,703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Purchase of short-term interest-bearing investments</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(223,077)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(192,857)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from sale of investment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(3,599)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(4,429)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(140,430)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(30,517)</w:t>
            </w:r>
          </w:p>
        </w:tc>
        <w:tc>
          <w:tcPr>
            <w:tcW w:w="0" w:type="dxa"/>
            <w:vAlign w:val="bottom"/>
          </w:tcPr>
          <w:p>
            <w:pPr>
              <w:spacing w:after="0"/>
              <w:rPr>
                <w:sz w:val="1"/>
                <w:szCs w:val="1"/>
                <w:color w:val="auto"/>
              </w:rPr>
            </w:pPr>
          </w:p>
        </w:tc>
      </w:tr>
      <w:tr>
        <w:trPr>
          <w:trHeight w:val="221"/>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Repurchase of shares</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(212,512)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(256,545)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exercised</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112,849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Payments of dividends</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(42,152)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capital lease and other</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(342,474)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(453,078)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(217,370)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(259,113)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879,158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831,371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661,788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572,258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8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8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June 30,</w:t>
            </w:r>
          </w:p>
        </w:tc>
        <w:tc>
          <w:tcPr>
            <w:tcW w:w="5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2013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79"/>
              <w:spacing w:after="0"/>
              <w:rPr>
                <w:sz w:val="20"/>
                <w:szCs w:val="20"/>
                <w:color w:val="auto"/>
              </w:rPr>
            </w:pPr>
            <w:r>
              <w:rPr>
                <w:rFonts w:ascii="Arial" w:cs="Arial" w:eastAsia="Arial" w:hAnsi="Arial"/>
                <w:sz w:val="14"/>
                <w:szCs w:val="14"/>
                <w:b w:val="1"/>
                <w:bCs w:val="1"/>
                <w:color w:val="auto"/>
                <w:w w:val="83"/>
              </w:rPr>
              <w:t>2012</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4"/>
              <w:spacing w:after="0"/>
              <w:rPr>
                <w:sz w:val="20"/>
                <w:szCs w:val="20"/>
                <w:color w:val="auto"/>
              </w:rPr>
            </w:pPr>
            <w:r>
              <w:rPr>
                <w:rFonts w:ascii="Arial" w:cs="Arial" w:eastAsia="Arial" w:hAnsi="Arial"/>
                <w:sz w:val="14"/>
                <w:szCs w:val="14"/>
                <w:b w:val="1"/>
                <w:bCs w:val="1"/>
                <w:color w:val="auto"/>
                <w:w w:val="83"/>
              </w:rPr>
              <w:t>2012</w:t>
            </w:r>
          </w:p>
        </w:tc>
        <w:tc>
          <w:tcPr>
            <w:tcW w:w="260" w:type="dxa"/>
            <w:vAlign w:val="bottom"/>
          </w:tcPr>
          <w:p>
            <w:pPr>
              <w:spacing w:after="0"/>
              <w:rPr>
                <w:sz w:val="14"/>
                <w:szCs w:val="14"/>
                <w:color w:val="auto"/>
              </w:rPr>
            </w:pPr>
          </w:p>
        </w:tc>
        <w:tc>
          <w:tcPr>
            <w:tcW w:w="720" w:type="dxa"/>
            <w:vAlign w:val="bottom"/>
            <w:gridSpan w:val="2"/>
          </w:tcPr>
          <w:p>
            <w:pPr>
              <w:jc w:val="center"/>
              <w:ind w:left="142"/>
              <w:spacing w:after="0"/>
              <w:rPr>
                <w:sz w:val="20"/>
                <w:szCs w:val="20"/>
                <w:color w:val="auto"/>
              </w:rPr>
            </w:pPr>
            <w:r>
              <w:rPr>
                <w:rFonts w:ascii="Arial" w:cs="Arial" w:eastAsia="Arial" w:hAnsi="Arial"/>
                <w:sz w:val="14"/>
                <w:szCs w:val="14"/>
                <w:b w:val="1"/>
                <w:bCs w:val="1"/>
                <w:color w:val="auto"/>
                <w:w w:val="83"/>
              </w:rPr>
              <w:t>2012</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601.3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$558.7</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Europe</w:t>
            </w:r>
          </w:p>
        </w:tc>
        <w:tc>
          <w:tcPr>
            <w:tcW w:w="1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99.3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113.1</w:t>
            </w: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132.3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138.6</w:t>
            </w: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143.6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2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832.9</w:t>
            </w:r>
          </w:p>
        </w:tc>
        <w:tc>
          <w:tcPr>
            <w:tcW w:w="4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826.4</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822.1</w:t>
            </w: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808.8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September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2"/>
              </w:rPr>
              <w:t>30,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June 30,</w:t>
            </w: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2013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79"/>
              <w:spacing w:after="0"/>
              <w:rPr>
                <w:sz w:val="20"/>
                <w:szCs w:val="20"/>
                <w:color w:val="auto"/>
              </w:rPr>
            </w:pPr>
            <w:r>
              <w:rPr>
                <w:rFonts w:ascii="Arial" w:cs="Arial" w:eastAsia="Arial" w:hAnsi="Arial"/>
                <w:sz w:val="14"/>
                <w:szCs w:val="14"/>
                <w:b w:val="1"/>
                <w:bCs w:val="1"/>
                <w:color w:val="auto"/>
                <w:w w:val="83"/>
              </w:rPr>
              <w:t>2012</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4"/>
              <w:spacing w:after="0"/>
              <w:rPr>
                <w:sz w:val="20"/>
                <w:szCs w:val="20"/>
                <w:color w:val="auto"/>
              </w:rPr>
            </w:pPr>
            <w:r>
              <w:rPr>
                <w:rFonts w:ascii="Arial" w:cs="Arial" w:eastAsia="Arial" w:hAnsi="Arial"/>
                <w:sz w:val="14"/>
                <w:szCs w:val="14"/>
                <w:b w:val="1"/>
                <w:bCs w:val="1"/>
                <w:color w:val="auto"/>
                <w:w w:val="83"/>
              </w:rPr>
              <w:t>2012</w:t>
            </w:r>
          </w:p>
        </w:tc>
        <w:tc>
          <w:tcPr>
            <w:tcW w:w="260" w:type="dxa"/>
            <w:vAlign w:val="bottom"/>
          </w:tcPr>
          <w:p>
            <w:pPr>
              <w:spacing w:after="0"/>
              <w:rPr>
                <w:sz w:val="14"/>
                <w:szCs w:val="14"/>
                <w:color w:val="auto"/>
              </w:rPr>
            </w:pPr>
          </w:p>
        </w:tc>
        <w:tc>
          <w:tcPr>
            <w:tcW w:w="720" w:type="dxa"/>
            <w:vAlign w:val="bottom"/>
            <w:gridSpan w:val="2"/>
          </w:tcPr>
          <w:p>
            <w:pPr>
              <w:jc w:val="center"/>
              <w:ind w:left="142"/>
              <w:spacing w:after="0"/>
              <w:rPr>
                <w:sz w:val="20"/>
                <w:szCs w:val="20"/>
                <w:color w:val="auto"/>
              </w:rPr>
            </w:pPr>
            <w:r>
              <w:rPr>
                <w:rFonts w:ascii="Arial" w:cs="Arial" w:eastAsia="Arial" w:hAnsi="Arial"/>
                <w:sz w:val="14"/>
                <w:szCs w:val="14"/>
                <w:b w:val="1"/>
                <w:bCs w:val="1"/>
                <w:color w:val="auto"/>
                <w:w w:val="83"/>
              </w:rPr>
              <w:t>2012</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Emerging Markets Revenue</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101.7</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September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2"/>
              </w:rPr>
              <w:t>30,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June 30,</w:t>
            </w: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2013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79"/>
              <w:spacing w:after="0"/>
              <w:rPr>
                <w:sz w:val="20"/>
                <w:szCs w:val="20"/>
                <w:color w:val="auto"/>
              </w:rPr>
            </w:pPr>
            <w:r>
              <w:rPr>
                <w:rFonts w:ascii="Arial" w:cs="Arial" w:eastAsia="Arial" w:hAnsi="Arial"/>
                <w:sz w:val="14"/>
                <w:szCs w:val="14"/>
                <w:b w:val="1"/>
                <w:bCs w:val="1"/>
                <w:color w:val="auto"/>
                <w:w w:val="83"/>
              </w:rPr>
              <w:t>2012</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4"/>
              <w:spacing w:after="0"/>
              <w:rPr>
                <w:sz w:val="20"/>
                <w:szCs w:val="20"/>
                <w:color w:val="auto"/>
              </w:rPr>
            </w:pPr>
            <w:r>
              <w:rPr>
                <w:rFonts w:ascii="Arial" w:cs="Arial" w:eastAsia="Arial" w:hAnsi="Arial"/>
                <w:sz w:val="14"/>
                <w:szCs w:val="14"/>
                <w:b w:val="1"/>
                <w:bCs w:val="1"/>
                <w:color w:val="auto"/>
                <w:w w:val="83"/>
              </w:rPr>
              <w:t>2012</w:t>
            </w:r>
          </w:p>
        </w:tc>
        <w:tc>
          <w:tcPr>
            <w:tcW w:w="260" w:type="dxa"/>
            <w:vAlign w:val="bottom"/>
          </w:tcPr>
          <w:p>
            <w:pPr>
              <w:spacing w:after="0"/>
              <w:rPr>
                <w:sz w:val="14"/>
                <w:szCs w:val="14"/>
                <w:color w:val="auto"/>
              </w:rPr>
            </w:pPr>
          </w:p>
        </w:tc>
        <w:tc>
          <w:tcPr>
            <w:tcW w:w="720" w:type="dxa"/>
            <w:vAlign w:val="bottom"/>
            <w:gridSpan w:val="2"/>
          </w:tcPr>
          <w:p>
            <w:pPr>
              <w:jc w:val="center"/>
              <w:ind w:left="142"/>
              <w:spacing w:after="0"/>
              <w:rPr>
                <w:sz w:val="20"/>
                <w:szCs w:val="20"/>
                <w:color w:val="auto"/>
              </w:rPr>
            </w:pPr>
            <w:r>
              <w:rPr>
                <w:rFonts w:ascii="Arial" w:cs="Arial" w:eastAsia="Arial" w:hAnsi="Arial"/>
                <w:sz w:val="14"/>
                <w:szCs w:val="14"/>
                <w:b w:val="1"/>
                <w:bCs w:val="1"/>
                <w:color w:val="auto"/>
                <w:w w:val="83"/>
              </w:rPr>
              <w:t>2012</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Managed Services Revenue</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439.8</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426.8</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September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2"/>
              </w:rPr>
              <w:t>30,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June 30,</w:t>
            </w: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2013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79"/>
              <w:spacing w:after="0"/>
              <w:rPr>
                <w:sz w:val="20"/>
                <w:szCs w:val="20"/>
                <w:color w:val="auto"/>
              </w:rPr>
            </w:pPr>
            <w:r>
              <w:rPr>
                <w:rFonts w:ascii="Arial" w:cs="Arial" w:eastAsia="Arial" w:hAnsi="Arial"/>
                <w:sz w:val="14"/>
                <w:szCs w:val="14"/>
                <w:b w:val="1"/>
                <w:bCs w:val="1"/>
                <w:color w:val="auto"/>
                <w:w w:val="83"/>
              </w:rPr>
              <w:t>2012</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4"/>
              <w:spacing w:after="0"/>
              <w:rPr>
                <w:sz w:val="20"/>
                <w:szCs w:val="20"/>
                <w:color w:val="auto"/>
              </w:rPr>
            </w:pPr>
            <w:r>
              <w:rPr>
                <w:rFonts w:ascii="Arial" w:cs="Arial" w:eastAsia="Arial" w:hAnsi="Arial"/>
                <w:sz w:val="14"/>
                <w:szCs w:val="14"/>
                <w:b w:val="1"/>
                <w:bCs w:val="1"/>
                <w:color w:val="auto"/>
                <w:w w:val="83"/>
              </w:rPr>
              <w:t>2012</w:t>
            </w:r>
          </w:p>
        </w:tc>
        <w:tc>
          <w:tcPr>
            <w:tcW w:w="260" w:type="dxa"/>
            <w:vAlign w:val="bottom"/>
          </w:tcPr>
          <w:p>
            <w:pPr>
              <w:spacing w:after="0"/>
              <w:rPr>
                <w:sz w:val="14"/>
                <w:szCs w:val="14"/>
                <w:color w:val="auto"/>
              </w:rPr>
            </w:pPr>
          </w:p>
        </w:tc>
        <w:tc>
          <w:tcPr>
            <w:tcW w:w="720" w:type="dxa"/>
            <w:vAlign w:val="bottom"/>
            <w:gridSpan w:val="2"/>
          </w:tcPr>
          <w:p>
            <w:pPr>
              <w:jc w:val="center"/>
              <w:ind w:left="142"/>
              <w:spacing w:after="0"/>
              <w:rPr>
                <w:sz w:val="20"/>
                <w:szCs w:val="20"/>
                <w:color w:val="auto"/>
              </w:rPr>
            </w:pPr>
            <w:r>
              <w:rPr>
                <w:rFonts w:ascii="Arial" w:cs="Arial" w:eastAsia="Arial" w:hAnsi="Arial"/>
                <w:sz w:val="14"/>
                <w:szCs w:val="14"/>
                <w:b w:val="1"/>
                <w:bCs w:val="1"/>
                <w:color w:val="auto"/>
                <w:w w:val="83"/>
              </w:rPr>
              <w:t>2012</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Experience Systems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789.3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783.1</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$766.2</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758.9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Directory</w:t>
            </w:r>
          </w:p>
        </w:tc>
        <w:tc>
          <w:tcPr>
            <w:tcW w:w="1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43.6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39.0</w:t>
            </w: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832.9</w:t>
            </w:r>
          </w:p>
        </w:tc>
        <w:tc>
          <w:tcPr>
            <w:tcW w:w="4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826.4</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822.1</w:t>
            </w:r>
          </w:p>
        </w:tc>
        <w:tc>
          <w:tcPr>
            <w:tcW w:w="120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808.8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w:t>
            </w: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September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2"/>
              </w:rPr>
              <w:t>30,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June 30,</w:t>
            </w: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2013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79"/>
              <w:spacing w:after="0"/>
              <w:rPr>
                <w:sz w:val="20"/>
                <w:szCs w:val="20"/>
                <w:color w:val="auto"/>
              </w:rPr>
            </w:pPr>
            <w:r>
              <w:rPr>
                <w:rFonts w:ascii="Arial" w:cs="Arial" w:eastAsia="Arial" w:hAnsi="Arial"/>
                <w:sz w:val="14"/>
                <w:szCs w:val="14"/>
                <w:b w:val="1"/>
                <w:bCs w:val="1"/>
                <w:color w:val="auto"/>
                <w:w w:val="83"/>
              </w:rPr>
              <w:t>2012</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4"/>
              <w:spacing w:after="0"/>
              <w:rPr>
                <w:sz w:val="20"/>
                <w:szCs w:val="20"/>
                <w:color w:val="auto"/>
              </w:rPr>
            </w:pPr>
            <w:r>
              <w:rPr>
                <w:rFonts w:ascii="Arial" w:cs="Arial" w:eastAsia="Arial" w:hAnsi="Arial"/>
                <w:sz w:val="14"/>
                <w:szCs w:val="14"/>
                <w:b w:val="1"/>
                <w:bCs w:val="1"/>
                <w:color w:val="auto"/>
                <w:w w:val="83"/>
              </w:rPr>
              <w:t>2012</w:t>
            </w:r>
          </w:p>
        </w:tc>
        <w:tc>
          <w:tcPr>
            <w:tcW w:w="260" w:type="dxa"/>
            <w:vAlign w:val="bottom"/>
          </w:tcPr>
          <w:p>
            <w:pPr>
              <w:spacing w:after="0"/>
              <w:rPr>
                <w:sz w:val="14"/>
                <w:szCs w:val="14"/>
                <w:color w:val="auto"/>
              </w:rPr>
            </w:pPr>
          </w:p>
        </w:tc>
        <w:tc>
          <w:tcPr>
            <w:tcW w:w="720" w:type="dxa"/>
            <w:vAlign w:val="bottom"/>
            <w:gridSpan w:val="2"/>
          </w:tcPr>
          <w:p>
            <w:pPr>
              <w:jc w:val="center"/>
              <w:ind w:left="142"/>
              <w:spacing w:after="0"/>
              <w:rPr>
                <w:sz w:val="20"/>
                <w:szCs w:val="20"/>
                <w:color w:val="auto"/>
              </w:rPr>
            </w:pPr>
            <w:r>
              <w:rPr>
                <w:rFonts w:ascii="Arial" w:cs="Arial" w:eastAsia="Arial" w:hAnsi="Arial"/>
                <w:sz w:val="14"/>
                <w:szCs w:val="14"/>
                <w:b w:val="1"/>
                <w:bCs w:val="1"/>
                <w:color w:val="auto"/>
                <w:w w:val="83"/>
              </w:rPr>
              <w:t>2012</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12-Month Backlog</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2,810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2,760</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 #</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2019-12-06T20:56:14Z</dcterms:created>
  <dcterms:modified xsi:type="dcterms:W3CDTF">2019-12-06T20:56:14Z</dcterms:modified>
</cp:coreProperties>
</file>