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80"/>
        <w:spacing w:after="0"/>
        <w:rPr>
          <w:sz w:val="20"/>
          <w:szCs w:val="20"/>
          <w:color w:val="auto"/>
        </w:rPr>
      </w:pPr>
      <w:r>
        <w:rPr>
          <w:rFonts w:ascii="Arial" w:cs="Arial" w:eastAsia="Arial" w:hAnsi="Arial"/>
          <w:sz w:val="22"/>
          <w:szCs w:val="22"/>
          <w:b w:val="1"/>
          <w:bCs w:val="1"/>
          <w:color w:val="auto"/>
        </w:rPr>
        <w:t>PURSUANT TO RULE 13a-16 OR 15d-16 OF</w:t>
      </w: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For the Quarter Ended March 31, 2019</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00"/>
        <w:spacing w:after="0" w:line="207" w:lineRule="exact"/>
        <w:tabs>
          <w:tab w:leader="none" w:pos="6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00"/>
        <w:spacing w:after="0" w:line="207" w:lineRule="exact"/>
        <w:tabs>
          <w:tab w:leader="none" w:pos="61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5421630</wp:posOffset>
            </wp:positionH>
            <wp:positionV relativeFrom="paragraph">
              <wp:posOffset>-10160</wp:posOffset>
            </wp:positionV>
            <wp:extent cx="285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6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gridSpan w:val="4"/>
          </w:tcPr>
          <w:p>
            <w:pPr>
              <w:jc w:val="center"/>
              <w:ind w:right="2460"/>
              <w:spacing w:after="0"/>
              <w:rPr>
                <w:sz w:val="20"/>
                <w:szCs w:val="20"/>
                <w:color w:val="auto"/>
              </w:rPr>
            </w:pPr>
            <w:r>
              <w:rPr>
                <w:rFonts w:ascii="Arial" w:cs="Arial" w:eastAsia="Arial" w:hAnsi="Arial"/>
                <w:sz w:val="18"/>
                <w:szCs w:val="18"/>
                <w:color w:val="auto"/>
              </w:rPr>
              <w:t>AMDOCS LIMITED</w:t>
            </w:r>
          </w:p>
        </w:tc>
        <w:tc>
          <w:tcPr>
            <w:tcW w:w="19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2"/>
          </w:tcPr>
          <w:p>
            <w:pPr>
              <w:jc w:val="center"/>
              <w:ind w:right="3040"/>
              <w:spacing w:after="0"/>
              <w:rPr>
                <w:sz w:val="20"/>
                <w:szCs w:val="20"/>
                <w:color w:val="auto"/>
              </w:rPr>
            </w:pPr>
            <w:r>
              <w:rPr>
                <w:rFonts w:ascii="Arial" w:cs="Arial" w:eastAsia="Arial" w:hAnsi="Arial"/>
                <w:sz w:val="18"/>
                <w:szCs w:val="18"/>
                <w:color w:val="auto"/>
                <w:w w:val="97"/>
              </w:rPr>
              <w:t>FORM 6-K</w:t>
            </w:r>
          </w:p>
        </w:tc>
        <w:tc>
          <w:tcPr>
            <w:tcW w:w="19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7"/>
          </w:tcPr>
          <w:p>
            <w:pPr>
              <w:jc w:val="center"/>
              <w:ind w:right="1660"/>
              <w:spacing w:after="0"/>
              <w:rPr>
                <w:sz w:val="20"/>
                <w:szCs w:val="20"/>
                <w:color w:val="auto"/>
              </w:rPr>
            </w:pPr>
            <w:r>
              <w:rPr>
                <w:rFonts w:ascii="Arial" w:cs="Arial" w:eastAsia="Arial" w:hAnsi="Arial"/>
                <w:sz w:val="18"/>
                <w:szCs w:val="18"/>
                <w:color w:val="auto"/>
                <w:w w:val="92"/>
              </w:rPr>
              <w:t>REPORT OF FOREIGN PRIVATE ISSUER</w:t>
            </w:r>
          </w:p>
        </w:tc>
        <w:tc>
          <w:tcPr>
            <w:tcW w:w="192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7"/>
          </w:tcPr>
          <w:p>
            <w:pPr>
              <w:jc w:val="center"/>
              <w:ind w:right="1680"/>
              <w:spacing w:after="0"/>
              <w:rPr>
                <w:sz w:val="20"/>
                <w:szCs w:val="20"/>
                <w:color w:val="auto"/>
              </w:rPr>
            </w:pPr>
            <w:r>
              <w:rPr>
                <w:rFonts w:ascii="Arial" w:cs="Arial" w:eastAsia="Arial" w:hAnsi="Arial"/>
                <w:sz w:val="18"/>
                <w:szCs w:val="18"/>
                <w:color w:val="auto"/>
                <w:w w:val="94"/>
              </w:rPr>
              <w:t>FOR THE QUARTER ENDED MARCH 31, 2019</w:t>
            </w:r>
          </w:p>
        </w:tc>
        <w:tc>
          <w:tcPr>
            <w:tcW w:w="192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2"/>
          </w:tcPr>
          <w:p>
            <w:pPr>
              <w:jc w:val="center"/>
              <w:ind w:right="3040"/>
              <w:spacing w:after="0"/>
              <w:rPr>
                <w:sz w:val="20"/>
                <w:szCs w:val="20"/>
                <w:color w:val="auto"/>
              </w:rPr>
            </w:pPr>
            <w:r>
              <w:rPr>
                <w:rFonts w:ascii="Arial" w:cs="Arial" w:eastAsia="Arial" w:hAnsi="Arial"/>
                <w:sz w:val="18"/>
                <w:szCs w:val="18"/>
                <w:color w:val="auto"/>
              </w:rPr>
              <w:t>INDEX</w:t>
            </w:r>
          </w:p>
        </w:tc>
        <w:tc>
          <w:tcPr>
            <w:tcW w:w="192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90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22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0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20" w:type="dxa"/>
            <w:vAlign w:val="bottom"/>
          </w:tcPr>
          <w:p>
            <w:pPr>
              <w:spacing w:after="0"/>
              <w:rPr>
                <w:sz w:val="19"/>
                <w:szCs w:val="19"/>
                <w:color w:val="auto"/>
              </w:rPr>
            </w:pP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5880" w:type="dxa"/>
            <w:vAlign w:val="bottom"/>
            <w:gridSpan w:val="8"/>
          </w:tcPr>
          <w:p>
            <w:pPr>
              <w:spacing w:after="0"/>
              <w:rPr>
                <w:sz w:val="16"/>
                <w:szCs w:val="16"/>
                <w:color w:val="auto"/>
              </w:rPr>
            </w:pPr>
          </w:p>
        </w:tc>
        <w:tc>
          <w:tcPr>
            <w:tcW w:w="19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Equity</w:t>
              </w:r>
            </w:hyperlink>
          </w:p>
        </w:tc>
        <w:tc>
          <w:tcPr>
            <w:tcW w:w="380" w:type="dxa"/>
            <w:vAlign w:val="bottom"/>
            <w:tcBorders>
              <w:top w:val="single" w:sz="8" w:color="0000EE"/>
            </w:tcBorders>
          </w:tcPr>
          <w:p>
            <w:pPr>
              <w:spacing w:after="0"/>
              <w:rPr>
                <w:sz w:val="17"/>
                <w:szCs w:val="17"/>
                <w:color w:val="auto"/>
              </w:rPr>
            </w:pPr>
          </w:p>
        </w:tc>
        <w:tc>
          <w:tcPr>
            <w:tcW w:w="42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Consolidated Statements of Cash Flows</w:t>
              </w:r>
            </w:hyperlink>
          </w:p>
        </w:tc>
        <w:tc>
          <w:tcPr>
            <w:tcW w:w="5100" w:type="dxa"/>
            <w:vAlign w:val="bottom"/>
            <w:gridSpan w:val="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 Operating and Financial Review and Prospects</w:t>
              </w:r>
            </w:hyperlink>
          </w:p>
        </w:tc>
        <w:tc>
          <w:tcPr>
            <w:tcW w:w="476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PART II OTHER INFORMATION</w:t>
              </w:r>
            </w:hyperlink>
          </w:p>
        </w:tc>
        <w:tc>
          <w:tcPr>
            <w:tcW w:w="652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1. Changes in Securities, Use of Proceeds and Issuer Purchases of Equity Securities</w:t>
              </w:r>
            </w:hyperlink>
          </w:p>
        </w:tc>
        <w:tc>
          <w:tcPr>
            <w:tcW w:w="23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 Reports on Form 6-K</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600" w:type="dxa"/>
            <w:vAlign w:val="bottom"/>
            <w:gridSpan w:val="11"/>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06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60" w:type="dxa"/>
            <w:vAlign w:val="bottom"/>
          </w:tcPr>
          <w:p>
            <w:pPr>
              <w:jc w:val="center"/>
              <w:ind w:left="1690"/>
              <w:spacing w:after="0"/>
              <w:rPr>
                <w:sz w:val="20"/>
                <w:szCs w:val="20"/>
                <w:color w:val="auto"/>
              </w:rPr>
            </w:pPr>
            <w:r>
              <w:rPr>
                <w:rFonts w:ascii="Arial" w:cs="Arial" w:eastAsia="Arial" w:hAnsi="Arial"/>
                <w:sz w:val="18"/>
                <w:szCs w:val="18"/>
                <w:b w:val="1"/>
                <w:bCs w:val="1"/>
                <w:color w:val="auto"/>
              </w:rPr>
              <w:t>AMDOCS LIMITED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6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tcPr>
          <w:p>
            <w:pPr>
              <w:jc w:val="center"/>
              <w:ind w:left="1690"/>
              <w:spacing w:after="0"/>
              <w:rPr>
                <w:sz w:val="20"/>
                <w:szCs w:val="20"/>
                <w:color w:val="auto"/>
              </w:rPr>
            </w:pPr>
            <w:r>
              <w:rPr>
                <w:rFonts w:ascii="Arial" w:cs="Arial" w:eastAsia="Arial" w:hAnsi="Arial"/>
                <w:sz w:val="18"/>
                <w:szCs w:val="18"/>
                <w:color w:val="auto"/>
                <w:w w:val="88"/>
              </w:rPr>
              <w:t>(dollar and share amounts in thousands, except per share data)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ASSETS</w:t>
            </w:r>
          </w:p>
        </w:tc>
        <w:tc>
          <w:tcPr>
            <w:tcW w:w="7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Short-term interest-bearing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971,502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230,140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1,638,690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1,720,717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487,407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496,585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2,452,549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2,444,895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219,009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265,249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436,059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5,233,714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5,347,815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706,637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1,213,639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1,294,957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210,463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224,572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316,825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336,244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1,740,927</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1,855,773</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Equity:</w:t>
            </w:r>
          </w:p>
        </w:tc>
        <w:tc>
          <w:tcPr>
            <w:tcW w:w="7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Ordinary Shares — Authorized 700,000 shares; £0.01 par value; 276,575 and 275,896 issued and 137,131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140,177 outstanding,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3,620,891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3,587,625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139,444 and 135,719 ordinary shares,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(5,003,566)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(4,784,352)</w:t>
            </w:r>
          </w:p>
        </w:tc>
      </w:tr>
      <w:tr>
        <w:trPr>
          <w:trHeight w:val="216"/>
        </w:trPr>
        <w:tc>
          <w:tcPr>
            <w:tcW w:w="20" w:type="dxa"/>
            <w:vAlign w:val="bottom"/>
          </w:tcPr>
          <w:p>
            <w:pPr>
              <w:spacing w:after="0"/>
              <w:rPr>
                <w:sz w:val="18"/>
                <w:szCs w:val="18"/>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(7,803)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(32,731)</w:t>
            </w: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4,836,467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4,673,901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Amdocs Limited shareholders’ equity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3,450,434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3,448,879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3,492,787</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3,492,042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5,233,714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5,347,815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992,340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2,031,712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646,587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1,321,181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120,199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869,482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860,513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1,748,440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1,716,081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150,175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131,827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283,272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131,588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282,928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124,279</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101,727</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225,971</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$124,279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101,727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$225,971</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$218,600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(17,492)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23,738</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(17,753)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24,928</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23"/>
        </w:trPr>
        <w:tc>
          <w:tcPr>
            <w:tcW w:w="73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144,763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250,899</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5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$(2,526) and $1,927 for the three months ended March 31, 2019 and 2018, respectively and of $(634) and $2,285 for the six months ended March 31, 2019 and 2018, respectively.</w:t>
      </w:r>
    </w:p>
    <w:p>
      <w:pPr>
        <w:spacing w:after="0" w:line="1" w:lineRule="exact"/>
        <w:rPr>
          <w:rFonts w:ascii="Arial" w:cs="Arial" w:eastAsia="Arial" w:hAnsi="Arial"/>
          <w:sz w:val="18"/>
          <w:szCs w:val="18"/>
          <w:color w:val="auto"/>
        </w:rPr>
      </w:pPr>
    </w:p>
    <w:p>
      <w:pPr>
        <w:ind w:left="640" w:right="60" w:hanging="436"/>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$0 and $(7) for the three months ended March 31, 2019 and 2018, respectively, and of $0 and $3 for the six months ended March 31, 2019 and 2018, respectively.</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Ordinary Shares</w:t>
            </w:r>
          </w:p>
        </w:tc>
        <w:tc>
          <w:tcPr>
            <w:tcW w:w="8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w w:val="97"/>
              </w:rPr>
              <w:t>Treasury</w:t>
            </w:r>
          </w:p>
        </w:tc>
        <w:tc>
          <w:tcPr>
            <w:tcW w:w="11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00" w:type="dxa"/>
            <w:vAlign w:val="bottom"/>
            <w:gridSpan w:val="6"/>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2"/>
                <w:szCs w:val="12"/>
                <w:color w:val="auto"/>
              </w:rPr>
            </w:pPr>
          </w:p>
        </w:tc>
        <w:tc>
          <w:tcPr>
            <w:tcW w:w="860" w:type="dxa"/>
            <w:vAlign w:val="bottom"/>
            <w:gridSpan w:val="5"/>
          </w:tcPr>
          <w:p>
            <w:pPr>
              <w:ind w:left="20"/>
              <w:spacing w:after="0" w:line="125"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299"/>
              <w:spacing w:after="0" w:line="15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Income (1)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940" w:type="dxa"/>
            <w:vAlign w:val="bottom"/>
            <w:gridSpan w:val="6"/>
          </w:tcPr>
          <w:p>
            <w:pPr>
              <w:ind w:left="80"/>
              <w:spacing w:after="0" w:line="155" w:lineRule="exact"/>
              <w:rPr>
                <w:sz w:val="20"/>
                <w:szCs w:val="20"/>
                <w:color w:val="auto"/>
              </w:rPr>
            </w:pPr>
            <w:r>
              <w:rPr>
                <w:rFonts w:ascii="Arial" w:cs="Arial" w:eastAsia="Arial" w:hAnsi="Arial"/>
                <w:sz w:val="14"/>
                <w:szCs w:val="14"/>
                <w:b w:val="1"/>
                <w:bCs w:val="1"/>
                <w:color w:val="auto"/>
              </w:rPr>
              <w:t>interests (2)</w:t>
            </w:r>
          </w:p>
        </w:tc>
        <w:tc>
          <w:tcPr>
            <w:tcW w:w="100" w:type="dxa"/>
            <w:vAlign w:val="bottom"/>
          </w:tcPr>
          <w:p>
            <w:pPr>
              <w:spacing w:after="0"/>
              <w:rPr>
                <w:sz w:val="13"/>
                <w:szCs w:val="13"/>
                <w:color w:val="auto"/>
              </w:rPr>
            </w:pP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2018</w:t>
            </w: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139,012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4,441</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$3,608,139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(4,883,534)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(28,287)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$4,751,272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3,452,031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47,129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$3,499,160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124,279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124,279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124,279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3"/>
                <w:szCs w:val="13"/>
                <w:color w:val="auto"/>
              </w:rPr>
            </w:pPr>
          </w:p>
        </w:tc>
        <w:tc>
          <w:tcPr>
            <w:tcW w:w="64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20,484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144,763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144,763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3,138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5"/>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(120,032)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(120,032)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rPr>
              <w:t>Cash dividends declared ($0.285 per ordinary</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share)</w:t>
            </w:r>
          </w:p>
        </w:tc>
        <w:tc>
          <w:tcPr>
            <w:tcW w:w="20" w:type="dxa"/>
            <w:vAlign w:val="bottom"/>
          </w:tcPr>
          <w:p>
            <w:pPr>
              <w:spacing w:after="0"/>
              <w:rPr>
                <w:sz w:val="14"/>
                <w:szCs w:val="14"/>
                <w:color w:val="auto"/>
              </w:rPr>
            </w:pPr>
          </w:p>
        </w:tc>
        <w:tc>
          <w:tcPr>
            <w:tcW w:w="64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ind w:right="100"/>
              <w:spacing w:after="0"/>
              <w:rPr>
                <w:sz w:val="20"/>
                <w:szCs w:val="20"/>
                <w:color w:val="auto"/>
              </w:rPr>
            </w:pPr>
            <w:r>
              <w:rPr>
                <w:rFonts w:ascii="Arial" w:cs="Arial" w:eastAsia="Arial" w:hAnsi="Arial"/>
                <w:sz w:val="14"/>
                <w:szCs w:val="14"/>
                <w:color w:val="auto"/>
              </w:rPr>
              <w:t>(39,084)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(39,084)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(39,084)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177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w w:val="97"/>
              </w:rPr>
              <w:t>Equity-based compensation expense related to</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employees</w:t>
            </w:r>
          </w:p>
        </w:tc>
        <w:tc>
          <w:tcPr>
            <w:tcW w:w="20" w:type="dxa"/>
            <w:vAlign w:val="bottom"/>
          </w:tcPr>
          <w:p>
            <w:pPr>
              <w:spacing w:after="0"/>
              <w:rPr>
                <w:sz w:val="14"/>
                <w:szCs w:val="14"/>
                <w:color w:val="auto"/>
              </w:rPr>
            </w:pPr>
          </w:p>
        </w:tc>
        <w:tc>
          <w:tcPr>
            <w:tcW w:w="64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9,614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9,614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(4,776)</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(4,776)</w:t>
            </w:r>
          </w:p>
        </w:tc>
        <w:tc>
          <w:tcPr>
            <w:tcW w:w="0" w:type="dxa"/>
            <w:vAlign w:val="bottom"/>
          </w:tcPr>
          <w:p>
            <w:pPr>
              <w:spacing w:after="0"/>
              <w:rPr>
                <w:sz w:val="1"/>
                <w:szCs w:val="1"/>
                <w:color w:val="auto"/>
              </w:rPr>
            </w:pPr>
          </w:p>
        </w:tc>
      </w:tr>
      <w:tr>
        <w:trPr>
          <w:trHeight w:val="156"/>
        </w:trPr>
        <w:tc>
          <w:tcPr>
            <w:tcW w:w="2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March 31, 2019</w:t>
            </w: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4"/>
              </w:rPr>
              <w:t>137,131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4,445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3,620,891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6"/>
              </w:rPr>
              <w:t>$ (5,003,566</w:t>
            </w:r>
          </w:p>
        </w:tc>
        <w:tc>
          <w:tcPr>
            <w:tcW w:w="140" w:type="dxa"/>
            <w:vAlign w:val="bottom"/>
            <w:gridSpan w:val="2"/>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(7,803)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4,836,467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3,450,434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42,353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3,492,787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right"/>
              <w:ind w:right="159"/>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11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Limited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bottom w:val="single" w:sz="8" w:color="auto"/>
            </w:tcBorders>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20"/>
              <w:spacing w:after="0" w:line="12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2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tcPr>
          <w:p>
            <w:pPr>
              <w:jc w:val="center"/>
              <w:ind w:right="12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ind w:left="20"/>
              <w:spacing w:after="0" w:line="125"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5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279"/>
              <w:spacing w:after="0" w:line="15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Income (1)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3"/>
                <w:szCs w:val="13"/>
                <w:color w:val="auto"/>
              </w:rPr>
            </w:pPr>
          </w:p>
        </w:tc>
        <w:tc>
          <w:tcPr>
            <w:tcW w:w="86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interests (2)</w:t>
            </w:r>
          </w:p>
        </w:tc>
        <w:tc>
          <w:tcPr>
            <w:tcW w:w="100" w:type="dxa"/>
            <w:vAlign w:val="bottom"/>
          </w:tcPr>
          <w:p>
            <w:pPr>
              <w:spacing w:after="0"/>
              <w:rPr>
                <w:sz w:val="13"/>
                <w:szCs w:val="13"/>
                <w:color w:val="auto"/>
              </w:rPr>
            </w:pP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2017</w:t>
            </w: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4"/>
              </w:rPr>
              <w:t>143,423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4,419</w:t>
            </w:r>
          </w:p>
        </w:tc>
        <w:tc>
          <w:tcPr>
            <w:tcW w:w="20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$3,503,850</w:t>
            </w:r>
          </w:p>
        </w:tc>
        <w:tc>
          <w:tcPr>
            <w:tcW w:w="200" w:type="dxa"/>
            <w:vAlign w:val="bottom"/>
            <w:tcBorders>
              <w:top w:val="single" w:sz="8" w:color="CCEEFF"/>
            </w:tcBorders>
            <w:gridSpan w:val="2"/>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(4,485,022)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24,098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$4,542,424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3,589,769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38,123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$3,627,892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101,727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101,727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101,727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3"/>
                <w:szCs w:val="13"/>
                <w:color w:val="auto"/>
              </w:rPr>
            </w:pPr>
          </w:p>
        </w:tc>
        <w:tc>
          <w:tcPr>
            <w:tcW w:w="64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(17,753)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(17,753)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83,974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83,974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4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85"/>
              </w:rPr>
              <w:t>737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34,258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34,269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5"/>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(119,881)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(119,881)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(119,881)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rPr>
              <w:t>Cash dividends declared ($0.25 per ordinary</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share)</w:t>
            </w:r>
          </w:p>
        </w:tc>
        <w:tc>
          <w:tcPr>
            <w:tcW w:w="20" w:type="dxa"/>
            <w:vAlign w:val="bottom"/>
          </w:tcPr>
          <w:p>
            <w:pPr>
              <w:spacing w:after="0"/>
              <w:rPr>
                <w:sz w:val="14"/>
                <w:szCs w:val="14"/>
                <w:color w:val="auto"/>
              </w:rPr>
            </w:pPr>
          </w:p>
        </w:tc>
        <w:tc>
          <w:tcPr>
            <w:tcW w:w="64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ind w:right="80"/>
              <w:spacing w:after="0"/>
              <w:rPr>
                <w:sz w:val="20"/>
                <w:szCs w:val="20"/>
                <w:color w:val="auto"/>
              </w:rPr>
            </w:pPr>
            <w:r>
              <w:rPr>
                <w:rFonts w:ascii="Arial" w:cs="Arial" w:eastAsia="Arial" w:hAnsi="Arial"/>
                <w:sz w:val="14"/>
                <w:szCs w:val="14"/>
                <w:color w:val="auto"/>
              </w:rPr>
              <w:t>(35,637)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(35,637)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(35,637)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163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w w:val="97"/>
              </w:rPr>
              <w:t>Equity-based compensation expense related to</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employees</w:t>
            </w:r>
          </w:p>
        </w:tc>
        <w:tc>
          <w:tcPr>
            <w:tcW w:w="20" w:type="dxa"/>
            <w:vAlign w:val="bottom"/>
          </w:tcPr>
          <w:p>
            <w:pPr>
              <w:spacing w:after="0"/>
              <w:rPr>
                <w:sz w:val="14"/>
                <w:szCs w:val="14"/>
                <w:color w:val="auto"/>
              </w:rPr>
            </w:pPr>
          </w:p>
        </w:tc>
        <w:tc>
          <w:tcPr>
            <w:tcW w:w="64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10,558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10,558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10,558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5,040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March 31, 2018</w:t>
            </w: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94"/>
              </w:rPr>
              <w:t>142,535</w:t>
            </w: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4,432</w:t>
            </w:r>
          </w:p>
        </w:tc>
        <w:tc>
          <w:tcPr>
            <w:tcW w:w="200" w:type="dxa"/>
            <w:vAlign w:val="bottom"/>
            <w:gridSpan w:val="2"/>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3,548,666</w:t>
            </w:r>
          </w:p>
        </w:tc>
        <w:tc>
          <w:tcPr>
            <w:tcW w:w="200" w:type="dxa"/>
            <w:vAlign w:val="bottom"/>
            <w:gridSpan w:val="2"/>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8"/>
              </w:rPr>
              <w:t>$ (4,604,903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6,345</w:t>
            </w: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4,608,514</w:t>
            </w: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3,563,054</w:t>
            </w: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43,163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3,606,217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220" w:hanging="316"/>
        <w:spacing w:after="0" w:line="248"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of March 31, 2019 and 2018, accumulated other comprehensive (loss) income is comprised of unrealized (loss) gain on derivatives, net of tax, of $(2,870) and $13,249, unrealized (loss) on short-term interest-bearing investments, net of tax, of $(402) and $(1,596) and unrealized (loss) on defined benefit plan, net of tax, of $(4,531) and $(5,308).</w:t>
      </w:r>
    </w:p>
    <w:p>
      <w:pPr>
        <w:ind w:left="520" w:right="920" w:hanging="316"/>
        <w:spacing w:after="0" w:line="221"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three and six months ended March 31, 2019, and 2018, all of the Company’s net income is attributable to Amdocs Limited as the net income attributable to the Non-controlling interests is negligible</w:t>
      </w:r>
    </w:p>
    <w:p>
      <w:pPr>
        <w:ind w:left="520" w:right="520" w:hanging="316"/>
        <w:spacing w:after="0" w:line="237"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Amdocs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Ordinary Shares</w:t>
            </w: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w w:val="97"/>
              </w:rPr>
              <w:t>Treasury</w:t>
            </w:r>
          </w:p>
        </w:tc>
        <w:tc>
          <w:tcPr>
            <w:tcW w:w="11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Limited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00" w:type="dxa"/>
            <w:vAlign w:val="bottom"/>
            <w:gridSpan w:val="5"/>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100" w:type="dxa"/>
            <w:vAlign w:val="bottom"/>
          </w:tcPr>
          <w:p>
            <w:pPr>
              <w:spacing w:after="0"/>
              <w:rPr>
                <w:sz w:val="12"/>
                <w:szCs w:val="12"/>
                <w:color w:val="auto"/>
              </w:rPr>
            </w:pPr>
          </w:p>
        </w:tc>
        <w:tc>
          <w:tcPr>
            <w:tcW w:w="840" w:type="dxa"/>
            <w:vAlign w:val="bottom"/>
            <w:gridSpan w:val="4"/>
          </w:tcPr>
          <w:p>
            <w:pPr>
              <w:spacing w:after="0" w:line="125"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840" w:type="dxa"/>
            <w:vAlign w:val="bottom"/>
            <w:gridSpan w:val="3"/>
          </w:tcPr>
          <w:p>
            <w:pPr>
              <w:jc w:val="right"/>
              <w:ind w:right="299"/>
              <w:spacing w:after="0" w:line="155"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Income (1)</w:t>
            </w:r>
          </w:p>
        </w:tc>
        <w:tc>
          <w:tcPr>
            <w:tcW w:w="120" w:type="dxa"/>
            <w:vAlign w:val="bottom"/>
          </w:tcPr>
          <w:p>
            <w:pPr>
              <w:spacing w:after="0"/>
              <w:rPr>
                <w:sz w:val="13"/>
                <w:szCs w:val="13"/>
                <w:color w:val="auto"/>
              </w:rPr>
            </w:pPr>
          </w:p>
        </w:tc>
        <w:tc>
          <w:tcPr>
            <w:tcW w:w="78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940" w:type="dxa"/>
            <w:vAlign w:val="bottom"/>
            <w:gridSpan w:val="5"/>
          </w:tcPr>
          <w:p>
            <w:pPr>
              <w:jc w:val="right"/>
              <w:ind w:right="140"/>
              <w:spacing w:after="0" w:line="155" w:lineRule="exact"/>
              <w:rPr>
                <w:sz w:val="20"/>
                <w:szCs w:val="20"/>
                <w:color w:val="auto"/>
              </w:rPr>
            </w:pPr>
            <w:r>
              <w:rPr>
                <w:rFonts w:ascii="Arial" w:cs="Arial" w:eastAsia="Arial" w:hAnsi="Arial"/>
                <w:sz w:val="14"/>
                <w:szCs w:val="14"/>
                <w:b w:val="1"/>
                <w:bCs w:val="1"/>
                <w:color w:val="auto"/>
                <w:w w:val="98"/>
              </w:rPr>
              <w:t>interests (2)</w:t>
            </w:r>
          </w:p>
        </w:tc>
        <w:tc>
          <w:tcPr>
            <w:tcW w:w="100" w:type="dxa"/>
            <w:vAlign w:val="bottom"/>
          </w:tcPr>
          <w:p>
            <w:pPr>
              <w:spacing w:after="0"/>
              <w:rPr>
                <w:sz w:val="13"/>
                <w:szCs w:val="13"/>
                <w:color w:val="auto"/>
              </w:rPr>
            </w:pP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2018</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140,177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4,436</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$3,587,625</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(4,784,352)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(32,731)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$4,673,901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3,448,879</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43,163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$3,492,042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Cumulative effect adjustment (3)</w:t>
            </w:r>
          </w:p>
        </w:tc>
        <w:tc>
          <w:tcPr>
            <w:tcW w:w="64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80"/>
              <w:spacing w:after="0" w:line="149" w:lineRule="exact"/>
              <w:rPr>
                <w:sz w:val="20"/>
                <w:szCs w:val="20"/>
                <w:color w:val="auto"/>
              </w:rPr>
            </w:pPr>
            <w:r>
              <w:rPr>
                <w:rFonts w:ascii="Arial" w:cs="Arial" w:eastAsia="Arial" w:hAnsi="Arial"/>
                <w:sz w:val="14"/>
                <w:szCs w:val="14"/>
                <w:color w:val="auto"/>
              </w:rPr>
              <w:t>Net income (2)</w:t>
            </w:r>
          </w:p>
        </w:tc>
        <w:tc>
          <w:tcPr>
            <w:tcW w:w="64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225,971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225,971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64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ind w:left="280"/>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250,899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250,899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270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11,535</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(3,726)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4"/>
          </w:tcPr>
          <w:p>
            <w:pPr>
              <w:jc w:val="right"/>
              <w:ind w:right="59"/>
              <w:spacing w:after="0" w:line="149" w:lineRule="exact"/>
              <w:rPr>
                <w:sz w:val="20"/>
                <w:szCs w:val="20"/>
                <w:color w:val="auto"/>
              </w:rPr>
            </w:pPr>
            <w:r>
              <w:rPr>
                <w:rFonts w:ascii="Arial" w:cs="Arial" w:eastAsia="Arial" w:hAnsi="Arial"/>
                <w:sz w:val="14"/>
                <w:szCs w:val="14"/>
                <w:color w:val="auto"/>
              </w:rPr>
              <w:t>(219,214)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(219,214)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(219,214)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($0.535 per ordinary</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w:t>
            </w: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(73,839)</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(73,839)</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w w:val="85"/>
              </w:rPr>
              <w:t>410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w w:val="97"/>
              </w:rPr>
              <w:t>Equity-based compensation expense related to</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employees</w:t>
            </w: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21,731</w:t>
            </w: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 2019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137,131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4,445</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3,620,891</w:t>
            </w:r>
          </w:p>
        </w:tc>
        <w:tc>
          <w:tcPr>
            <w:tcW w:w="2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 (5,003,566)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(7,803)</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4,836,467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3,450,434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3,492,787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Amdocs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jc w:val="right"/>
              <w:ind w:right="159"/>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Limited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tcBorders>
              <w:bottom w:val="single" w:sz="8" w:color="auto"/>
            </w:tcBorders>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2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25"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100" w:type="dxa"/>
            <w:vAlign w:val="bottom"/>
          </w:tcPr>
          <w:p>
            <w:pPr>
              <w:spacing w:after="0"/>
              <w:rPr>
                <w:sz w:val="12"/>
                <w:szCs w:val="12"/>
                <w:color w:val="auto"/>
              </w:rPr>
            </w:pPr>
          </w:p>
        </w:tc>
        <w:tc>
          <w:tcPr>
            <w:tcW w:w="840" w:type="dxa"/>
            <w:vAlign w:val="bottom"/>
            <w:gridSpan w:val="4"/>
          </w:tcPr>
          <w:p>
            <w:pPr>
              <w:jc w:val="right"/>
              <w:ind w:right="14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840" w:type="dxa"/>
            <w:vAlign w:val="bottom"/>
            <w:gridSpan w:val="3"/>
          </w:tcPr>
          <w:p>
            <w:pPr>
              <w:jc w:val="right"/>
              <w:ind w:right="279"/>
              <w:spacing w:after="0" w:line="155"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Income (1)</w:t>
            </w:r>
          </w:p>
        </w:tc>
        <w:tc>
          <w:tcPr>
            <w:tcW w:w="120" w:type="dxa"/>
            <w:vAlign w:val="bottom"/>
          </w:tcPr>
          <w:p>
            <w:pPr>
              <w:spacing w:after="0"/>
              <w:rPr>
                <w:sz w:val="13"/>
                <w:szCs w:val="13"/>
                <w:color w:val="auto"/>
              </w:rPr>
            </w:pPr>
          </w:p>
        </w:tc>
        <w:tc>
          <w:tcPr>
            <w:tcW w:w="7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8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interests (2)</w:t>
            </w:r>
          </w:p>
        </w:tc>
        <w:tc>
          <w:tcPr>
            <w:tcW w:w="100" w:type="dxa"/>
            <w:vAlign w:val="bottom"/>
          </w:tcPr>
          <w:p>
            <w:pPr>
              <w:spacing w:after="0"/>
              <w:rPr>
                <w:sz w:val="13"/>
                <w:szCs w:val="13"/>
                <w:color w:val="auto"/>
              </w:rPr>
            </w:pP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2017</w:t>
            </w:r>
          </w:p>
        </w:tc>
        <w:tc>
          <w:tcPr>
            <w:tcW w:w="5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4"/>
              </w:rPr>
              <w:t>144,391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4,410</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$3,458,887</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(4,365,124)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18,790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$4,457,107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3,574,070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$3,574,070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64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218,600</w:t>
            </w: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218,600</w:t>
            </w: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64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(12,445)</w:t>
            </w:r>
          </w:p>
        </w:tc>
        <w:tc>
          <w:tcPr>
            <w:tcW w:w="120" w:type="dxa"/>
            <w:vAlign w:val="bottom"/>
          </w:tcPr>
          <w:p>
            <w:pPr>
              <w:spacing w:after="0"/>
              <w:rPr>
                <w:sz w:val="13"/>
                <w:szCs w:val="13"/>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(12,445)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206,155</w:t>
            </w: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65,716</w:t>
            </w:r>
          </w:p>
        </w:tc>
        <w:tc>
          <w:tcPr>
            <w:tcW w:w="200" w:type="dxa"/>
            <w:vAlign w:val="bottom"/>
          </w:tcPr>
          <w:p>
            <w:pPr>
              <w:spacing w:after="0"/>
              <w:rPr>
                <w:sz w:val="12"/>
                <w:szCs w:val="12"/>
                <w:color w:val="auto"/>
              </w:rPr>
            </w:pPr>
          </w:p>
        </w:tc>
        <w:tc>
          <w:tcPr>
            <w:tcW w:w="84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65,736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(3,640)</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(239,779)</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(239,779)</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(239,779)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Cash dividends declared ($0.47 per ordinary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ind w:left="120"/>
              <w:spacing w:after="0"/>
              <w:rPr>
                <w:sz w:val="20"/>
                <w:szCs w:val="20"/>
                <w:color w:val="auto"/>
              </w:rPr>
            </w:pPr>
            <w:r>
              <w:rPr>
                <w:rFonts w:ascii="Arial" w:cs="Arial" w:eastAsia="Arial" w:hAnsi="Arial"/>
                <w:sz w:val="14"/>
                <w:szCs w:val="14"/>
                <w:color w:val="auto"/>
              </w:rPr>
              <w:t>share)</w:t>
            </w:r>
          </w:p>
        </w:tc>
        <w:tc>
          <w:tcPr>
            <w:tcW w:w="64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gridSpan w:val="3"/>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80"/>
              <w:spacing w:after="0"/>
              <w:rPr>
                <w:sz w:val="20"/>
                <w:szCs w:val="20"/>
                <w:color w:val="auto"/>
              </w:rPr>
            </w:pPr>
            <w:r>
              <w:rPr>
                <w:rFonts w:ascii="Arial" w:cs="Arial" w:eastAsia="Arial" w:hAnsi="Arial"/>
                <w:sz w:val="14"/>
                <w:szCs w:val="14"/>
                <w:color w:val="auto"/>
              </w:rPr>
              <w:t>(67,193)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(67,193)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(67,193)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322</w:t>
            </w: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w w:val="97"/>
              </w:rPr>
              <w:t>Equity-based compensation expense related to</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ind w:left="120"/>
              <w:spacing w:after="0"/>
              <w:rPr>
                <w:sz w:val="20"/>
                <w:szCs w:val="20"/>
                <w:color w:val="auto"/>
              </w:rPr>
            </w:pPr>
            <w:r>
              <w:rPr>
                <w:rFonts w:ascii="Arial" w:cs="Arial" w:eastAsia="Arial" w:hAnsi="Arial"/>
                <w:sz w:val="14"/>
                <w:szCs w:val="14"/>
                <w:color w:val="auto"/>
              </w:rPr>
              <w:t>employees</w:t>
            </w:r>
          </w:p>
        </w:tc>
        <w:tc>
          <w:tcPr>
            <w:tcW w:w="64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24,063</w:t>
            </w:r>
          </w:p>
        </w:tc>
        <w:tc>
          <w:tcPr>
            <w:tcW w:w="200" w:type="dxa"/>
            <w:vAlign w:val="bottom"/>
          </w:tcPr>
          <w:p>
            <w:pPr>
              <w:spacing w:after="0"/>
              <w:rPr>
                <w:sz w:val="14"/>
                <w:szCs w:val="14"/>
                <w:color w:val="auto"/>
              </w:rPr>
            </w:pPr>
          </w:p>
        </w:tc>
        <w:tc>
          <w:tcPr>
            <w:tcW w:w="840" w:type="dxa"/>
            <w:vAlign w:val="bottom"/>
            <w:gridSpan w:val="3"/>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24,063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64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43,163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March 31, 2018</w:t>
            </w:r>
          </w:p>
        </w:tc>
        <w:tc>
          <w:tcPr>
            <w:tcW w:w="5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94"/>
              </w:rPr>
              <w:t>142,535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4,432</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3,548,666</w:t>
            </w:r>
          </w:p>
        </w:tc>
        <w:tc>
          <w:tcPr>
            <w:tcW w:w="20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8"/>
              </w:rPr>
              <w:t>$ (4,604,903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4,608,514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3,563,054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w w:val="93"/>
              </w:rPr>
              <w:t>43,163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3,606,217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Six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225,971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218,600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101,853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(84,922)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278,279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278,329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property and equipment, net (*)</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(386,470)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(219,214)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(239,779)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of dividends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(69,801)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 (*)</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(282,615)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(178,680)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418,783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649,611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399,195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200" w:right="60" w:firstLine="4"/>
        <w:spacing w:after="0" w:line="264" w:lineRule="auto"/>
        <w:tabs>
          <w:tab w:leader="none" w:pos="4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of $9,676 relating to the refund of betterment levy for the six months ended March 31, 2019, ($4,776 of which was a refund to the noncontrolling interests), proceeds from sale of property and equipment of $63 and $56 for the six months ended March 31, 2019 and 2018, respectively.</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amdocsONE, an open and modular solution set.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79" w:lineRule="exact"/>
        <w:rPr>
          <w:sz w:val="20"/>
          <w:szCs w:val="20"/>
          <w:color w:val="auto"/>
        </w:rPr>
      </w:pPr>
    </w:p>
    <w:p>
      <w:pPr>
        <w:ind w:left="200" w:right="1280" w:firstLine="441"/>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2018, set forth in the Company’s Annual Report on Form 20-F filed on December 10, 2018 with the U.S. Securities and Exchange Commission, or the SEC.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November 2018, the Financial Accounting Standards Board, or FASB, issued Accounting Standard Update, or ASU, No. 2018-18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The ASU clarifies the interaction between collaborative arrangements and the new revenue standards. This ASU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on October 1, 2020, and early adoption is permitted. The Company currently expects that adoption of this ASU will not have a material impact on its consolidated financial statements.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and will not have a material impact on its consolidated financial statements.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87" w:lineRule="exact"/>
        <w:rPr>
          <w:sz w:val="20"/>
          <w:szCs w:val="20"/>
          <w:color w:val="auto"/>
        </w:rPr>
      </w:pPr>
    </w:p>
    <w:p>
      <w:pPr>
        <w:jc w:val="both"/>
        <w:ind w:left="200" w:right="360" w:firstLine="441"/>
        <w:spacing w:after="0" w:line="279" w:lineRule="auto"/>
        <w:rPr>
          <w:sz w:val="20"/>
          <w:szCs w:val="20"/>
          <w:color w:val="auto"/>
        </w:rPr>
      </w:pPr>
      <w:r>
        <w:rPr>
          <w:rFonts w:ascii="Arial" w:cs="Arial" w:eastAsia="Arial" w:hAnsi="Arial"/>
          <w:sz w:val="17"/>
          <w:szCs w:val="17"/>
          <w:color w:val="auto"/>
        </w:rPr>
        <w:t>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ASU aligns the measurement and classification for share-based payments to nonemployees with the guidance for share-based payments to employees, with certain exceptions. This ASU will be effective for the Company on October 1, 2019, and early adoption is permitted with certain limitations. The Company expects that the adoption of this ASU will not have a material impact on its consolidated financial statements.</w:t>
      </w:r>
    </w:p>
    <w:p>
      <w:pPr>
        <w:spacing w:after="0" w:line="17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7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154"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will be effective for the Company on October 1, 2019 and early adoption is permitted. The ASU must be adopted using a modified retrospective method. The Company is currently evaluating the impact of adoption of this ASU on its consolidated financial statements.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December 2017, the SEC issued Staff Accounting Bulletin No. 118 (“SAB No. 118”) in response to the new tax legislation in the United States (The Tax Cuts and Jobs Act or “The Act”). The Act, which was enacted on December 22, 2017, reduces the US federal corporate tax rate from 35% to 21%, which requires the payment of a one-time transition tax on earnings of certain foreign subsidiaries and creates new taxes on certain foreign sourced earnings. The guidance provided in SAB No. 118 allowed the Company to record provisional amounts of income tax effects of the Act during a one-year measurement period. As of December 31, 2018, the Company has completed its accounting for the tax effects of enactment of the Act and made a reasonable estimate of the effects on its existing deferred tax balances and the one-time transition tax. There was no material impact on the Company’s consolidated financial statements, see also Note 9 to the consolidated financial statements.</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ASU revises and narrows the definition of a business and provides a framework that gives entities a basis for making reasonable judgments about whether a transaction involves an asset or a business. The Company prospectively adopted this ASU effective October 1, 2018. As of the date of the adoption there was no impact on the Company’s consolidated financial statements.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The ASU requires the Company to recognize the income tax consequences of intra-entity transfers, other than inventory, when the transfer occurs. The Company adopted this ASU as of October 1, 2018 using the modified retrospective transition approach, which resulted in a cumulative adjustment of $3,860 decrease of the retained earnings.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August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The ASU intends to reduce diversity in practice in how certain transactions are classified in the statement of cash flows. The Company expects adoption of this ASU to result in reclassification of certain cash payments of contingent considerations included in acquisition agreements from investing activities to financing activities. The Company retrospectively adopted this ASU effective October 1, 2018. As of the date of the adoption, there was no impact on the Company’s consolidated statement of cash flow.</w:t>
      </w:r>
    </w:p>
    <w:p>
      <w:pPr>
        <w:spacing w:after="0" w:line="18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The ASU updates certain aspects of recognition and measurement of financial assets and financial liabilities. The ASU affects the accounting for equity investments, financial liabilities under the fair value option, and the presentation and disclosure requirements for financial instruments. The Company prospectively adopted this ASU effective October 1, 2018. There was no material impact on the Company’s consolidated financial statements, see also Note 5 to the consolidated financial statements.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May 2014, the FASB issued ASU No. 2014-09,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ASU on revenue from contracts with customers, or the new revenue standard, which outlines a single comprehensive model for entities to use in accounting for revenue arising from contracts with customers and supersedes most current revenue recognition guidance. The Company developed a transition plan, including changes to policies, processes and internal controls, as well as system enhancements to generate the information necessary for new disclosure requirements and recently completed an assessment to identify the potential areas of impact that this new revenue recognition standard will have on its consolidated financial statement and internal control environment. As part of the assessment, the Company reviewed a representative sample of its contracts across its various customers and geographies to identify potential differences that could result from applying the requirements of the new standard. As of October 1, 2018, the Company adopted this ASU using the modified retrospective transition approach. This method was applied to contracts that were not complete as of the date of adoption.</w:t>
      </w:r>
    </w:p>
    <w:p>
      <w:pPr>
        <w:spacing w:after="0" w:line="182"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cumulative impact of adopting ASC 606, which was immaterial, was a net increase in the opening balance of retained earnings of $14,294, net of tax, from total amount of $4,673,901 to $4,688,195. The impact was primarily related to (i) the removal of the limitation on contingent revenue, as revenue allocated to satisfied performance obligations is no longer restricted to the amount that is not contingent upon the satisfaction of additional performance obligations (ii) the change of definition of contract term to represent the period for which enforceable rights and obligations exist, and (iii) the capitalization and amortization of certain sales commissions in accordance with ASC 606.</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depicts the impact of adoption as of October 1, 2018 on the Company’s consolidated balance sheet:</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October 1, 2018</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Balance as of</w:t>
            </w:r>
          </w:p>
        </w:tc>
        <w:tc>
          <w:tcPr>
            <w:tcW w:w="460" w:type="dxa"/>
            <w:vAlign w:val="bottom"/>
          </w:tcPr>
          <w:p>
            <w:pPr>
              <w:spacing w:after="0"/>
              <w:rPr>
                <w:sz w:val="10"/>
                <w:szCs w:val="10"/>
                <w:color w:val="auto"/>
              </w:rPr>
            </w:pPr>
          </w:p>
        </w:tc>
        <w:tc>
          <w:tcPr>
            <w:tcW w:w="12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2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Balance as of</w:t>
            </w:r>
          </w:p>
        </w:tc>
        <w:tc>
          <w:tcPr>
            <w:tcW w:w="60" w:type="dxa"/>
            <w:vAlign w:val="bottom"/>
          </w:tcPr>
          <w:p>
            <w:pPr>
              <w:spacing w:after="0"/>
              <w:rPr>
                <w:sz w:val="10"/>
                <w:szCs w:val="10"/>
                <w:color w:val="auto"/>
              </w:rPr>
            </w:pP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due to</w:t>
            </w:r>
          </w:p>
        </w:tc>
        <w:tc>
          <w:tcPr>
            <w:tcW w:w="1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October 1,</w:t>
            </w:r>
          </w:p>
        </w:tc>
      </w:tr>
      <w:tr>
        <w:trPr>
          <w:trHeight w:val="17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500" w:type="dxa"/>
            <w:vAlign w:val="bottom"/>
            <w:gridSpan w:val="2"/>
          </w:tcPr>
          <w:p>
            <w:pPr>
              <w:jc w:val="center"/>
              <w:ind w:left="1532"/>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ASC 606</w:t>
            </w:r>
          </w:p>
        </w:tc>
        <w:tc>
          <w:tcPr>
            <w:tcW w:w="9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r>
      <w:tr>
        <w:trPr>
          <w:trHeight w:val="156"/>
        </w:trPr>
        <w:tc>
          <w:tcPr>
            <w:tcW w:w="4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w:t>
            </w:r>
          </w:p>
        </w:tc>
        <w:tc>
          <w:tcPr>
            <w:tcW w:w="16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100" w:type="dxa"/>
            <w:vAlign w:val="bottom"/>
            <w:gridSpan w:val="2"/>
          </w:tcPr>
          <w:p>
            <w:pPr>
              <w:ind w:left="360"/>
              <w:spacing w:after="0"/>
              <w:rPr>
                <w:sz w:val="20"/>
                <w:szCs w:val="20"/>
                <w:color w:val="auto"/>
              </w:rPr>
            </w:pPr>
            <w:r>
              <w:rPr>
                <w:rFonts w:ascii="Arial" w:cs="Arial" w:eastAsia="Arial" w:hAnsi="Arial"/>
                <w:sz w:val="18"/>
                <w:szCs w:val="18"/>
                <w:color w:val="auto"/>
              </w:rPr>
              <w:t>Account receivable- unbilled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  263,997</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   10,039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274,036</w:t>
            </w:r>
          </w:p>
        </w:tc>
      </w:tr>
      <w:tr>
        <w:trPr>
          <w:trHeight w:val="216"/>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(971)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229,028</w:t>
            </w:r>
          </w:p>
        </w:tc>
      </w:tr>
      <w:tr>
        <w:trPr>
          <w:trHeight w:val="216"/>
        </w:trPr>
        <w:tc>
          <w:tcPr>
            <w:tcW w:w="410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420,369</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15,636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436,005</w:t>
            </w:r>
          </w:p>
        </w:tc>
      </w:tr>
      <w:tr>
        <w:trPr>
          <w:trHeight w:val="216"/>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14,048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146,462</w:t>
            </w:r>
          </w:p>
        </w:tc>
      </w:tr>
      <w:tr>
        <w:trPr>
          <w:trHeight w:val="216"/>
        </w:trPr>
        <w:tc>
          <w:tcPr>
            <w:tcW w:w="410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706,637</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(14,062)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692,575</w:t>
            </w:r>
          </w:p>
        </w:tc>
      </w:tr>
      <w:tr>
        <w:trPr>
          <w:trHeight w:val="216"/>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224,572</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10,424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234,996</w:t>
            </w:r>
          </w:p>
        </w:tc>
      </w:tr>
      <w:tr>
        <w:trPr>
          <w:trHeight w:val="230"/>
        </w:trPr>
        <w:tc>
          <w:tcPr>
            <w:tcW w:w="41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4,673,901</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14,294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4,688,195</w:t>
            </w:r>
          </w:p>
        </w:tc>
      </w:tr>
      <w:tr>
        <w:trPr>
          <w:trHeight w:val="350"/>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20" w:type="dxa"/>
            <w:vAlign w:val="bottom"/>
          </w:tcPr>
          <w:p>
            <w:pPr>
              <w:jc w:val="right"/>
              <w:ind w:right="912"/>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Revenue Recognition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As discussed in Note 3, the Company adopted ASC 606 using the modified retrospective transition method. Other than the policies discussed below, no material changes have been made to the Company’s significant accounting policies disclosed in Note 2, Summary of Significant Accounting Policies, in its Annual Report on Form 20-F, filed on December 10, 2018, for the fiscal year ended September 30, 2018.</w:t>
      </w:r>
    </w:p>
    <w:p>
      <w:pPr>
        <w:spacing w:after="0" w:line="166"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 under the five-step methodology required under ASC 606, which requires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 xml:space="preserve">Revenue Recognition for projects </w:t>
      </w:r>
      <w:r>
        <w:rPr>
          <w:rFonts w:ascii="Arial" w:cs="Arial" w:eastAsia="Arial" w:hAnsi="Arial"/>
          <w:sz w:val="18"/>
          <w:szCs w:val="18"/>
          <w:color w:val="auto"/>
        </w:rPr>
        <w:t>- The Company usually sells its software licenses as part of an overall solution offered to a customer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customization, modification, implementation and integration. Those services are deemed essential to the software revenues for these projects are recognized over time, usually based on a percentage that incurred labor effort to date bears to total projected labor effort. Incurred effort represents work performed, which corresponds with, and thereby best depicts, the transfer of control to the customer.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 Revenue for services that are not deemed essential to the software is recognized over time as services are preformed.</w:t>
      </w:r>
    </w:p>
    <w:p>
      <w:pPr>
        <w:spacing w:after="0" w:line="192"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47"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7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i w:val="1"/>
          <w:iCs w:val="1"/>
          <w:color w:val="auto"/>
        </w:rPr>
        <w:t xml:space="preserve">Revenue Recognition for managed services arrangement </w:t>
      </w:r>
      <w:r>
        <w:rPr>
          <w:rFonts w:ascii="Arial" w:cs="Arial" w:eastAsia="Arial" w:hAnsi="Arial"/>
          <w:sz w:val="18"/>
          <w:szCs w:val="18"/>
          <w:color w:val="auto"/>
        </w:rPr>
        <w:t>- Managed services arrangements include management of data center operations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application management and ongoing support, management of end-to-end business processes, and managed transformation that includes both a transformation project as well as taking over managed services responsibility.</w:t>
      </w:r>
    </w:p>
    <w:p>
      <w:pPr>
        <w:spacing w:after="0" w:line="181"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revenue from managed services arrangement is recognized for each individual performance obligation according to its relevant revenue category, including but not limited to, revenue from the management of a customer’s operations, revenue from projects and revenue from on going support services.</w:t>
      </w:r>
    </w:p>
    <w:p>
      <w:pPr>
        <w:spacing w:after="0" w:line="18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Revenue from the management of a customer’s operations pursuant to managed services arrangements, is recognized over time as services are performed, using one method of measuring performance such as time elapsed, output produced, volume of data processed or subscriber count that provides the most faithful depiction of the transfer of services. pursuant to the specific contract terms of the managed services arrangement. Typically, managed services arrangements are long-term in duration and are not subject to significant seasonality.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Revenue Recognition for ongoing support services - </w:t>
      </w:r>
      <w:r>
        <w:rPr>
          <w:rFonts w:ascii="Arial" w:cs="Arial" w:eastAsia="Arial" w:hAnsi="Arial"/>
          <w:sz w:val="18"/>
          <w:szCs w:val="18"/>
          <w:color w:val="auto"/>
        </w:rPr>
        <w:t>Revenue from ongoing support services is recognized as work is performed.</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Revenue Recognition for third-party hardware and software </w:t>
      </w:r>
      <w:r>
        <w:rPr>
          <w:rFonts w:ascii="Arial" w:cs="Arial" w:eastAsia="Arial" w:hAnsi="Arial"/>
          <w:sz w:val="18"/>
          <w:szCs w:val="18"/>
          <w:color w:val="auto"/>
        </w:rPr>
        <w:t>- Third-party hardware sales are recognized upon delivery or installation, and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third-party software sales is recognized upon delivery. Revenue from third-party hardware and software sales is recorded at gross amount for transactions in which the Company is the primary obligor under the arrangement. In specific circumstances where the Company does not meet the above criteria, particularly when the contract stipulates that the Company is not the primary obligor, the Company recognizes revenue on a net basis. In certain arrangements, the Company may earn revenue from other third-party services which is recorded at a gross amount as the Company is the primary obligor under the arrangement.</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Arrangements with Multiple Performance Obligations </w:t>
      </w:r>
      <w:r>
        <w:rPr>
          <w:rFonts w:ascii="Arial" w:cs="Arial" w:eastAsia="Arial" w:hAnsi="Arial"/>
          <w:sz w:val="17"/>
          <w:szCs w:val="17"/>
          <w:color w:val="auto"/>
        </w:rPr>
        <w:t>- Many of the Company’s agreements include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78"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Billing terms and conditions generally vary by contract category. Amounts are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has determined that its contracts do not include a significant financing component. The Company elected to use the practical expedient in assessing the financing component in contracts where the time between cash collection and performance is less than one year.</w:t>
      </w:r>
    </w:p>
    <w:p>
      <w:pPr>
        <w:spacing w:after="0" w:line="188"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i w:val="1"/>
          <w:iCs w:val="1"/>
          <w:color w:val="auto"/>
        </w:rPr>
        <w:t xml:space="preserve">Accounts Receivable - Unbilled - </w:t>
      </w:r>
      <w:r>
        <w:rPr>
          <w:rFonts w:ascii="Arial" w:cs="Arial" w:eastAsia="Arial" w:hAnsi="Arial"/>
          <w:sz w:val="18"/>
          <w:szCs w:val="18"/>
          <w:color w:val="auto"/>
        </w:rPr>
        <w:t>Unbilled accounts receivable include all revenue amounts that had not been billed as of the balance sheet date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contractual billing terms with customers. Unbilled accounts receivable that are expected to be billed beyond the next 12 months are considered long-term unbilled receivables and included in other noncurrent assets.</w:t>
      </w:r>
    </w:p>
    <w:p>
      <w:pPr>
        <w:spacing w:after="0" w:line="18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i w:val="1"/>
          <w:iCs w:val="1"/>
          <w:color w:val="auto"/>
        </w:rPr>
        <w:t xml:space="preserve">Deferred Revenue - </w:t>
      </w:r>
      <w:r>
        <w:rPr>
          <w:rFonts w:ascii="Arial" w:cs="Arial" w:eastAsia="Arial" w:hAnsi="Arial"/>
          <w:sz w:val="18"/>
          <w:szCs w:val="18"/>
          <w:color w:val="auto"/>
        </w:rPr>
        <w:t>deferred revenue represents billings to customers for which revenue has not yet been recognized. Deferred revenue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recognized beyond the next 12 months is considered long-term deferred revenue.</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i w:val="1"/>
          <w:iCs w:val="1"/>
          <w:color w:val="auto"/>
        </w:rPr>
        <w:t xml:space="preserve">Assets Recognized from the Costs to Obtain a Contract with a Customer - </w:t>
      </w:r>
      <w:r>
        <w:rPr>
          <w:rFonts w:ascii="Arial" w:cs="Arial" w:eastAsia="Arial" w:hAnsi="Arial"/>
          <w:sz w:val="17"/>
          <w:szCs w:val="17"/>
          <w:color w:val="auto"/>
        </w:rPr>
        <w:t>Incremental costs of obtaining a contract (e.g., sales commissions)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and amortized on a straight-line basis over the average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Total capitalized costs to obtain a contract were immaterial during the periods presented and are included in other noncurrent assets in the Company’s consolidated balance sheets. The amortization of these costs is included in selling, general and administrative expenses in the Company’s consolidated statements of income.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Transition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impact of adopting the new standard for the three and six months ended March 31, 2019 was an increase of approximately $8,969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$15,827 to revenue, respectively and a decrease of approximately $14,512 and $11,501 to cost of revenue, respectively. The impact of adopting the new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standard on the balance sheet of March 31, 2019 are primarily as a result of the transition adjustments presented in Note 3 to the consolidated financial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statements.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97"/>
              </w:rPr>
              <w:t>As of</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0"/>
                <w:szCs w:val="10"/>
                <w:color w:val="auto"/>
              </w:rPr>
            </w:pPr>
          </w:p>
        </w:tc>
        <w:tc>
          <w:tcPr>
            <w:tcW w:w="12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October 1,</w:t>
            </w: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2018 (as</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adjusted)</w:t>
            </w:r>
          </w:p>
        </w:tc>
        <w:tc>
          <w:tcPr>
            <w:tcW w:w="1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Accounts receivable - billed (net of allowances for doubtful accounts of</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$21,211 and $20,122 October 1, 2018 and March 31, 2019,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707,505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707,505</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263,997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274,036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Accounts receivable – unbilled</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279,683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287,221</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211,945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(132,414)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(146,462)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(27,977)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(27,977)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160,391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174,439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178,263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Revenue recognized during the three and six months ended March 31, 2019, which was included in deferred revenue (current) as of December 31, 2018 and October 1, 2018 was $37,369 and $63,560, respectively.</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Amounts billed during the three and six months ended March 31, 2019, included in unbilled accounts receivable (current) as of December 31, 2018 and October 1, 2018, was $73,194 and $114,765,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As of March 31, 2019, the aggregate amount of the transaction price allocated to remaining performance obligations that are unsatisfied or partially unsatisfied was approximately $4.7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2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559,484</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$508,942</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$1,084,953</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$1,027,668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Others</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460,173</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483,398</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946,759</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1,019,657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992,340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2,031,712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1,970,051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60" w:type="dxa"/>
            <w:vAlign w:val="bottom"/>
            <w:vMerge w:val="restart"/>
          </w:tcPr>
          <w:p>
            <w:pPr>
              <w:jc w:val="right"/>
              <w:ind w:right="63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634,158</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$624,221</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$1,294,599</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$1,267,252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148,593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297,169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282,293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219,526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439,944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420,506</w:t>
            </w:r>
          </w:p>
        </w:tc>
        <w:tc>
          <w:tcPr>
            <w:tcW w:w="40" w:type="dxa"/>
            <w:vAlign w:val="bottom"/>
            <w:shd w:val="clear" w:color="auto" w:fill="CCEEFF"/>
          </w:tcPr>
          <w:p>
            <w:pPr>
              <w:spacing w:after="0"/>
              <w:rPr>
                <w:sz w:val="18"/>
                <w:szCs w:val="18"/>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1,019,657</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992,340</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2,031,712</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1,970,051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640" w:right="14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2019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As of March 31, 2019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Level 3</w:t>
            </w:r>
          </w:p>
        </w:tc>
        <w:tc>
          <w:tcPr>
            <w:tcW w:w="18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22,949</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35,201</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14,862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(35,858)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(35,858)</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22,949</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35,266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(20,996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$ 37,219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80" w:type="dxa"/>
            <w:vAlign w:val="bottom"/>
            <w:vMerge w:val="restart"/>
          </w:tcPr>
          <w:p>
            <w:pPr>
              <w:jc w:val="right"/>
              <w:ind w:right="121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As of September 30, 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$ 47,531</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47,531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30,883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23,258</w:t>
            </w:r>
          </w:p>
        </w:tc>
        <w:tc>
          <w:tcPr>
            <w:tcW w:w="4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54,141</w:t>
            </w: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(27,842)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(27,842)</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0"/>
              </w:rPr>
              <w:t>(37,954)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(37,954)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54,141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$ 49,333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(37,954)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2019. Level 3 liabilities relate to certain acquisition-related liabilities, which were valued using a Monte-Carlo simulation model. These liabilities were included in both accrued expenses and other current liabilities and other noncurrent liabilities as of March 31, 2019 and September 30, 2018. Level 3 assets relate to an equity investment, which was valued based on price changes in orderly transactions for similar investments of the same issuer.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March 31, 2019</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16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180" w:type="dxa"/>
            <w:vAlign w:val="bottom"/>
            <w:gridSpan w:val="3"/>
          </w:tcPr>
          <w:p>
            <w:pPr>
              <w:jc w:val="center"/>
              <w:ind w:left="399"/>
              <w:spacing w:after="0" w:line="149" w:lineRule="exact"/>
              <w:rPr>
                <w:sz w:val="20"/>
                <w:szCs w:val="20"/>
                <w:color w:val="auto"/>
              </w:rPr>
            </w:pPr>
            <w:r>
              <w:rPr>
                <w:rFonts w:ascii="Arial" w:cs="Arial" w:eastAsia="Arial" w:hAnsi="Arial"/>
                <w:sz w:val="14"/>
                <w:szCs w:val="14"/>
                <w:b w:val="1"/>
                <w:bCs w:val="1"/>
                <w:color w:val="auto"/>
                <w:w w:val="93"/>
              </w:rPr>
              <w:t>Unrealized</w:t>
            </w:r>
          </w:p>
        </w:tc>
        <w:tc>
          <w:tcPr>
            <w:tcW w:w="4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4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$ 20,727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$20,583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15,420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7,649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8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$ 58,552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0" w:hanging="436"/>
        <w:spacing w:after="0" w:line="27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2019, $50,501 of securities were classified as short-term interest-bearing investments and $7,649 of securities were classified as cash and cash equivalents.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As of September 30, 2018</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8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10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w w:val="82"/>
              </w:rPr>
              <w:t>Losses</w:t>
            </w:r>
          </w:p>
        </w:tc>
        <w:tc>
          <w:tcPr>
            <w:tcW w:w="4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16,297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132,908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540" w:hanging="436"/>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2018, $100,433 of securities were classified as short-term interest-bearing investments and $30,883 of securities were classified as cash and cash equivalents.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of March 31, 2019,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six months ended March 31, 2019 and 2018. Realized gains and losses on available-for-sale securities are included in earnings and are derived using the first-in-first-out (FIFO) method for determining the cost of securities.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2019, the Company’s available-for-sale securities had the following maturity dates: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Market</w:t>
            </w: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1 to 2 years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36,949</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3 to 4 years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58,150</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$2,884 as of March 31, 2019. The Company has limited its credit risk by entering into derivative transactions exclusively with investment-grade rated financial institutions and monitors the creditworthiness of these financial institutions on an ongoing basis.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2019. Notional values are in U.S. dollars and are translated and calculated based on forward rates as of March 31, 2019 for forward contracts, and based on spot rates as of March 31, 2019 for options.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Notional</w:t>
            </w:r>
          </w:p>
        </w:tc>
      </w:tr>
      <w:tr>
        <w:trPr>
          <w:trHeight w:val="171"/>
        </w:trPr>
        <w:tc>
          <w:tcPr>
            <w:tcW w:w="6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Value*</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$1,226,178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20" w:hanging="436"/>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March 31, 2019 and September 30, 2018, is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34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3,876</w:t>
            </w:r>
          </w:p>
        </w:tc>
        <w:tc>
          <w:tcPr>
            <w:tcW w:w="18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(7,108)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(17,681)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(1,835)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(10,030)</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(2,961)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(1,525)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w:t>
            </w: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3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(27,842)</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March 31, 2019 is scheduled to mature within the next 12 months.</w:t>
      </w:r>
    </w:p>
    <w:p>
      <w:pPr>
        <w:spacing w:after="0" w:line="15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ind w:left="200" w:right="6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six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31, 2019 and 2018, respectively, which partially offsets the foreign currency impact from the underlying exposures, is summarized as follows:</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6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91"/>
              </w:rPr>
              <w:t>(Losses) Gains Reclassified from Other</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60" w:type="dxa"/>
            <w:vAlign w:val="bottom"/>
            <w:gridSpan w:val="1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Comprehensive Income (Loss) (Effective Portion)</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8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Revenue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 (1,129)</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(2,879)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(2,078)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(4,240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11,423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(13,151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22,046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(loss) income, net of tax, is as follows:</w:t>
      </w:r>
    </w:p>
    <w:p>
      <w:pPr>
        <w:spacing w:after="0" w:line="189"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Six months ended</w:t>
      </w:r>
    </w:p>
    <w:p>
      <w:pPr>
        <w:jc w:val="center"/>
        <w:ind w:left="63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(loss) gains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(26,608)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$ 24,508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12,265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11,473</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(19,734)</w:t>
            </w: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unrealized (loss) gains on cash flow hedges, net of tax,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$ 13,249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(loss) were $11,221 and $8,502, or $12,265 and $8,475 net of taxes, during the six months ended March 31, 2019 and 2018, respectively.</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Of the net unrealized loss related to derivatives designated as cash flow hedges and recorded in accumulated other comprehensive (loss) income as of March 31, 2019, a net loss of $2,708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2019 and 2018, was not material.</w:t>
      </w:r>
    </w:p>
    <w:p>
      <w:pPr>
        <w:spacing w:after="0" w:line="170"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2019 and 2018, respectively, which partially offsets the foreign currency impact from the underlying exposure, is summarized as follows: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13"/>
          </w:tcPr>
          <w:p>
            <w:pPr>
              <w:jc w:val="right"/>
              <w:ind w:right="620"/>
              <w:spacing w:after="0"/>
              <w:rPr>
                <w:sz w:val="20"/>
                <w:szCs w:val="20"/>
                <w:color w:val="auto"/>
              </w:rPr>
            </w:pPr>
            <w:r>
              <w:rPr>
                <w:rFonts w:ascii="Arial" w:cs="Arial" w:eastAsia="Arial" w:hAnsi="Arial"/>
                <w:sz w:val="14"/>
                <w:szCs w:val="14"/>
                <w:b w:val="1"/>
                <w:bCs w:val="1"/>
                <w:color w:val="auto"/>
                <w:w w:val="90"/>
              </w:rPr>
              <w:t>Gains (Losses) Recognized in Income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  (724)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 (218)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(384)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and other expense, net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540" w:type="dxa"/>
            <w:vAlign w:val="bottom"/>
            <w:gridSpan w:val="2"/>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(185)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2,934</w:t>
            </w:r>
          </w:p>
        </w:tc>
        <w:tc>
          <w:tcPr>
            <w:tcW w:w="8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6"/>
          </w:tcPr>
          <w:p>
            <w:pPr>
              <w:jc w:val="center"/>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94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$238,877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256,012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1620" w:type="dxa"/>
            <w:vAlign w:val="bottom"/>
            <w:gridSpan w:val="7"/>
          </w:tcPr>
          <w:p>
            <w:pPr>
              <w:jc w:val="right"/>
              <w:spacing w:after="0"/>
              <w:rPr>
                <w:sz w:val="20"/>
                <w:szCs w:val="20"/>
                <w:color w:val="auto"/>
              </w:rPr>
            </w:pPr>
            <w:r>
              <w:rPr>
                <w:rFonts w:ascii="Arial" w:cs="Arial" w:eastAsia="Arial" w:hAnsi="Arial"/>
                <w:sz w:val="18"/>
                <w:szCs w:val="18"/>
                <w:color w:val="auto"/>
              </w:rPr>
              <w:t>156,494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155,739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46,141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Dividends payable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39,084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35,046</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177,571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211,176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gridSpan w:val="7"/>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666,800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706,637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3"/>
          </w:tcPr>
          <w:p>
            <w:pPr>
              <w:ind w:left="440"/>
              <w:spacing w:after="0"/>
              <w:rPr>
                <w:sz w:val="20"/>
                <w:szCs w:val="20"/>
                <w:color w:val="auto"/>
              </w:rPr>
            </w:pPr>
            <w:r>
              <w:rPr>
                <w:rFonts w:ascii="Arial" w:cs="Arial" w:eastAsia="Arial" w:hAnsi="Arial"/>
                <w:sz w:val="18"/>
                <w:szCs w:val="18"/>
                <w:color w:val="auto"/>
                <w:w w:val="99"/>
              </w:rPr>
              <w:t>The provision (benefit) for income taxes for the following periods consisted of:</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Three months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$15,130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$21,680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$52,562</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24,030</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56,957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ind w:left="542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Three months</w:t>
            </w: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Foreign taxes (1)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16.2</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7"/>
              </w:rPr>
              <w:t>16.2%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7"/>
              </w:rPr>
              <w:t>20.1%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13.9%</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694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taxes (1):</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Foreign taxes in the six months ended March 31, 2019 included a tax expense of $4,137 resulting from an internal restructuring in certain jurisdictions in which the Company operates.</w:t>
      </w:r>
    </w:p>
    <w:p>
      <w:pPr>
        <w:spacing w:after="0" w:line="17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Foreign taxes in the six months ended March 31, 2019 also included $40,859 relating to release of a provision for gross unrecognized tax benefits due to conclusions of tax audits and expiration of the periods set forth in statutes of limitations in certain jurisdictions, the vast majority of which was offset by income tax payments and an increase in Tax Payables. Accordingly a net benefit of $3,488, was recorded in income tax expense.</w:t>
      </w:r>
    </w:p>
    <w:p>
      <w:pPr>
        <w:spacing w:after="0" w:line="14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During the six months ended March 31, 2018, as a result of funding decisions for the construction of the Company’s new campus in Israel the Company recorded a tax benefit of $23,099 related to the release of withholding and income tax reserves for pre-2018 unremitted earnings.</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Foreign taxes in the six months ended March 31, 2018 also included a benefit of $6,130 relating to release of gross unrecognized tax benefits due to conclusions of tax audits and expiration of the periods set forth in statutes of limitations in certain jurisdictions.</w:t>
      </w:r>
    </w:p>
    <w:p>
      <w:pPr>
        <w:spacing w:after="0" w:line="170"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In addition, foreign taxes in the six months ended March 31, 2018 included a net benefit of $2,950 relating to changes in tax law in United States. The benefit is attributable to re-evaluation of the Company’s deferred tax assets and liabilities due to the expected lower blended effective U.S. federal tax rate when the assets and liabilities are expected to be utilized, partially offset by the deemed repatriation of foreign income.</w:t>
      </w:r>
    </w:p>
    <w:p>
      <w:pPr>
        <w:spacing w:after="0" w:line="166"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In addition, foreign taxes in the six months ended March 31, 2018, included an indirect consequence to the changes in tax law in the United States as the Company no longer makes a permanently reinvest assertion relating to one of its subsidiaries, therefore, a tax liability of $4,059 was recorded related to the tax implications of remitting earnings that were previously asserted as permanently reinvested.</w:t>
      </w:r>
    </w:p>
    <w:p>
      <w:pPr>
        <w:spacing w:after="0" w:line="166"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Foreign taxes in the six months ended March 31, 2018 also included a tax expense of $8,931 resulting from the increase of valuation allowances on deferred tax assets at one of the Company’s subsidiaries, which may not be realized based on the Company’s projections of future taxable income.</w:t>
      </w:r>
    </w:p>
    <w:p>
      <w:pPr>
        <w:spacing w:after="0" w:line="12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As of March 31, 2019, deferred tax assets of $111,976,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$165,045 as of March 31, 2019, all of which would affect the effective tax rate if realized.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March 31, 2019, the Company had accrued $30,112 in income taxes payable for interest and penalties relating to unrecognized tax benefits.</w:t>
      </w:r>
    </w:p>
    <w:p>
      <w:pPr>
        <w:spacing w:after="0" w:line="24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124,279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101,727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225,971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Less-net income and dividends attributable to participating restricted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Numerator for basic earnings per common share</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123,412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100,978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224,408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216,936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w w:val="99"/>
              </w:rPr>
              <w:t>Less-undistributed income reallocated to participating restricted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for diluted earnings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123,414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100,983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224,413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143,030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Less- weighted average number of participating restricted shares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 basic</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141,977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137,957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340"/>
              <w:spacing w:after="0"/>
              <w:rPr>
                <w:sz w:val="20"/>
                <w:szCs w:val="20"/>
                <w:color w:val="auto"/>
              </w:rPr>
            </w:pPr>
            <w:r>
              <w:rPr>
                <w:rFonts w:ascii="Arial" w:cs="Arial" w:eastAsia="Arial" w:hAnsi="Arial"/>
                <w:sz w:val="18"/>
                <w:szCs w:val="18"/>
                <w:color w:val="auto"/>
              </w:rPr>
              <w:t>Effect of dilutive stock options granted</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 diluted</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137,733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143,337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138,651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3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For the three and six months ended March 31, 2019, 4,941 and 3,548 shares, respectively, on a weighted average basis, were attributable to antidilutive outstanding stock options. For the three and six months ended March 31, 2018, 1,394 and 936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In the six months ended March 31, 2019, the Company repurchased 3,726 ordinary shares at an average price of $58.82 per share (excluding broker and transaction fees). The November 2017 plan permits the Company to purchase its ordinary shares in open market or privately negotiated transactions at times and prices that it considers appropriate. As of March 31, 2019, the Company had remaining authority to repurchase up to $417,970 of its outstanding ordinary shares under the November 2017 plan.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As of March 31, 2019, the Company was in compliance with the financial covenants under the revolving credit facility and had no outstanding borrowings under the facility.</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of March 31, 2019, the Company had additional uncommitted lines of credit available for general corporate and other specific purposes and had outstanding letters of credit and bank guarantees from various banks totaling $47,295. These were supported by a combination of the uncommitted lines of credit that the Company maintains with various banks.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 Also, in accordance with the Equity Incentive Plan, options are issued at or above the market price at the time of grant.</w:t>
      </w:r>
    </w:p>
    <w:p>
      <w:pPr>
        <w:spacing w:after="0" w:line="178"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During the six months ended March 31, 2019, the Company granted 503 restricted shares and options to purchase 1,879 ordinary shares. The weighted average fair values associated with these grants were $61.61 per restricted share and $9.17 per option.</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2019 and 2018 was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13,045</w:t>
            </w:r>
          </w:p>
        </w:tc>
        <w:tc>
          <w:tcPr>
            <w:tcW w:w="40" w:type="dxa"/>
            <w:vAlign w:val="bottom"/>
            <w:shd w:val="clear" w:color="auto" w:fill="CCEEFF"/>
          </w:tcPr>
          <w:p>
            <w:pPr>
              <w:spacing w:after="0"/>
              <w:rPr>
                <w:sz w:val="18"/>
                <w:szCs w:val="18"/>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9,614</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10,558</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21,731</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24,063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March 31, 2019, there was $53,081 of unrecognized compensation expense related to unvested stock options and unvested restricted shares which is expected to be recognized over a weighted average period of approximately one year, based on the vesting periods of the grants.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2019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Dividends</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7"/>
              </w:rPr>
              <w:t>Per</w:t>
            </w:r>
          </w:p>
        </w:tc>
        <w:tc>
          <w:tcPr>
            <w:tcW w:w="1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9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1140" w:type="dxa"/>
            <w:vAlign w:val="bottom"/>
          </w:tcPr>
          <w:p>
            <w:pPr>
              <w:spacing w:after="0"/>
              <w:rPr>
                <w:sz w:val="12"/>
                <w:szCs w:val="12"/>
                <w:color w:val="auto"/>
              </w:rPr>
            </w:pPr>
          </w:p>
        </w:tc>
        <w:tc>
          <w:tcPr>
            <w:tcW w:w="16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58"/>
        </w:trPr>
        <w:tc>
          <w:tcPr>
            <w:tcW w:w="226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5, 2019</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0.285</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29, 2019</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39,084</w:t>
            </w:r>
          </w:p>
        </w:tc>
        <w:tc>
          <w:tcPr>
            <w:tcW w:w="1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0.250</w:t>
            </w:r>
          </w:p>
        </w:tc>
        <w:tc>
          <w:tcPr>
            <w:tcW w:w="2760" w:type="dxa"/>
            <w:vAlign w:val="bottom"/>
            <w:gridSpan w:val="2"/>
          </w:tcPr>
          <w:p>
            <w:pPr>
              <w:ind w:left="1140"/>
              <w:spacing w:after="0"/>
              <w:rPr>
                <w:sz w:val="20"/>
                <w:szCs w:val="20"/>
                <w:color w:val="auto"/>
              </w:rPr>
            </w:pPr>
            <w:r>
              <w:rPr>
                <w:rFonts w:ascii="Arial" w:cs="Arial" w:eastAsia="Arial" w:hAnsi="Arial"/>
                <w:sz w:val="18"/>
                <w:szCs w:val="18"/>
                <w:color w:val="auto"/>
              </w:rPr>
              <w:t>December 31, 2018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34,755</w:t>
            </w:r>
          </w:p>
        </w:tc>
        <w:tc>
          <w:tcPr>
            <w:tcW w:w="2600" w:type="dxa"/>
            <w:vAlign w:val="bottom"/>
            <w:gridSpan w:val="2"/>
          </w:tcPr>
          <w:p>
            <w:pPr>
              <w:ind w:left="1140"/>
              <w:spacing w:after="0"/>
              <w:rPr>
                <w:sz w:val="20"/>
                <w:szCs w:val="20"/>
                <w:color w:val="auto"/>
              </w:rPr>
            </w:pPr>
            <w:r>
              <w:rPr>
                <w:rFonts w:ascii="Arial" w:cs="Arial" w:eastAsia="Arial" w:hAnsi="Arial"/>
                <w:sz w:val="18"/>
                <w:szCs w:val="18"/>
                <w:color w:val="auto"/>
              </w:rPr>
              <w:t>January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27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March 30, 2018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35,637</w:t>
            </w:r>
          </w:p>
        </w:tc>
        <w:tc>
          <w:tcPr>
            <w:tcW w:w="26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November 8, 2017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0.220</w:t>
            </w:r>
          </w:p>
        </w:tc>
        <w:tc>
          <w:tcPr>
            <w:tcW w:w="2760" w:type="dxa"/>
            <w:vAlign w:val="bottom"/>
            <w:gridSpan w:val="2"/>
          </w:tcPr>
          <w:p>
            <w:pPr>
              <w:ind w:left="1140"/>
              <w:spacing w:after="0"/>
              <w:rPr>
                <w:sz w:val="20"/>
                <w:szCs w:val="20"/>
                <w:color w:val="auto"/>
              </w:rPr>
            </w:pPr>
            <w:r>
              <w:rPr>
                <w:rFonts w:ascii="Arial" w:cs="Arial" w:eastAsia="Arial" w:hAnsi="Arial"/>
                <w:sz w:val="18"/>
                <w:szCs w:val="18"/>
                <w:color w:val="auto"/>
              </w:rPr>
              <w:t>December 29, 2017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31,556</w:t>
            </w:r>
          </w:p>
        </w:tc>
        <w:tc>
          <w:tcPr>
            <w:tcW w:w="2600" w:type="dxa"/>
            <w:vAlign w:val="bottom"/>
            <w:gridSpan w:val="2"/>
          </w:tcPr>
          <w:p>
            <w:pPr>
              <w:ind w:left="1140"/>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The amounts payable as a result of the February 5, 2019 and January 30, 2018 declarations were included in accrued expenses and other current liabilities as of March 31, 2019 and 2018,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On May 14, 2019, the Company’s Board of Directors approved a quarterly dividend payment of $0.285 per share and set June 28, 2019 as the record date for determining the shareholders entitled to receive the dividend, which will be payable on July 19,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Since 2014, the Company has been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continued. The District Court scheduled a tentative jury trial date for late October 2018. The Company filed a motion for summary judgment with the District Court during fiscal year 2018 and the District Court partially granted the motion with respect to two trade secrets.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During the six months ended March 31, 2019 the Company paid the settlement amount of $50,000 and $5,000 in legal and other fees which were accrued as of September 30, 2018.</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200" w:right="160" w:firstLine="441"/>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ind w:left="200" w:right="2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2018, filed on December 10, 2018 with the U.S. Securities and Exchange Commission.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Amdocs is a leading provider of software and services for more than 350 communications, Pay TV, entertainment and media industry and other service providers in developed countries and emerging markets. Our software and services, which we develop, implement and manage, are designed to meet the key industry journeys of our customers. These journeys include the need to deliver a digital-first user experience and grow consumer revenues; expand the media and entertainment business; provide a superior, automated enterprise service; transform to an open network and realize 5G, and accelerate business and IT velocity. Our amdocsONE solution set, launched in the second quarter of fiscal 2018, leverages industry-specific best practices and methodologies to give service providers of all sizes the business agility to successfully navigate the continuous digital transformation process.</w:t>
      </w:r>
    </w:p>
    <w:p>
      <w:pPr>
        <w:spacing w:after="0" w:line="18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amdocsONE is designed to meet the challenges facing our customers as they transform into digital service providers within the framework of a hybrid IT environment, which requires them to rapidly introduce new cloud-native applications while still operating legacy systems. amdocsONE’s open, modular and integrated solution set introduces a rich group of capabilities built on cloud-native, microservices and machine-learning technologies, and is delivered based on modern DevOps practices. Our comprehensive line of services is designed to address every stage of a service provider’s lifecycle. They include advisory services, managed services, autonomous network service assurance, digital business operations, quality engineering services, and data and intelligence services.</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the second quarter of fiscal 2018, we acquired Vubiquity, a leading provider of premium content services and technology solutions, to further expand into the media business where Amdocs now has technology and distribution ties to more than 600 content creators, bringing premium content to over 1,000 video distributors worldwide.</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the six months ended March 31, 2019, customers in North America accounted for 63.7% of our revenue, while customers in Europe and the rest of the world accounted for 14.6% and 21.7%,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60" w:right="1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ectPr>
          <w:pgSz w:w="11900" w:h="16838" w:orient="portrait"/>
          <w:cols w:equalWidth="0" w:num="1">
            <w:col w:w="11200"/>
          </w:cols>
          <w:pgMar w:left="240" w:top="459" w:right="459" w:bottom="1440" w:gutter="0" w:footer="0" w:header="0"/>
        </w:sectPr>
      </w:pP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00"/>
          </w:cols>
          <w:pgMar w:left="24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1"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Revenue from managed services arrangements accounted for approximately $559.5 million and $508.9 million in the three months ended March 31, 2019 and 2018, respectively, and $1.08 billion and $1.03 billion in the six months ended March 31, 2019 and 2018, respectively. In the initial period of our managed services arrangements, we often invest in modernization and consolidation of the customer’s systems.</w:t>
      </w:r>
    </w:p>
    <w:p>
      <w:pPr>
        <w:spacing w:after="0" w:line="2" w:lineRule="exact"/>
        <w:rPr>
          <w:sz w:val="20"/>
          <w:szCs w:val="20"/>
          <w:color w:val="auto"/>
        </w:rPr>
      </w:pPr>
    </w:p>
    <w:p>
      <w:pPr>
        <w:ind w:left="200" w:right="40"/>
        <w:spacing w:after="0" w:line="290" w:lineRule="auto"/>
        <w:rPr>
          <w:sz w:val="20"/>
          <w:szCs w:val="20"/>
          <w:color w:val="auto"/>
        </w:rPr>
      </w:pPr>
      <w:r>
        <w:rPr>
          <w:rFonts w:ascii="Arial" w:cs="Arial" w:eastAsia="Arial" w:hAnsi="Arial"/>
          <w:sz w:val="17"/>
          <w:szCs w:val="17"/>
          <w:color w:val="auto"/>
        </w:rPr>
        <w:t>In addition, from time to time we engage in managed transformations that include both a transformation project as well as taking over managed services responsibility. Managed services engagements can be less profitable in their early stages; however, margins tend to improve over time.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2019 and 2018, certain items in our consolidated statements of income reflected as a percentage of revenue (figures may not sum because of rounding):</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Three months</w:t>
            </w: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w w:val="98"/>
              </w:rPr>
              <w:t>Amortization of purchased intangible assets and other</w:t>
            </w:r>
          </w:p>
        </w:tc>
        <w:tc>
          <w:tcPr>
            <w:tcW w:w="24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14.7</w:t>
            </w:r>
          </w:p>
        </w:tc>
        <w:tc>
          <w:tcPr>
            <w:tcW w:w="4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 net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4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14.5</w:t>
            </w:r>
          </w:p>
        </w:tc>
        <w:tc>
          <w:tcPr>
            <w:tcW w:w="4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4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9"/>
                <w:szCs w:val="19"/>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8"/>
                <w:szCs w:val="18"/>
                <w:color w:val="auto"/>
                <w:w w:val="97"/>
              </w:rPr>
              <w:t>12.2%</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840" w:type="dxa"/>
            <w:vAlign w:val="bottom"/>
            <w:gridSpan w:val="2"/>
          </w:tcPr>
          <w:p>
            <w:pPr>
              <w:jc w:val="right"/>
              <w:ind w:right="248"/>
              <w:spacing w:after="0"/>
              <w:rPr>
                <w:sz w:val="20"/>
                <w:szCs w:val="20"/>
                <w:color w:val="auto"/>
              </w:rPr>
            </w:pPr>
            <w:r>
              <w:rPr>
                <w:rFonts w:ascii="Arial" w:cs="Arial" w:eastAsia="Arial" w:hAnsi="Arial"/>
                <w:sz w:val="18"/>
                <w:szCs w:val="18"/>
                <w:color w:val="auto"/>
                <w:w w:val="97"/>
              </w:rPr>
              <w:t>11.1%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vMerge w:val="restart"/>
          </w:tcPr>
          <w:p>
            <w:pPr>
              <w:jc w:val="right"/>
              <w:ind w:right="1810"/>
              <w:spacing w:after="0"/>
              <w:rPr>
                <w:sz w:val="20"/>
                <w:szCs w:val="20"/>
                <w:color w:val="auto"/>
              </w:rPr>
            </w:pPr>
            <w:r>
              <w:rPr>
                <w:rFonts w:ascii="Arial" w:cs="Arial" w:eastAsia="Arial" w:hAnsi="Arial"/>
                <w:sz w:val="18"/>
                <w:szCs w:val="18"/>
                <w:color w:val="auto"/>
              </w:rPr>
              <w:t>28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Six Months Ended March 31, 2019 and 2018</w:t>
      </w:r>
    </w:p>
    <w:p>
      <w:pPr>
        <w:spacing w:after="0" w:line="121"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2019 compared to the six months ended March 31, 2018. Following the table is a discussion and analysis of our business and results of operations for such periods.</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8"/>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11"/>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2,031,712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1,970,051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61,661</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1,321,181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1,289,784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31,397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2,348</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49,485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54,327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(4,842)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1,748,440</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1,716,081</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32,359</w:t>
            </w: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283,272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253,970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29,302</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282,928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253,852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29,076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21,705</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225,971</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218,600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7,371</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$61.7 million, or 3.1%, to $2,031.7 million in the six months ended March 31, 2019, from $1,970.1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March 31, 2018. The increase in revenue was attributable to increased activity in North America, Europe and in the rest of the world. Revenue for the six months ended March 31, 2019 increased by 4.9% compared to the six months ended March 31, 2018, excluding approximately 1.8% negative foreign exchange fluctuations impact, and was also positively affected by activities related to acquisitions completed in fiscal year 2018.</w:t>
      </w:r>
    </w:p>
    <w:p>
      <w:pPr>
        <w:spacing w:after="0" w:line="154"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the six months ended March 31, 2019, revenue from customers in North America, Europe and the rest of the world accounted for 63.7%, 14.6% and 21.7%, respectively, of total revenue, compared to 64.4%, 14.3% and 21.3%, respectively, the six months ended March 31, 2018. Revenue from customers in North America increased during the six months ended March 31, 2019, while total revenue increased at a slightly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activity with AT&amp;T. The increase in revenue from customers in Europe was primarily attributable to higher revenue from development and modernization activities while we expand our presence in this region. Revenue from customers in the rest of the world increased during the six months ended March 31, 2019, as a result of our expansion and progress of managed transformations activities for existing customers in the rest of the world.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$31.4 million, or 2.4%,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$1,321.2 million in the six months ended March 31, 2019, from $1,289.8 million in the six months ended March 31, 2018. The Cost of revenue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excluding the impact of changes of certain acquisition-related liabilities measured at fair value recognized in the six months ended March 31, 2019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2018, was commensurate with revenue growth.</w:t>
      </w:r>
    </w:p>
    <w:p>
      <w:pPr>
        <w:spacing w:after="0" w:line="21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$2.3 million, or 1.8%, to $135.5 million in the six months ended March 31, 2019, from $133.1 million in the six months ended March 31, 2018. Research and development expense slightly decreased as a percentage of revenue from 6.8% in the six months ended March 31, 2018, to 6.7% in the six months ended March 31, 2019.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$3.5 million, or 1.4%, to $242.3 million in the six months ended March 31, 2019, from $238.9 million in the six months ended March 31, 2018. Selling, general and administrative expense may fluctuate from time to time, depending upon such factors as changes in our workforce and sales efforts and the results of any operational efficiency programs that we may undertake.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2019, decreased by $4.8 million, or 8.9% to $49.5 million from $54.3 million in the six months ended March 31,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2018.</w:t>
      </w:r>
    </w:p>
    <w:p>
      <w:pPr>
        <w:spacing w:after="0" w:line="154"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$29.3 million, or 11.5%, in the six months ended March 31, 2019, to $283.3 million, or 13.9%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from $254.0 million, or 12.8% of revenue, in the six months ended March 31, 2018. The increase in operating income was attributable primarily to revenue and cost of service growth during the six months ended March 31, 2019. Negative foreign exchange impacts on our revenue were partially offset by the negative foreign exchange impacts on our operating expense, resulting in a negative impact on our operating income.</w:t>
      </w:r>
    </w:p>
    <w:p>
      <w:pPr>
        <w:spacing w:after="0" w:line="154"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loss of $0.1 million in the six months ended March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loss of $0.3 million in the six months ended March 31, 2019. The slight increase in interest and other expense, net, was primarily attributable to foreign exchange impacts offset by the realized gain of a minority equity investment.</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six months ended March 31, 2019 were $57.0 million on pre-tax income of $282.9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20.1%, compared to 13.9% in the six months ended March 31, 2018. Our effective tax rate may fluctuate between periods as a result of discrete items that may affect a particular period. Please see Note 9 to our consolidated financial statements.</w:t>
      </w:r>
    </w:p>
    <w:p>
      <w:pPr>
        <w:spacing w:after="0" w:line="166"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$7.4 million, or 3.4%, to $226.0 million in the six months ended March 31, 2019, from $218.6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March 31, 2018. The increase in net income was attributable to the increase in Operating Income partially offset by increase in income taxes.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$0.11, or 7.3%, to $1.62 in the six months ended March 31, 2019,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$1.51 in the six months ended March 31, 2018. The increase in diluted earnings per share was primarily attributable to the decrease in the diluted weighted average number of shares outstanding which resulted from share repurchases as well as to the increase in net income. Please see also Note 10 to our consolidated financial statements.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Months Ended March 31, 2019 and 2018</w:t>
      </w:r>
    </w:p>
    <w:p>
      <w:pPr>
        <w:spacing w:after="0" w:line="121"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March 31, 2019 compared to the three months ended March 31, 2018. Following the table is a discussion and analysis of our business and results of operations for such periods.</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8"/>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1,019,657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$992,340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646,587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64,926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1,839</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23,641</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28,801</w:t>
            </w:r>
          </w:p>
        </w:tc>
        <w:tc>
          <w:tcPr>
            <w:tcW w:w="34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(5,160)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869,482</w:t>
            </w: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860,513</w:t>
            </w: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150,175</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131,827</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18,348</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148,309</w:t>
            </w: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131,588</w:t>
            </w:r>
          </w:p>
        </w:tc>
        <w:tc>
          <w:tcPr>
            <w:tcW w:w="3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(5,831)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124,279</w:t>
            </w:r>
          </w:p>
        </w:tc>
        <w:tc>
          <w:tcPr>
            <w:tcW w:w="3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101,727</w:t>
            </w:r>
          </w:p>
        </w:tc>
        <w:tc>
          <w:tcPr>
            <w:tcW w:w="3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22,552</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$27.3 million, or 2.8%, to $1,019.7 million in the three months ended March 31, 2019, from $992.3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2018. The increase in revenue was attributable to increased activity in North America and in the rest of the world, and to a lesser extent in Europe. Revenue for the three months ended March 31, 2019 increased by 4.8% compared to the three months ended March 31, 2018, excluding approximately 2.0% negative foreign exchange fluctuations impact, and was also positively affected by activities related to acquisitions completed in fiscal year 2018.</w:t>
      </w:r>
    </w:p>
    <w:p>
      <w:pPr>
        <w:spacing w:after="0" w:line="18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the three months ended March 31, 2019, revenue from customers in North America, Europe and the rest of the world accounted for 62.2%, 14.8% and 23.0%, respectively, of total revenue, compared to 62.9%, 15.0% and 22.1%, respectively, in the three months ended March 31, 2018. Revenue from customers in North America increased during the three months ended March 31, 2019, while total revenue increased at a slightly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activity with AT&amp;T. Revenue from customers in Europe increased during the three months ended March 31, 2019, despite of negative foreign exchange fluctuations while total revenue increased at a slightly higher rate, which resulted in a slight decrease of revenue from customers in Europe as a percentage of total revenue. The increase in revenue from customers in Europe in absolute amounts was primarily attributable to higher revenue from development and modernization activities while we expand our presence in this region. Revenue from customers in the rest of the world increased during the three months ended March 31, 2019 as a result of our expansion and progress of managed transformations activities with existing customers in the rest of the world.</w:t>
      </w:r>
    </w:p>
    <w:p>
      <w:pPr>
        <w:spacing w:after="0" w:line="18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$12.0 million, or 1.9%, to $658.6 million in the three months ended March 31, 2019, from $646.6 million in the three months ended March 31, 2018. The Cost of revenue increase, excluding the impact of changes of certain acquisition-related liabilities measured at fair value recognized in the three months ended March 31, 2019 and March 31, 2018, was commensurate with revenue growth.</w:t>
      </w:r>
    </w:p>
    <w:p>
      <w:pPr>
        <w:spacing w:after="0" w:line="18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$1.8 million, or 2.8%, to $66.8 million in the three months ended March 31, 2019, from $64.9 million in the three months ended March 31, 2018. Research and development expense has not changed as a percentage of revenue from 6.5% in the three months ended March 31, 2018, to 6.5% in the three months ended March 31, 2019.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increased by $0.3 million, or 0.2%, to $120.5 million in the three months ended March 31, 2019, from $120.2 million in the three months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31, 2018. Selling, general and administrative expense may fluctuate from time to time, depending upon such factors as changes in our workforce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sales efforts and the results of any operational efficiency programs that we may undertake.</w:t>
      </w:r>
    </w:p>
    <w:p>
      <w:pPr>
        <w:sectPr>
          <w:pgSz w:w="11900" w:h="16838" w:orient="portrait"/>
          <w:cols w:equalWidth="0" w:num="1">
            <w:col w:w="11200"/>
          </w:cols>
          <w:pgMar w:left="240" w:top="459" w:right="459" w:bottom="1440" w:gutter="0" w:footer="0" w:header="0"/>
        </w:sectPr>
      </w:pP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00"/>
          </w:cols>
          <w:pgMar w:left="24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2019, decreased by $5.2 million, or 17.9% to $23.6 million from $28.8 million in the three months ended March 31,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2018.</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$18.3 million, or 13.9%, in the three months ended March 31, 2019, to $150.2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14.7% of revenue, from $131.8 million, or 13.3% of revenue, in the three months ended March 31, 2018. The increase in operating income was attributable primarily to revenue and cost of service growth during the three months ended March 31, 2019. Negative foreign exchange impacts on our revenue were partially offset by the negative foreign exchange impacts on our operating expense, resulting in a negative impact on our operating income.</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loss of $0.2 million in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to a net loss of $1.9 million in the three months ended March 31, 2019. The increase in interest and other expense, net, was primarily attributable to foreign exchange impacts.</w:t>
      </w:r>
    </w:p>
    <w:p>
      <w:pPr>
        <w:spacing w:after="0" w:line="18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2019 were $24.0 million on pre-tax income of $148.3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16.2%, compared to 22.7% in the three months ended March 31, 2018. Our effective tax rate may fluctuate between periods as a result of discrete items that may affect a particular period. Please see Note 9 to our consolidated financial statements.</w:t>
      </w:r>
    </w:p>
    <w:p>
      <w:pPr>
        <w:spacing w:after="0" w:line="166"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$22.6 million, or 22.2%, to $124.3 million in the three months ended March 31, 2019, from $101.7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March 31, 2018. The increase in net income during the three months ended March 31, 2019 was primarily attributable to the increase in Operating Income and to decrease in income taxes.</w:t>
      </w:r>
    </w:p>
    <w:p>
      <w:pPr>
        <w:spacing w:after="0" w:line="181"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$0.20, or 28.0%, to $0.90 in the three months ended March 31, 2019,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$0.70 in the three months ended March 31, 2018. The increase in diluted earnings per share was primarily attributable to the increase in net income, as well as to the decrease in the diluted weighted average number of shares outstanding which resulted from share repurchases. Please see also Note 10 to our consolidated financial statements.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$449.7 million as of March 31, 2019, compared to $519.2 million as of September 30, 2018. The decrease was mainly attributable to $219.2 million repurchase of our ordinary shares, $69.8 million of cash dividend payment, $57.9 million for capital expenditures, net, $8.3 million acquisition payment and $4.8 million payment to non-controlling interests, partially offset by $278.3 million in positive cash flow from operations and $11.5 million of proceeds from stock option exercises. Net cash provided by operating activities amounted to $278.3 million and $278.3 million in the six months ended March 31, 2019 and 2018, respectively.</w:t>
      </w:r>
    </w:p>
    <w:p>
      <w:pPr>
        <w:spacing w:after="0" w:line="19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normalized free cash flow for the six months ended March 31, 2019 was $280.7 million, which is calculated as net cash provided by operating activities for the period less $57.9 million for capital expenditures, net and excluding $55.0 million of payments related to the settlement of the legal dispute in the U.S. District Court in Oregon, $10.9 million of payments for the non-recurring charges for re-alignment actions in North-America and $5.6 million of the capital expenditures associated with the multiyear development of our new campus in Israel, (which is net of proceeds of</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$9.7 million relating to the refund of betterment levy).</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our current lines of credit and our ability to access capital markets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2019, we plan to return to shareholders the majority of our normalized free cash flow subject to factors such as mergers and acquisitions, financial markets and prevailing industry conditions, through our ongoing share repurchase and dividend program. While having this plan in mind,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bank deposits, corporate bonds, U.S. government treasuries, U.S. agency securities and money market funds. We believe we have conservative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 policy guidelines. Our interest-bearing investments are stated at fair value with the unrealized gains or losses reported as a separate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component of accumulated other comprehensive (loss) income, net of tax, unless a security is other than temporarily impaired, in which case the loss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recorded in the consolidated statements of income. Our interest-bearing investments are priced by pricing vendors and are classified as Level 1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Level 2 investments, since these vendors either provide a quoted market price in an active market or use other observable inputs to price these securities.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six months ended March 31, 2019 and 2018, we did not recognize any credit losses. Please see Notes 5 and 6 to the consolidated financial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December 2011, we entered into an unsecured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 million five-year revolving credit facility with a syndicate of banks. In December 2014 and in December 2017, the credit facility was amended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restated to, among other things, extend the maturity date of the facility to December 2019 and December 2022, respectively. As of March 31,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were in compliance with the financial covenants under the revolving credit facility and had no outstanding borrowings under the facility.</w:t>
      </w:r>
    </w:p>
    <w:p>
      <w:pPr>
        <w:spacing w:after="0" w:line="21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March 31, 2019, we had additional uncommitted lines of credit available for general corporate and other specific purposes and had outstanding letters of credit and bank guarantees from various banks totaling $47.3 million. These were supported by a combination of the uncommitted lines of credit that we maintain with various banks.</w:t>
      </w:r>
    </w:p>
    <w:p>
      <w:pPr>
        <w:spacing w:after="0" w:line="181"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We have contractual obligations for our non-cancelable operating leases, long-term debt,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2018, filed on December 10, 2018 with the SEC. Since September 30, 2018, there have been no material changes in our aggregate contractual obligations.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$57.9 million in the six months ended March 31, 2019 and were mainly attributable to investments in our operating facilities and our development centers around the world. The total net investment we expect to make in connection with the new campus in Israel is estimated to be approximately $350 million over a period of four to five years, starting with fiscal year 2018. Out of which approximately $100 million was incurred in fiscal year 2018 by both us and our partner Union at equal portions (i.e. our net investment was approximately $50 million), and up to $50 million cash investment is expected to be incurred in fiscal year 2019.</w:t>
      </w:r>
    </w:p>
    <w:p>
      <w:pPr>
        <w:spacing w:after="0" w:line="18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can adopt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On November 8, 2017, our Board of Directors adopted a share repurchase plan for the repurchase of up to an additional $800.0 million of our outstanding ordinary shares with no expiration date. In the six months ended March 31, 2019, we repurchased 3.7 million ordinary shares at an average price of $58.82 per share (excluding broker and transaction fees). The November 2017 plan permits us to purchase our ordinary shares in open market or privately negotiated transactions at times and prices that it considers appropriate. As of March 31, 2019, we had remaining authority to repurchase up to $418.0 million of our outstanding ordinary shares under the November 2017 plan.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2019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Dividends</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Per</w:t>
            </w:r>
          </w:p>
        </w:tc>
        <w:tc>
          <w:tcPr>
            <w:tcW w:w="1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Total</w:t>
            </w: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72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Ordinary</w:t>
            </w:r>
          </w:p>
        </w:tc>
        <w:tc>
          <w:tcPr>
            <w:tcW w:w="1380" w:type="dxa"/>
            <w:vAlign w:val="bottom"/>
          </w:tcPr>
          <w:p>
            <w:pPr>
              <w:spacing w:after="0"/>
              <w:rPr>
                <w:sz w:val="12"/>
                <w:szCs w:val="12"/>
                <w:color w:val="auto"/>
              </w:rPr>
            </w:pPr>
          </w:p>
        </w:tc>
        <w:tc>
          <w:tcPr>
            <w:tcW w:w="15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Record Date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58"/>
        </w:trPr>
        <w:tc>
          <w:tcPr>
            <w:tcW w:w="208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w w:val="92"/>
              </w:rPr>
              <w:t>Share</w:t>
            </w:r>
          </w:p>
        </w:tc>
        <w:tc>
          <w:tcPr>
            <w:tcW w:w="13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Amount</w:t>
            </w:r>
          </w:p>
        </w:tc>
        <w:tc>
          <w:tcPr>
            <w:tcW w:w="13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5, 2019</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0.285</w:t>
            </w: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29, 2019</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39.1</w:t>
            </w:r>
          </w:p>
        </w:tc>
        <w:tc>
          <w:tcPr>
            <w:tcW w:w="1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0.250</w:t>
            </w:r>
          </w:p>
        </w:tc>
        <w:tc>
          <w:tcPr>
            <w:tcW w:w="2940" w:type="dxa"/>
            <w:vAlign w:val="bottom"/>
            <w:gridSpan w:val="2"/>
          </w:tcPr>
          <w:p>
            <w:pPr>
              <w:ind w:left="1360"/>
              <w:spacing w:after="0"/>
              <w:rPr>
                <w:sz w:val="20"/>
                <w:szCs w:val="20"/>
                <w:color w:val="auto"/>
              </w:rPr>
            </w:pPr>
            <w:r>
              <w:rPr>
                <w:rFonts w:ascii="Arial" w:cs="Arial" w:eastAsia="Arial" w:hAnsi="Arial"/>
                <w:sz w:val="18"/>
                <w:szCs w:val="18"/>
                <w:color w:val="auto"/>
                <w:w w:val="98"/>
              </w:rPr>
              <w:t>December 31, 2018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c>
          <w:tcPr>
            <w:tcW w:w="2780" w:type="dxa"/>
            <w:vAlign w:val="bottom"/>
            <w:gridSpan w:val="2"/>
          </w:tcPr>
          <w:p>
            <w:pPr>
              <w:ind w:left="1360"/>
              <w:spacing w:after="0"/>
              <w:rPr>
                <w:sz w:val="20"/>
                <w:szCs w:val="20"/>
                <w:color w:val="auto"/>
              </w:rPr>
            </w:pPr>
            <w:r>
              <w:rPr>
                <w:rFonts w:ascii="Arial" w:cs="Arial" w:eastAsia="Arial" w:hAnsi="Arial"/>
                <w:sz w:val="18"/>
                <w:szCs w:val="18"/>
                <w:color w:val="auto"/>
              </w:rPr>
              <w:t>January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29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March 30, 2018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8, 2017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0.220</w:t>
            </w:r>
          </w:p>
        </w:tc>
        <w:tc>
          <w:tcPr>
            <w:tcW w:w="2940" w:type="dxa"/>
            <w:vAlign w:val="bottom"/>
            <w:gridSpan w:val="2"/>
          </w:tcPr>
          <w:p>
            <w:pPr>
              <w:ind w:left="1360"/>
              <w:spacing w:after="0"/>
              <w:rPr>
                <w:sz w:val="20"/>
                <w:szCs w:val="20"/>
                <w:color w:val="auto"/>
              </w:rPr>
            </w:pPr>
            <w:r>
              <w:rPr>
                <w:rFonts w:ascii="Arial" w:cs="Arial" w:eastAsia="Arial" w:hAnsi="Arial"/>
                <w:sz w:val="18"/>
                <w:szCs w:val="18"/>
                <w:color w:val="auto"/>
                <w:w w:val="98"/>
              </w:rPr>
              <w:t>December 29, 2017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2780" w:type="dxa"/>
            <w:vAlign w:val="bottom"/>
            <w:gridSpan w:val="2"/>
          </w:tcPr>
          <w:p>
            <w:pPr>
              <w:ind w:left="1360"/>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May 14, 2019, our Board of Directors approved a quarterly dividend payment of $0.285 per share and set June 28, 2019 as the record date for determining the shareholders entitled to receive the dividend, which will be payable on July 19, 2019.</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During the six months ended March 31, 2019 and 2018,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Changes in Securities, Use of Proceeds and Issuer Purchases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2019 of equity securities that are registered by us pursuant to Section 12 of the Exchange Act:</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as Part</w:t>
            </w:r>
          </w:p>
        </w:tc>
        <w:tc>
          <w:tcPr>
            <w:tcW w:w="2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Paid per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10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Share(1)</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Programs</w:t>
            </w:r>
          </w:p>
        </w:tc>
        <w:tc>
          <w:tcPr>
            <w:tcW w:w="260" w:type="dxa"/>
            <w:vAlign w:val="bottom"/>
          </w:tcPr>
          <w:p>
            <w:pPr>
              <w:spacing w:after="0"/>
              <w:rPr>
                <w:sz w:val="13"/>
                <w:szCs w:val="13"/>
                <w:color w:val="auto"/>
              </w:rPr>
            </w:pPr>
          </w:p>
        </w:tc>
        <w:tc>
          <w:tcPr>
            <w:tcW w:w="10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62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01/01/19-01/31/19</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512,003</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$ 57.81</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512,003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$508,370,524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02/01/19-02/28/19</w:t>
            </w:r>
          </w:p>
        </w:tc>
        <w:tc>
          <w:tcPr>
            <w:tcW w:w="800" w:type="dxa"/>
            <w:vAlign w:val="bottom"/>
          </w:tcPr>
          <w:p>
            <w:pPr>
              <w:jc w:val="right"/>
              <w:spacing w:after="0"/>
              <w:rPr>
                <w:sz w:val="20"/>
                <w:szCs w:val="20"/>
                <w:color w:val="auto"/>
              </w:rPr>
            </w:pPr>
            <w:r>
              <w:rPr>
                <w:rFonts w:ascii="Arial" w:cs="Arial" w:eastAsia="Arial" w:hAnsi="Arial"/>
                <w:sz w:val="18"/>
                <w:szCs w:val="18"/>
                <w:color w:val="auto"/>
              </w:rPr>
              <w:t>631,061</w:t>
            </w:r>
          </w:p>
        </w:tc>
        <w:tc>
          <w:tcPr>
            <w:tcW w:w="780" w:type="dxa"/>
            <w:vAlign w:val="bottom"/>
            <w:gridSpan w:val="2"/>
          </w:tcPr>
          <w:p>
            <w:pPr>
              <w:jc w:val="center"/>
              <w:ind w:left="137"/>
              <w:spacing w:after="0"/>
              <w:rPr>
                <w:sz w:val="20"/>
                <w:szCs w:val="20"/>
                <w:color w:val="auto"/>
              </w:rPr>
            </w:pPr>
            <w:r>
              <w:rPr>
                <w:rFonts w:ascii="Arial" w:cs="Arial" w:eastAsia="Arial" w:hAnsi="Arial"/>
                <w:sz w:val="18"/>
                <w:szCs w:val="18"/>
                <w:color w:val="auto"/>
                <w:w w:val="86"/>
              </w:rPr>
              <w:t>$ 55.96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631,061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$473,057,105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03/01/19-03/31/19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1,002,877</w:t>
            </w:r>
          </w:p>
        </w:tc>
        <w:tc>
          <w:tcPr>
            <w:tcW w:w="78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6"/>
              </w:rPr>
              <w:t>$ 54.93</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1,002,877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$417,970,342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4"/>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2,145,941</w:t>
            </w:r>
          </w:p>
        </w:tc>
        <w:tc>
          <w:tcPr>
            <w:tcW w:w="780" w:type="dxa"/>
            <w:vAlign w:val="bottom"/>
            <w:gridSpan w:val="2"/>
          </w:tcPr>
          <w:p>
            <w:pPr>
              <w:jc w:val="center"/>
              <w:ind w:left="137"/>
              <w:spacing w:after="0"/>
              <w:rPr>
                <w:sz w:val="20"/>
                <w:szCs w:val="20"/>
                <w:color w:val="auto"/>
              </w:rPr>
            </w:pPr>
            <w:r>
              <w:rPr>
                <w:rFonts w:ascii="Arial" w:cs="Arial" w:eastAsia="Arial" w:hAnsi="Arial"/>
                <w:sz w:val="18"/>
                <w:szCs w:val="18"/>
                <w:color w:val="auto"/>
                <w:w w:val="86"/>
              </w:rPr>
              <w:t>$ 55.92</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2,145,941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$417,970,342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8, 2017,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33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Reports on Form 6-K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2019:</w:t>
      </w:r>
    </w:p>
    <w:p>
      <w:pPr>
        <w:spacing w:after="0" w:line="131"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01,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06,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19, 2019</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24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May 28, 2019</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sectPr>
      <w:pgSz w:w="11900" w:h="16838" w:orient="portrait"/>
      <w:cols w:equalWidth="0" w:num="1">
        <w:col w:w="10920"/>
      </w:cols>
      <w:pgMar w:left="240" w:top="45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2019-12-02T09:45:55Z</dcterms:created>
  <dcterms:modified xsi:type="dcterms:W3CDTF">2019-12-02T09:45:55Z</dcterms:modified>
</cp:coreProperties>
</file>