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34"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June 30, 2015</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254000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80"/>
        <w:spacing w:after="0" w:line="207" w:lineRule="exact"/>
        <w:tabs>
          <w:tab w:leader="none" w:pos="5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-10160</wp:posOffset>
            </wp:positionV>
            <wp:extent cx="3429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0580"/>
          </w:cols>
          <w:pgMar w:left="240" w:top="230" w:right="10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0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2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80" w:type="dxa"/>
            <w:vAlign w:val="bottom"/>
            <w:gridSpan w:val="3"/>
          </w:tcPr>
          <w:p>
            <w:pPr>
              <w:jc w:val="center"/>
              <w:ind w:right="2680"/>
              <w:spacing w:after="0"/>
              <w:rPr>
                <w:sz w:val="20"/>
                <w:szCs w:val="20"/>
                <w:color w:val="auto"/>
              </w:rPr>
            </w:pPr>
            <w:r>
              <w:rPr>
                <w:rFonts w:ascii="Arial" w:cs="Arial" w:eastAsia="Arial" w:hAnsi="Arial"/>
                <w:sz w:val="18"/>
                <w:szCs w:val="18"/>
                <w:color w:val="auto"/>
              </w:rPr>
              <w:t>AMDOCS LIMITED</w:t>
            </w:r>
          </w:p>
        </w:tc>
        <w:tc>
          <w:tcPr>
            <w:tcW w:w="202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2"/>
          </w:tcPr>
          <w:p>
            <w:pPr>
              <w:jc w:val="center"/>
              <w:ind w:right="2900"/>
              <w:spacing w:after="0"/>
              <w:rPr>
                <w:sz w:val="20"/>
                <w:szCs w:val="20"/>
                <w:color w:val="auto"/>
              </w:rPr>
            </w:pPr>
            <w:r>
              <w:rPr>
                <w:rFonts w:ascii="Arial" w:cs="Arial" w:eastAsia="Arial" w:hAnsi="Arial"/>
                <w:sz w:val="18"/>
                <w:szCs w:val="18"/>
                <w:color w:val="auto"/>
                <w:w w:val="97"/>
              </w:rPr>
              <w:t>FORM 6-K</w:t>
            </w:r>
          </w:p>
        </w:tc>
        <w:tc>
          <w:tcPr>
            <w:tcW w:w="202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80" w:type="dxa"/>
            <w:vAlign w:val="bottom"/>
            <w:gridSpan w:val="5"/>
          </w:tcPr>
          <w:p>
            <w:pPr>
              <w:jc w:val="center"/>
              <w:ind w:right="1880"/>
              <w:spacing w:after="0"/>
              <w:rPr>
                <w:sz w:val="20"/>
                <w:szCs w:val="20"/>
                <w:color w:val="auto"/>
              </w:rPr>
            </w:pPr>
            <w:r>
              <w:rPr>
                <w:rFonts w:ascii="Arial" w:cs="Arial" w:eastAsia="Arial" w:hAnsi="Arial"/>
                <w:sz w:val="18"/>
                <w:szCs w:val="18"/>
                <w:color w:val="auto"/>
                <w:w w:val="92"/>
              </w:rPr>
              <w:t>REPORT OF FOREIGN PRIVATE ISSUER</w:t>
            </w:r>
          </w:p>
        </w:tc>
        <w:tc>
          <w:tcPr>
            <w:tcW w:w="202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40" w:type="dxa"/>
            <w:vAlign w:val="bottom"/>
            <w:gridSpan w:val="6"/>
          </w:tcPr>
          <w:p>
            <w:pPr>
              <w:jc w:val="center"/>
              <w:ind w:right="1820"/>
              <w:spacing w:after="0"/>
              <w:rPr>
                <w:sz w:val="20"/>
                <w:szCs w:val="20"/>
                <w:color w:val="auto"/>
              </w:rPr>
            </w:pPr>
            <w:r>
              <w:rPr>
                <w:rFonts w:ascii="Arial" w:cs="Arial" w:eastAsia="Arial" w:hAnsi="Arial"/>
                <w:sz w:val="18"/>
                <w:szCs w:val="18"/>
                <w:color w:val="auto"/>
                <w:w w:val="93"/>
              </w:rPr>
              <w:t>FOR THE QUARTER ENDED JUNE 30, 2015</w:t>
            </w:r>
          </w:p>
        </w:tc>
        <w:tc>
          <w:tcPr>
            <w:tcW w:w="202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2"/>
          </w:tcPr>
          <w:p>
            <w:pPr>
              <w:jc w:val="center"/>
              <w:ind w:right="2900"/>
              <w:spacing w:after="0"/>
              <w:rPr>
                <w:sz w:val="20"/>
                <w:szCs w:val="20"/>
                <w:color w:val="auto"/>
              </w:rPr>
            </w:pPr>
            <w:r>
              <w:rPr>
                <w:rFonts w:ascii="Arial" w:cs="Arial" w:eastAsia="Arial" w:hAnsi="Arial"/>
                <w:sz w:val="18"/>
                <w:szCs w:val="18"/>
                <w:color w:val="auto"/>
              </w:rPr>
              <w:t>INDEX</w:t>
            </w:r>
          </w:p>
        </w:tc>
        <w:tc>
          <w:tcPr>
            <w:tcW w:w="2020" w:type="dxa"/>
            <w:vAlign w:val="bottom"/>
          </w:tcPr>
          <w:p>
            <w:pPr>
              <w:spacing w:after="0"/>
              <w:rPr>
                <w:sz w:val="24"/>
                <w:szCs w:val="24"/>
                <w:color w:val="auto"/>
              </w:rPr>
            </w:pPr>
          </w:p>
        </w:tc>
      </w:tr>
      <w:tr>
        <w:trPr>
          <w:trHeight w:val="419"/>
        </w:trPr>
        <w:tc>
          <w:tcPr>
            <w:tcW w:w="93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Item 1.</w:t>
              </w:r>
            </w:hyperlink>
          </w:p>
        </w:tc>
        <w:tc>
          <w:tcPr>
            <w:tcW w:w="1940" w:type="dxa"/>
            <w:vAlign w:val="bottom"/>
            <w:tcBorders>
              <w:top w:val="single" w:sz="8" w:color="0000EE"/>
            </w:tcBorders>
            <w:gridSpan w:val="6"/>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460" w:type="dxa"/>
            <w:vAlign w:val="bottom"/>
            <w:gridSpan w:val="9"/>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58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Consolidated Financial Statements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w:t>
              </w:r>
            </w:hyperlink>
          </w:p>
        </w:tc>
        <w:tc>
          <w:tcPr>
            <w:tcW w:w="840" w:type="dxa"/>
            <w:vAlign w:val="bottom"/>
            <w:tcBorders>
              <w:top w:val="single" w:sz="8" w:color="0000EE"/>
            </w:tcBorders>
            <w:gridSpan w:val="3"/>
          </w:tcPr>
          <w:p>
            <w:pPr>
              <w:spacing w:after="0"/>
              <w:rPr>
                <w:sz w:val="17"/>
                <w:szCs w:val="17"/>
                <w:color w:val="auto"/>
              </w:rPr>
            </w:pPr>
          </w:p>
        </w:tc>
        <w:tc>
          <w:tcPr>
            <w:tcW w:w="5280" w:type="dxa"/>
            <w:vAlign w:val="bottom"/>
            <w:gridSpan w:val="5"/>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w:t>
              </w:r>
            </w:hyperlink>
          </w:p>
        </w:tc>
        <w:tc>
          <w:tcPr>
            <w:tcW w:w="5640" w:type="dxa"/>
            <w:vAlign w:val="bottom"/>
            <w:gridSpan w:val="7"/>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w:t>
              </w:r>
            </w:hyperlink>
          </w:p>
        </w:tc>
        <w:tc>
          <w:tcPr>
            <w:tcW w:w="860" w:type="dxa"/>
            <w:vAlign w:val="bottom"/>
            <w:tcBorders>
              <w:top w:val="single" w:sz="8" w:color="0000EE"/>
            </w:tcBorders>
            <w:gridSpan w:val="3"/>
          </w:tcPr>
          <w:p>
            <w:pPr>
              <w:spacing w:after="0"/>
              <w:rPr>
                <w:sz w:val="17"/>
                <w:szCs w:val="17"/>
                <w:color w:val="auto"/>
              </w:rPr>
            </w:pPr>
          </w:p>
        </w:tc>
        <w:tc>
          <w:tcPr>
            <w:tcW w:w="4480" w:type="dxa"/>
            <w:vAlign w:val="bottom"/>
            <w:gridSpan w:val="3"/>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Consolidated Financial Statements</w:t>
              </w:r>
            </w:hyperlink>
          </w:p>
        </w:tc>
        <w:tc>
          <w:tcPr>
            <w:tcW w:w="4260" w:type="dxa"/>
            <w:vAlign w:val="bottom"/>
            <w:gridSpan w:val="2"/>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Item 2.</w:t>
              </w:r>
            </w:hyperlink>
          </w:p>
        </w:tc>
        <w:tc>
          <w:tcPr>
            <w:tcW w:w="340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Operating and Financial Review and Prospects</w:t>
              </w:r>
            </w:hyperlink>
          </w:p>
        </w:tc>
        <w:tc>
          <w:tcPr>
            <w:tcW w:w="5000" w:type="dxa"/>
            <w:vAlign w:val="bottom"/>
            <w:gridSpan w:val="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54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PART II OTHER INFORMATION</w:t>
              </w:r>
            </w:hyperlink>
          </w:p>
        </w:tc>
        <w:tc>
          <w:tcPr>
            <w:tcW w:w="6760" w:type="dxa"/>
            <w:vAlign w:val="bottom"/>
            <w:gridSpan w:val="10"/>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36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Item 1.</w:t>
              </w:r>
            </w:hyperlink>
          </w:p>
        </w:tc>
        <w:tc>
          <w:tcPr>
            <w:tcW w:w="8400" w:type="dxa"/>
            <w:vAlign w:val="bottom"/>
            <w:gridSpan w:val="15"/>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Changes in Securities, Use of Proceeds and Issuer Purchases of Equity Securities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360" w:type="dxa"/>
            <w:vAlign w:val="bottom"/>
          </w:tcPr>
          <w:p>
            <w:pPr>
              <w:spacing w:after="0"/>
              <w:rPr>
                <w:sz w:val="17"/>
                <w:szCs w:val="17"/>
                <w:color w:val="auto"/>
              </w:rPr>
            </w:pPr>
          </w:p>
        </w:tc>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Item 2.</w:t>
              </w:r>
            </w:hyperlink>
          </w:p>
        </w:tc>
        <w:tc>
          <w:tcPr>
            <w:tcW w:w="5860" w:type="dxa"/>
            <w:vAlign w:val="bottom"/>
            <w:tcBorders>
              <w:top w:val="single" w:sz="8" w:color="0000EE"/>
            </w:tcBorders>
            <w:gridSpan w:val="14"/>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Reports on Form 6-K</w:t>
              </w:r>
            </w:hyperlink>
          </w:p>
        </w:tc>
        <w:tc>
          <w:tcPr>
            <w:tcW w:w="2540" w:type="dxa"/>
            <w:vAlign w:val="bottom"/>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840" w:type="dxa"/>
            <w:vAlign w:val="bottom"/>
            <w:gridSpan w:val="11"/>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30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8" w:lineRule="auto"/>
        <w:rPr>
          <w:sz w:val="20"/>
          <w:szCs w:val="20"/>
          <w:color w:val="auto"/>
        </w:rPr>
      </w:pPr>
      <w:r>
        <w:rPr>
          <w:rFonts w:ascii="Arial" w:cs="Arial" w:eastAsia="Arial" w:hAnsi="Arial"/>
          <w:sz w:val="17"/>
          <w:szCs w:val="17"/>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46"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June 30,</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1,076,591</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1,103,269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Short-term interest-bearing investments</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325,117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Deferred income taxes and taxes receivable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182,422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148,346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130,957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2,455,014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2,423,974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87,106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1,930,992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1,925,225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140,686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268,346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5,168,327</w:t>
            </w:r>
          </w:p>
        </w:tc>
        <w:tc>
          <w:tcPr>
            <w:tcW w:w="80" w:type="dxa"/>
            <w:vAlign w:val="bottom"/>
          </w:tcPr>
          <w:p>
            <w:pPr>
              <w:spacing w:after="0"/>
              <w:rPr>
                <w:sz w:val="24"/>
                <w:szCs w:val="24"/>
                <w:color w:val="auto"/>
              </w:rPr>
            </w:pP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5,185,277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9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140,765</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501,315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422,291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personnel costs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208,453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Short-term financing arrangements</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76,434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48,456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1,101,392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1,200,747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299,685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250,949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1,652,026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1,789,441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Ordinary Shares — Authorized 700,000 shares; £0.01 par value; 267,149 and 264,735 issued and 153,674 and</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156,704 outstanding, respectively</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3,155,850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3,054,780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at cost 113,475 and 108,031 ordinary shares, respectively</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(3,429,296)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(3,157,085)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3,782,363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3,503,829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3,516,301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3,395,836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5,168,327</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5,185,277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907,897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902,477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2,716,762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2,663,376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592,366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584,604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1,746,383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1,725,291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62,598</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64,863</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189,044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108,128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112,681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328,894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18,078</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15,326</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46,193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43,174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781,170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777,474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2,310,514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2,293,835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3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126,727</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125,003</w:t>
            </w: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406,248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369,541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3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125,683</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124,255</w:t>
            </w: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405,079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365,481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43,862</w:t>
            </w:r>
          </w:p>
        </w:tc>
        <w:tc>
          <w:tcPr>
            <w:tcW w:w="0" w:type="dxa"/>
            <w:vAlign w:val="bottom"/>
          </w:tcPr>
          <w:p>
            <w:pPr>
              <w:spacing w:after="0"/>
              <w:rPr>
                <w:sz w:val="1"/>
                <w:szCs w:val="1"/>
                <w:color w:val="auto"/>
              </w:rPr>
            </w:pPr>
          </w:p>
        </w:tc>
      </w:tr>
      <w:tr>
        <w:trPr>
          <w:trHeight w:val="291"/>
        </w:trPr>
        <w:tc>
          <w:tcPr>
            <w:tcW w:w="7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107,782</w:t>
            </w:r>
          </w:p>
        </w:tc>
        <w:tc>
          <w:tcPr>
            <w:tcW w:w="3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109,827</w:t>
            </w:r>
          </w:p>
        </w:tc>
        <w:tc>
          <w:tcPr>
            <w:tcW w:w="3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355,033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73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6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154,101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159,257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60" w:type="dxa"/>
            <w:vAlign w:val="bottom"/>
            <w:gridSpan w:val="2"/>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156,581</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161,725</w:t>
            </w: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157,352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161,939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8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7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8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7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$107,782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$109,827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$355,033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$321,619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25,863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12,799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(201)</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147</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235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6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25,662</w:t>
            </w: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13,034</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12,189</w:t>
            </w:r>
          </w:p>
        </w:tc>
        <w:tc>
          <w:tcPr>
            <w:tcW w:w="0" w:type="dxa"/>
            <w:vAlign w:val="bottom"/>
          </w:tcPr>
          <w:p>
            <w:pPr>
              <w:spacing w:after="0"/>
              <w:rPr>
                <w:sz w:val="1"/>
                <w:szCs w:val="1"/>
                <w:color w:val="auto"/>
              </w:rPr>
            </w:pPr>
          </w:p>
        </w:tc>
      </w:tr>
      <w:tr>
        <w:trPr>
          <w:trHeight w:val="20"/>
        </w:trPr>
        <w:tc>
          <w:tcPr>
            <w:tcW w:w="762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133,444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109,997</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368,067</w:t>
            </w:r>
          </w:p>
        </w:tc>
        <w:tc>
          <w:tcPr>
            <w:tcW w:w="1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333,808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6" w:lineRule="exact"/>
        <w:rPr>
          <w:sz w:val="20"/>
          <w:szCs w:val="20"/>
          <w:color w:val="auto"/>
        </w:rPr>
      </w:pPr>
    </w:p>
    <w:p>
      <w:pPr>
        <w:ind w:left="460" w:right="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benefit of $(5,731) and $(141) for the three months ended June 30, 2015 and 2014, respectively, and of $(2,443) and $(622) for the nine months ended June 30, 2015 and 2014, respectively.</w:t>
      </w:r>
    </w:p>
    <w:p>
      <w:pPr>
        <w:spacing w:after="0" w:line="75"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benefit of $(1) and $2 for the three months ended June 30, 2015 and 2014, respectively, and of $5 and $(3) for the nine months ended June 30, 2015 and 2014,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Nine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24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Net income</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355,033</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123,136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116,911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34,223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(22,797)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(22,081)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78,395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6,597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(15,314)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16,980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516,358</w:t>
            </w:r>
          </w:p>
        </w:tc>
        <w:tc>
          <w:tcPr>
            <w:tcW w:w="0" w:type="dxa"/>
            <w:vAlign w:val="bottom"/>
          </w:tcPr>
          <w:p>
            <w:pPr>
              <w:spacing w:after="0"/>
              <w:rPr>
                <w:sz w:val="1"/>
                <w:szCs w:val="1"/>
                <w:color w:val="auto"/>
              </w:rPr>
            </w:pPr>
          </w:p>
        </w:tc>
      </w:tr>
      <w:tr>
        <w:trPr>
          <w:trHeight w:val="291"/>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9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180,758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284,926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(184,724)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(8,099)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(180,540)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(102,635)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(264,238)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(210,000)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(272,211)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Proceeds from employee stock option exercises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62,951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116,041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(74,663)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Excess tax benefit from equity-based compensation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4,040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6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(489,890)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(412,374)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1,103,269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1,014,192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1,076,591</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853,938</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26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Income taxes, net of refunds</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44,310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Amdocs Limited (the “Company”) is a leading provider of software and services for communications, entertainment and media industry service providers. The Company and its subsidiaries operate in one segment, providing integrated products and services. The Company designs, develops, markets, supports, implements and operates customer experience solutions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the United Kingdom and the United States.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2014, set forth in the Company’s Annual Report on Form 20-F filed on December 8, 2014 with the U.S. Securities and Exchange Commission, or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From time to time, certain immaterial amounts in prior year financial statements may be reclassified to conform to the current year presentation. Effective October 1, 2014, the Company combined the presentation of license and service revenue, as well as the related costs, since license revenue comprises an insignificant portion of total revenue.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May 2014, the Financial Accounting Standards Board, or FASB, issued an Accounting Standard Update, or ASU, on revenue from contracts with customers, which outlines a single comprehensive model for entities to use in accounting for revenue arising from contracts with customers and supersedes most current revenue recognition guidance. In July 2015, the FASB deferred the effective date of this ASU by one year, to fiscal years beginning after December 15, 2017; however, early adoption as of the original effective date, fiscal years beginning after December 15, 2016, will be permitted. The Company is currently evaluating the methods and its timing of adoption, as well as the effect that adoption of this ASU will have on its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In 2013, the FASB issued an ASU that requires an entity to present an unrecognized tax benefit, or a portion of an unrecognized tax benefit, in the financial statements as a reduction to a deferred tax asset for a net operating loss carryforward, a similar tax loss, or a tax credit carryforward, in the absence of certain conditions. This ASU became effective for the Company in the first quarter of fiscal 2015 and its adoption resulted in a reclassification of $15,000 from noncurrent taxes payable to assets under noncurrent deferred income taxes as of December 31, 2014.</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7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Level 3: Unobservable inputs that are supported by little or no market activity that is significant to the fair value of the assets or liabilities.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June 30, 2015 and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6"/>
              </w:rPr>
              <w:t>As of June 30, 2015</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70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2"/>
                <w:szCs w:val="12"/>
                <w:color w:val="auto"/>
              </w:rPr>
            </w:pPr>
          </w:p>
        </w:tc>
        <w:tc>
          <w:tcPr>
            <w:tcW w:w="7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2"/>
              </w:rPr>
              <w:t>Level 3</w:t>
            </w: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$421,757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$421,757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105,969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105,969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33,488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31,283</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23,449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11,337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9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205,526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751,697</w:t>
            </w:r>
          </w:p>
        </w:tc>
        <w:tc>
          <w:tcPr>
            <w:tcW w:w="0" w:type="dxa"/>
            <w:vAlign w:val="bottom"/>
          </w:tcPr>
          <w:p>
            <w:pPr>
              <w:spacing w:after="0"/>
              <w:rPr>
                <w:sz w:val="1"/>
                <w:szCs w:val="1"/>
                <w:color w:val="auto"/>
              </w:rPr>
            </w:pPr>
          </w:p>
        </w:tc>
      </w:tr>
      <w:tr>
        <w:trPr>
          <w:trHeight w:val="20"/>
        </w:trPr>
        <w:tc>
          <w:tcPr>
            <w:tcW w:w="79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94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12,664</w:t>
            </w: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0"/>
        </w:trPr>
        <w:tc>
          <w:tcPr>
            <w:tcW w:w="79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546,171</w:t>
            </w:r>
          </w:p>
        </w:tc>
        <w:tc>
          <w:tcPr>
            <w:tcW w:w="2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218,190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(3,266)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761,095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As of September 30, 2014</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70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2"/>
                <w:szCs w:val="12"/>
                <w:color w:val="auto"/>
              </w:rPr>
            </w:pPr>
          </w:p>
        </w:tc>
        <w:tc>
          <w:tcPr>
            <w:tcW w:w="7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2"/>
              </w:rPr>
              <w:t>Level 3</w:t>
            </w: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$649,745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$649,745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102,420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41,649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29,095</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26,502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Government-guaranteed debt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Mortgages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9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207,179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977,639</w:t>
            </w:r>
          </w:p>
        </w:tc>
        <w:tc>
          <w:tcPr>
            <w:tcW w:w="0" w:type="dxa"/>
            <w:vAlign w:val="bottom"/>
          </w:tcPr>
          <w:p>
            <w:pPr>
              <w:spacing w:after="0"/>
              <w:rPr>
                <w:sz w:val="1"/>
                <w:szCs w:val="1"/>
                <w:color w:val="auto"/>
              </w:rPr>
            </w:pPr>
          </w:p>
        </w:tc>
      </w:tr>
      <w:tr>
        <w:trPr>
          <w:trHeight w:val="20"/>
        </w:trPr>
        <w:tc>
          <w:tcPr>
            <w:tcW w:w="79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94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(35,944)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(35,944)</w:t>
            </w:r>
          </w:p>
        </w:tc>
        <w:tc>
          <w:tcPr>
            <w:tcW w:w="0" w:type="dxa"/>
            <w:vAlign w:val="bottom"/>
          </w:tcPr>
          <w:p>
            <w:pPr>
              <w:spacing w:after="0"/>
              <w:rPr>
                <w:sz w:val="1"/>
                <w:szCs w:val="1"/>
                <w:color w:val="auto"/>
              </w:rPr>
            </w:pPr>
          </w:p>
        </w:tc>
      </w:tr>
      <w:tr>
        <w:trPr>
          <w:trHeight w:val="20"/>
        </w:trPr>
        <w:tc>
          <w:tcPr>
            <w:tcW w:w="79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770,460</w:t>
            </w:r>
          </w:p>
        </w:tc>
        <w:tc>
          <w:tcPr>
            <w:tcW w:w="2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205,821</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(35,944)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940,337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nine months ended June 30, 2015. Level 3 amounts relate to certain acquisition-related liabilities, which were valued using a Monte-Carlo simulation model and were included in accrued expenses and other current liabilities as of June 30, 2015. The reduction in Level 3 liabilities during the nine months ended June 30, 2015 was recorded in the consolidated statements of income.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6"/>
              </w:rPr>
              <w:t>As of June 30, 2015</w:t>
            </w: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3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300" w:type="dxa"/>
            <w:vAlign w:val="bottom"/>
          </w:tcPr>
          <w:p>
            <w:pPr>
              <w:spacing w:after="0"/>
              <w:rPr>
                <w:sz w:val="10"/>
                <w:szCs w:val="10"/>
                <w:color w:val="auto"/>
              </w:rPr>
            </w:pPr>
          </w:p>
        </w:tc>
        <w:tc>
          <w:tcPr>
            <w:tcW w:w="13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3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Gains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Losses</w:t>
            </w:r>
          </w:p>
        </w:tc>
        <w:tc>
          <w:tcPr>
            <w:tcW w:w="3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421,757</w:t>
            </w: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$421,757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U.S. government treasuries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122,269</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122,401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105,953</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U.S. agency securities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33,442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33,488</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31,280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31,283</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25,462</w:t>
            </w:r>
          </w:p>
        </w:tc>
        <w:tc>
          <w:tcPr>
            <w:tcW w:w="2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25,462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700" w:type="dxa"/>
            <w:vAlign w:val="bottom"/>
          </w:tcPr>
          <w:p>
            <w:pPr>
              <w:spacing w:after="0"/>
              <w:rPr>
                <w:sz w:val="20"/>
                <w:szCs w:val="20"/>
                <w:color w:val="auto"/>
              </w:rPr>
            </w:pPr>
            <w:r>
              <w:rPr>
                <w:rFonts w:ascii="Arial" w:cs="Arial" w:eastAsia="Arial" w:hAnsi="Arial"/>
                <w:sz w:val="18"/>
                <w:szCs w:val="18"/>
                <w:color w:val="auto"/>
              </w:rPr>
              <w:t>Total(1)</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751,497</w:t>
            </w:r>
          </w:p>
        </w:tc>
        <w:tc>
          <w:tcPr>
            <w:tcW w:w="6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302</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102</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751,697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6" w:lineRule="exact"/>
        <w:rPr>
          <w:sz w:val="20"/>
          <w:szCs w:val="20"/>
          <w:color w:val="auto"/>
        </w:rPr>
      </w:pPr>
    </w:p>
    <w:p>
      <w:pPr>
        <w:ind w:left="460" w:right="16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 term interest-bearing investments and available-for-sale securities with maturities of 90 days or less from the date of acquisition were included in cash and cash equivalents on the Company’s balance sheet. As of June 30, 2015, $325,117 of securities were classified as short term interest-bearing investments and $426,580 of securities were classified as cash and cash equivalents.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0"/>
              </w:rPr>
              <w:t>As of September 30, 2014</w:t>
            </w: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3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300" w:type="dxa"/>
            <w:vAlign w:val="bottom"/>
          </w:tcPr>
          <w:p>
            <w:pPr>
              <w:spacing w:after="0"/>
              <w:rPr>
                <w:sz w:val="10"/>
                <w:szCs w:val="10"/>
                <w:color w:val="auto"/>
              </w:rPr>
            </w:pPr>
          </w:p>
        </w:tc>
        <w:tc>
          <w:tcPr>
            <w:tcW w:w="13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3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Gains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78"/>
              </w:rPr>
              <w:t>Losses</w:t>
            </w:r>
          </w:p>
        </w:tc>
        <w:tc>
          <w:tcPr>
            <w:tcW w:w="3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649,745</w:t>
            </w: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$649,745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U.S. government treasuries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118,652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118,708</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102,387</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U.S. agency securities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41,658</w:t>
            </w:r>
          </w:p>
        </w:tc>
        <w:tc>
          <w:tcPr>
            <w:tcW w:w="2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41,649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29,160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29,095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28,509</w:t>
            </w:r>
          </w:p>
        </w:tc>
        <w:tc>
          <w:tcPr>
            <w:tcW w:w="2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28,509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Government-guaranteed debt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1,185</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Mortgages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700" w:type="dxa"/>
            <w:vAlign w:val="bottom"/>
          </w:tcPr>
          <w:p>
            <w:pPr>
              <w:spacing w:after="0"/>
              <w:rPr>
                <w:sz w:val="20"/>
                <w:szCs w:val="20"/>
                <w:color w:val="auto"/>
              </w:rPr>
            </w:pPr>
            <w:r>
              <w:rPr>
                <w:rFonts w:ascii="Arial" w:cs="Arial" w:eastAsia="Arial" w:hAnsi="Arial"/>
                <w:sz w:val="18"/>
                <w:szCs w:val="18"/>
                <w:color w:val="auto"/>
              </w:rPr>
              <w:t>Total(2)</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977,669</w:t>
            </w:r>
          </w:p>
        </w:tc>
        <w:tc>
          <w:tcPr>
            <w:tcW w:w="6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242</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272</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977,639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6" w:lineRule="exact"/>
        <w:rPr>
          <w:sz w:val="20"/>
          <w:szCs w:val="20"/>
          <w:color w:val="auto"/>
        </w:rPr>
      </w:pPr>
    </w:p>
    <w:p>
      <w:pPr>
        <w:ind w:left="460" w:right="1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2014, $321,196 of securities were classified as short term interest-bearing investments and $656,443 of securities were classified as cash and cash equivalents.</w:t>
      </w:r>
    </w:p>
    <w:p>
      <w:pPr>
        <w:spacing w:after="0" w:line="170"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As of June 30, 2015,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recognized immaterial credit losses in the nine months ended June 30, 2015 and 2014. Realized gains and losses on available-for-sale securities are included in earnings and are derived using the first-in-first-out (FIFO) method for determining the cost of securities.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2015, the Company’s available-for-sale securities had the following maturity dates: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10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551,746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1 to 2 years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100,735</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82,600</w:t>
            </w: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3 to 4 years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9,270</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100" w:type="dxa"/>
            <w:vAlign w:val="bottom"/>
            <w:shd w:val="clear" w:color="auto" w:fill="CCEEFF"/>
          </w:tcPr>
          <w:p>
            <w:pPr>
              <w:spacing w:after="0"/>
              <w:rPr>
                <w:sz w:val="18"/>
                <w:szCs w:val="18"/>
                <w:color w:val="auto"/>
              </w:rPr>
            </w:pPr>
          </w:p>
        </w:tc>
      </w:tr>
      <w:tr>
        <w:trPr>
          <w:trHeight w:val="291"/>
        </w:trPr>
        <w:tc>
          <w:tcPr>
            <w:tcW w:w="10480" w:type="dxa"/>
            <w:vAlign w:val="bottom"/>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751,697</w:t>
            </w:r>
          </w:p>
        </w:tc>
        <w:tc>
          <w:tcPr>
            <w:tcW w:w="100" w:type="dxa"/>
            <w:vAlign w:val="bottom"/>
          </w:tcPr>
          <w:p>
            <w:pPr>
              <w:spacing w:after="0"/>
              <w:rPr>
                <w:sz w:val="24"/>
                <w:szCs w:val="24"/>
                <w:color w:val="auto"/>
              </w:rPr>
            </w:pPr>
          </w:p>
        </w:tc>
      </w:tr>
      <w:tr>
        <w:trPr>
          <w:trHeight w:val="20"/>
        </w:trPr>
        <w:tc>
          <w:tcPr>
            <w:tcW w:w="10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121"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$12,771 as of June 30, 2015. The Company has limited its credit risk by entering into derivative transactions exclusively with investment-grade rated financial institutions and monitors the creditworthiness of these financial institutions on an ongoing basis.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24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June 30, 2015. Notional values are in U.S. dollars and are translated and calculated based on forward rates as of June 30, 2015 for forward contracts, and based on spot rates as of June 30, 2015 for options.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Notional Value*</w:t>
            </w:r>
          </w:p>
        </w:tc>
      </w:tr>
      <w:tr>
        <w:trPr>
          <w:trHeight w:val="210"/>
        </w:trPr>
        <w:tc>
          <w:tcPr>
            <w:tcW w:w="10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1,566,959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70"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4 to the consolidated financial statements. The fair value of the open foreign exchange contracts recorded as an asset or a liability by the Company on its consolidated balance sheets as of June 30, 2015 and September 30, 2014, is as follows: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4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7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June 30,</w:t>
            </w:r>
          </w:p>
        </w:tc>
        <w:tc>
          <w:tcPr>
            <w:tcW w:w="50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4420" w:type="dxa"/>
            <w:vAlign w:val="bottom"/>
          </w:tcPr>
          <w:p>
            <w:pPr>
              <w:spacing w:after="0"/>
              <w:rPr>
                <w:sz w:val="14"/>
                <w:szCs w:val="14"/>
                <w:color w:val="auto"/>
              </w:rPr>
            </w:pPr>
          </w:p>
        </w:tc>
        <w:tc>
          <w:tcPr>
            <w:tcW w:w="4400" w:type="dxa"/>
            <w:vAlign w:val="bottom"/>
            <w:gridSpan w:val="2"/>
          </w:tcPr>
          <w:p>
            <w:pPr>
              <w:jc w:val="right"/>
              <w:ind w:right="58"/>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38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4600" w:type="dxa"/>
            <w:vAlign w:val="bottom"/>
            <w:gridSpan w:val="3"/>
          </w:tcPr>
          <w:p>
            <w:pPr>
              <w:jc w:val="right"/>
              <w:ind w:right="200"/>
              <w:spacing w:after="0"/>
              <w:rPr>
                <w:sz w:val="20"/>
                <w:szCs w:val="20"/>
                <w:color w:val="auto"/>
              </w:rPr>
            </w:pPr>
            <w:r>
              <w:rPr>
                <w:rFonts w:ascii="Arial" w:cs="Arial" w:eastAsia="Arial" w:hAnsi="Arial"/>
                <w:sz w:val="18"/>
                <w:szCs w:val="18"/>
                <w:color w:val="auto"/>
              </w:rPr>
              <w:t>$12,178</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5,936</w:t>
            </w: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4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6,191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w:t>
            </w: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4600" w:type="dxa"/>
            <w:vAlign w:val="bottom"/>
            <w:gridSpan w:val="3"/>
          </w:tcPr>
          <w:p>
            <w:pPr>
              <w:jc w:val="right"/>
              <w:ind w:right="140"/>
              <w:spacing w:after="0"/>
              <w:rPr>
                <w:sz w:val="20"/>
                <w:szCs w:val="20"/>
                <w:color w:val="auto"/>
              </w:rPr>
            </w:pPr>
            <w:r>
              <w:rPr>
                <w:rFonts w:ascii="Arial" w:cs="Arial" w:eastAsia="Arial" w:hAnsi="Arial"/>
                <w:sz w:val="18"/>
                <w:szCs w:val="18"/>
                <w:color w:val="auto"/>
              </w:rPr>
              <w:t>(6,174)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(9,686)</w:t>
            </w: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3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(1,908)</w:t>
            </w:r>
          </w:p>
        </w:tc>
      </w:tr>
      <w:tr>
        <w:trPr>
          <w:trHeight w:val="20"/>
        </w:trPr>
        <w:tc>
          <w:tcPr>
            <w:tcW w:w="44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44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11,367</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(3,173)</w:t>
            </w:r>
          </w:p>
        </w:tc>
      </w:tr>
      <w:tr>
        <w:trPr>
          <w:trHeight w:val="365"/>
        </w:trPr>
        <w:tc>
          <w:tcPr>
            <w:tcW w:w="4420" w:type="dxa"/>
            <w:vAlign w:val="bottom"/>
          </w:tcPr>
          <w:p>
            <w:pPr>
              <w:spacing w:after="0"/>
              <w:rPr>
                <w:sz w:val="24"/>
                <w:szCs w:val="24"/>
                <w:color w:val="auto"/>
              </w:rPr>
            </w:pPr>
          </w:p>
        </w:tc>
        <w:tc>
          <w:tcPr>
            <w:tcW w:w="3820" w:type="dxa"/>
            <w:vAlign w:val="bottom"/>
          </w:tcPr>
          <w:p>
            <w:pPr>
              <w:jc w:val="right"/>
              <w:ind w:right="2814"/>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78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9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080" w:type="dxa"/>
            <w:vAlign w:val="bottom"/>
            <w:gridSpan w:val="3"/>
          </w:tcPr>
          <w:p>
            <w:pPr>
              <w:jc w:val="right"/>
              <w:ind w:right="180"/>
              <w:spacing w:after="0"/>
              <w:rPr>
                <w:sz w:val="20"/>
                <w:szCs w:val="20"/>
                <w:color w:val="auto"/>
              </w:rPr>
            </w:pPr>
            <w:r>
              <w:rPr>
                <w:rFonts w:ascii="Arial" w:cs="Arial" w:eastAsia="Arial" w:hAnsi="Arial"/>
                <w:sz w:val="18"/>
                <w:szCs w:val="18"/>
                <w:color w:val="auto"/>
              </w:rPr>
              <w:t>4,789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2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080" w:type="dxa"/>
            <w:vAlign w:val="bottom"/>
            <w:gridSpan w:val="3"/>
          </w:tcPr>
          <w:p>
            <w:pPr>
              <w:jc w:val="right"/>
              <w:ind w:right="120"/>
              <w:spacing w:after="0"/>
              <w:rPr>
                <w:sz w:val="20"/>
                <w:szCs w:val="20"/>
                <w:color w:val="auto"/>
              </w:rPr>
            </w:pPr>
            <w:r>
              <w:rPr>
                <w:rFonts w:ascii="Arial" w:cs="Arial" w:eastAsia="Arial" w:hAnsi="Arial"/>
                <w:sz w:val="18"/>
                <w:szCs w:val="18"/>
                <w:color w:val="auto"/>
              </w:rPr>
              <w:t>(3,492)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1,297</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000" w:type="dxa"/>
            <w:vAlign w:val="bottom"/>
          </w:tcPr>
          <w:p>
            <w:pPr>
              <w:spacing w:after="0"/>
              <w:rPr>
                <w:sz w:val="6"/>
                <w:szCs w:val="6"/>
                <w:color w:val="auto"/>
              </w:rPr>
            </w:pPr>
          </w:p>
        </w:tc>
        <w:tc>
          <w:tcPr>
            <w:tcW w:w="230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3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12,664</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three years. A significant portion of the forward and option contracts outstanding as of June 30, 2015 is scheduled to mature within the next 12 months.</w:t>
      </w:r>
    </w:p>
    <w:p>
      <w:pPr>
        <w:spacing w:after="0" w:line="17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effective portion of the gain or loss on the derivative instruments is initially recorded as a component of other comprehensive income,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78"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The effect of the Company’s cash flow hedging instruments in the consolidated statements of income for the three and nine months ended June 30, 2015 and 2014, respectively, which partially offsets the foreign currency impact from the underlying exposures, is summarized as follows:</w:t>
      </w:r>
    </w:p>
    <w:p>
      <w:pPr>
        <w:spacing w:after="0" w:line="165"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Gains (Losses) Reclassified from</w:t>
      </w:r>
    </w:p>
    <w:p>
      <w:pPr>
        <w:jc w:val="center"/>
        <w:ind w:left="6540"/>
        <w:spacing w:after="0" w:line="236" w:lineRule="auto"/>
        <w:rPr>
          <w:sz w:val="20"/>
          <w:szCs w:val="20"/>
          <w:color w:val="auto"/>
        </w:rPr>
      </w:pPr>
      <w:r>
        <w:rPr>
          <w:rFonts w:ascii="Arial" w:cs="Arial" w:eastAsia="Arial" w:hAnsi="Arial"/>
          <w:sz w:val="14"/>
          <w:szCs w:val="14"/>
          <w:b w:val="1"/>
          <w:bCs w:val="1"/>
          <w:color w:val="auto"/>
        </w:rPr>
        <w:t>Other Comprehensive Income (Effective Portion)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6"/>
          </w:tcPr>
          <w:p>
            <w:pPr>
              <w:ind w:left="40"/>
              <w:spacing w:after="0" w:line="142" w:lineRule="exact"/>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jc w:val="right"/>
              <w:ind w:right="73"/>
              <w:spacing w:after="0" w:line="142" w:lineRule="exact"/>
              <w:rPr>
                <w:sz w:val="20"/>
                <w:szCs w:val="20"/>
                <w:color w:val="auto"/>
              </w:rPr>
            </w:pPr>
            <w:r>
              <w:rPr>
                <w:rFonts w:ascii="Arial" w:cs="Arial" w:eastAsia="Arial" w:hAnsi="Arial"/>
                <w:sz w:val="14"/>
                <w:szCs w:val="14"/>
                <w:b w:val="1"/>
                <w:bCs w:val="1"/>
                <w:color w:val="auto"/>
                <w:w w:val="92"/>
              </w:rPr>
              <w:t>Nine months ended June 30,</w:t>
            </w:r>
          </w:p>
        </w:tc>
        <w:tc>
          <w:tcPr>
            <w:tcW w:w="100" w:type="dxa"/>
            <w:vAlign w:val="bottom"/>
          </w:tcPr>
          <w:p>
            <w:pPr>
              <w:spacing w:after="0"/>
              <w:rPr>
                <w:sz w:val="12"/>
                <w:szCs w:val="12"/>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279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818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6,198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(11,380)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(2,943)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1,280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(3,294)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00" w:type="dxa"/>
            <w:vAlign w:val="bottom"/>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66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(3,007)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8,678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(16,799)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18,966</w:t>
            </w:r>
          </w:p>
        </w:tc>
      </w:tr>
      <w:tr>
        <w:trPr>
          <w:trHeight w:val="20"/>
        </w:trPr>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The activity related to the changes in net unrealized gains (losses) on cash flow hedges recorded in accumulated other comprehensive income (loss), net of tax, is as follows:</w:t>
      </w:r>
    </w:p>
    <w:p>
      <w:pPr>
        <w:spacing w:after="0" w:line="189" w:lineRule="exact"/>
        <w:rPr>
          <w:sz w:val="20"/>
          <w:szCs w:val="20"/>
          <w:color w:val="auto"/>
        </w:rPr>
      </w:pPr>
    </w:p>
    <w:p>
      <w:pPr>
        <w:jc w:val="center"/>
        <w:ind w:left="9620"/>
        <w:spacing w:after="0"/>
        <w:rPr>
          <w:sz w:val="20"/>
          <w:szCs w:val="20"/>
          <w:color w:val="auto"/>
        </w:rPr>
      </w:pPr>
      <w:r>
        <w:rPr>
          <w:rFonts w:ascii="Arial" w:cs="Arial" w:eastAsia="Arial" w:hAnsi="Arial"/>
          <w:sz w:val="14"/>
          <w:szCs w:val="14"/>
          <w:b w:val="1"/>
          <w:bCs w:val="1"/>
          <w:color w:val="auto"/>
        </w:rPr>
        <w:t>Nine months ended</w:t>
      </w:r>
    </w:p>
    <w:p>
      <w:pPr>
        <w:jc w:val="center"/>
        <w:ind w:left="96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 gains on cash flow hedges, net of tax, beginning of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(5,522)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(1,276)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27,354</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losses (gains) into earnings, net of tax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14,075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(15,218)</w:t>
            </w:r>
          </w:p>
        </w:tc>
      </w:tr>
      <w:tr>
        <w:trPr>
          <w:trHeight w:val="20"/>
        </w:trPr>
        <w:tc>
          <w:tcPr>
            <w:tcW w:w="9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9740" w:type="dxa"/>
            <w:vAlign w:val="bottom"/>
          </w:tcPr>
          <w:p>
            <w:pPr>
              <w:spacing w:after="0"/>
              <w:rPr>
                <w:sz w:val="20"/>
                <w:szCs w:val="20"/>
                <w:color w:val="auto"/>
              </w:rPr>
            </w:pPr>
            <w:r>
              <w:rPr>
                <w:rFonts w:ascii="Arial" w:cs="Arial" w:eastAsia="Arial" w:hAnsi="Arial"/>
                <w:sz w:val="18"/>
                <w:szCs w:val="18"/>
                <w:color w:val="auto"/>
              </w:rPr>
              <w:t>Net unrealized gains on cash flow hedges, net of tax, end of period</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7,277</w:t>
            </w: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16,832</w:t>
            </w:r>
          </w:p>
        </w:tc>
      </w:tr>
      <w:tr>
        <w:trPr>
          <w:trHeight w:val="20"/>
        </w:trPr>
        <w:tc>
          <w:tcPr>
            <w:tcW w:w="9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Net (losses) gains from cash flow hedges recognized in other comprehensive income during the nine months ended June 30, 2015 and 2014, were $(1,557) and $31,724, or $(1,276) and $27,354, net of taxes,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Of the net gains related to derivatives designated as cash flow hedges and recorded in accumulated other comprehensive income (loss) as of June 30, 2015, a net gain of $2,858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66"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and nine months ended June 30, 2015 and 2014, was not material.</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and nine months ended June 30, 2015 and 2014, respectively, which partially offsets the foreign currency impact from the underlying exposure, is summarized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89"/>
              </w:rPr>
              <w:t>(Losses) Gains Recognized in Income</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7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6"/>
          </w:tcPr>
          <w:p>
            <w:pPr>
              <w:jc w:val="right"/>
              <w:ind w:right="400"/>
              <w:spacing w:after="0" w:line="119" w:lineRule="exact"/>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5"/>
          </w:tcPr>
          <w:p>
            <w:pPr>
              <w:jc w:val="right"/>
              <w:ind w:right="112"/>
              <w:spacing w:after="0" w:line="119" w:lineRule="exact"/>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0"/>
                <w:szCs w:val="10"/>
                <w:color w:val="auto"/>
              </w:rPr>
            </w:pPr>
          </w:p>
        </w:tc>
      </w:tr>
      <w:tr>
        <w:trPr>
          <w:trHeight w:val="171"/>
        </w:trPr>
        <w:tc>
          <w:tcPr>
            <w:tcW w:w="7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(113)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2,944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(5,174)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w:t>
            </w: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564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Interest and other expense, net</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(6,800)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(1,250)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18,466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(1,044)</w:t>
            </w: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(839)</w:t>
            </w:r>
          </w:p>
        </w:tc>
      </w:tr>
      <w:tr>
        <w:trPr>
          <w:trHeight w:val="20"/>
        </w:trPr>
        <w:tc>
          <w:tcPr>
            <w:tcW w:w="7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77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(3,537)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12,604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r>
      <w:tr>
        <w:trPr>
          <w:trHeight w:val="20"/>
        </w:trPr>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Accounts Receivable,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net consists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8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June 30,</w:t>
            </w:r>
          </w:p>
        </w:tc>
        <w:tc>
          <w:tcPr>
            <w:tcW w:w="3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6000" w:type="dxa"/>
            <w:vAlign w:val="bottom"/>
            <w:gridSpan w:val="2"/>
          </w:tcPr>
          <w:p>
            <w:pPr>
              <w:jc w:val="center"/>
              <w:ind w:left="5234"/>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5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$683,797</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617,712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6120" w:type="dxa"/>
            <w:vAlign w:val="bottom"/>
            <w:gridSpan w:val="3"/>
          </w:tcPr>
          <w:p>
            <w:pPr>
              <w:jc w:val="right"/>
              <w:ind w:right="120"/>
              <w:spacing w:after="0"/>
              <w:rPr>
                <w:sz w:val="20"/>
                <w:szCs w:val="20"/>
                <w:color w:val="auto"/>
              </w:rPr>
            </w:pPr>
            <w:r>
              <w:rPr>
                <w:rFonts w:ascii="Arial" w:cs="Arial" w:eastAsia="Arial" w:hAnsi="Arial"/>
                <w:sz w:val="18"/>
                <w:szCs w:val="18"/>
                <w:color w:val="auto"/>
              </w:rPr>
              <w:t>96,355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134,523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5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(40,225)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(36,398)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9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6000" w:type="dxa"/>
            <w:vAlign w:val="bottom"/>
            <w:gridSpan w:val="2"/>
          </w:tcPr>
          <w:p>
            <w:pPr>
              <w:jc w:val="center"/>
              <w:ind w:left="5234"/>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739,927</w:t>
            </w:r>
          </w:p>
        </w:tc>
        <w:tc>
          <w:tcPr>
            <w:tcW w:w="120" w:type="dxa"/>
            <w:vAlign w:val="bottom"/>
          </w:tcPr>
          <w:p>
            <w:pPr>
              <w:spacing w:after="0"/>
              <w:rPr>
                <w:sz w:val="24"/>
                <w:szCs w:val="24"/>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715,837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320" w:type="dxa"/>
            <w:vAlign w:val="bottom"/>
            <w:vMerge w:val="restart"/>
          </w:tcPr>
          <w:p>
            <w:pPr>
              <w:jc w:val="right"/>
              <w:ind w:right="3414"/>
              <w:spacing w:after="0"/>
              <w:rPr>
                <w:sz w:val="20"/>
                <w:szCs w:val="20"/>
                <w:color w:val="auto"/>
              </w:rPr>
            </w:pPr>
            <w:r>
              <w:rPr>
                <w:rFonts w:ascii="Arial" w:cs="Arial" w:eastAsia="Arial" w:hAnsi="Arial"/>
                <w:sz w:val="18"/>
                <w:szCs w:val="18"/>
                <w:color w:val="auto"/>
              </w:rPr>
              <w:t>12</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8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 and Other 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June 30,</w:t>
            </w:r>
          </w:p>
        </w:tc>
        <w:tc>
          <w:tcPr>
            <w:tcW w:w="9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4"/>
                <w:szCs w:val="14"/>
                <w:b w:val="1"/>
                <w:bCs w:val="1"/>
                <w:color w:val="auto"/>
                <w:w w:val="96"/>
              </w:rPr>
              <w:t>2015</w:t>
            </w:r>
          </w:p>
        </w:tc>
        <w:tc>
          <w:tcPr>
            <w:tcW w:w="3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provisions</w:t>
            </w: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$164,531</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118,536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Dividends payable</w:t>
            </w: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08"/>
              <w:spacing w:after="0"/>
              <w:rPr>
                <w:sz w:val="20"/>
                <w:szCs w:val="20"/>
                <w:color w:val="auto"/>
              </w:rPr>
            </w:pPr>
            <w:r>
              <w:rPr>
                <w:rFonts w:ascii="Arial" w:cs="Arial" w:eastAsia="Arial" w:hAnsi="Arial"/>
                <w:sz w:val="18"/>
                <w:szCs w:val="18"/>
                <w:color w:val="auto"/>
                <w:w w:val="90"/>
              </w:rPr>
              <w:t>26,127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24,291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9,666</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Acquisition-related liabilities</w:t>
            </w: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3,266</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15,397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297,725</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248,645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00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501,315</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422,291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Income Taxes</w:t>
            </w: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0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The provision (benefit) for income taxes for the following periods consisted of:</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24"/>
                <w:szCs w:val="24"/>
                <w:color w:val="auto"/>
              </w:rPr>
            </w:pPr>
          </w:p>
        </w:tc>
        <w:tc>
          <w:tcPr>
            <w:tcW w:w="168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60" w:type="dxa"/>
            <w:vAlign w:val="bottom"/>
            <w:gridSpan w:val="5"/>
          </w:tcPr>
          <w:p>
            <w:pPr>
              <w:ind w:left="5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8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$13,438</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$ 29,454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$ 72,843</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$49,198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Deferred</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4,463</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(15,026)</w:t>
            </w:r>
          </w:p>
        </w:tc>
        <w:tc>
          <w:tcPr>
            <w:tcW w:w="1120" w:type="dxa"/>
            <w:vAlign w:val="bottom"/>
            <w:gridSpan w:val="5"/>
          </w:tcPr>
          <w:p>
            <w:pPr>
              <w:jc w:val="right"/>
              <w:ind w:right="78"/>
              <w:spacing w:after="0"/>
              <w:rPr>
                <w:sz w:val="20"/>
                <w:szCs w:val="20"/>
                <w:color w:val="auto"/>
              </w:rPr>
            </w:pPr>
            <w:r>
              <w:rPr>
                <w:rFonts w:ascii="Arial" w:cs="Arial" w:eastAsia="Arial" w:hAnsi="Arial"/>
                <w:sz w:val="18"/>
                <w:szCs w:val="18"/>
                <w:color w:val="auto"/>
              </w:rPr>
              <w:t>(22,797)</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17,901</w:t>
            </w:r>
          </w:p>
        </w:tc>
        <w:tc>
          <w:tcPr>
            <w:tcW w:w="76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w w:val="91"/>
              </w:rPr>
              <w:t>$ 14,428</w:t>
            </w: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$ 50,046</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43,862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3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Foreign taxes</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12</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30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14%</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w:t>
            </w:r>
          </w:p>
        </w:tc>
        <w:tc>
          <w:tcPr>
            <w:tcW w:w="11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23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Foreign taxes in the nine months ended June 30, 2015 include a net benefit of approximately $7,500 due to settlements of tax audits in certain jurisdictions during the three months ended December 31, 2014, that resulted in a reduction to the Company’s provision for gross unrecognized tax benefits, partially offset by an increase to the Company’s taxes payable. Foreign taxes in the nine months ended June 30, 2015 also include a net benefit of approximately $23,000 resulting from the release, during the six months ended March 31, 2015, of valuation allowances on deferred tax assets at several of the Company’s subsidiaries, which will, more likely than not, be realized due to the Company’s projections of future taxable income. In addition, foreign taxes in the nine months ended June 30, 2015 include a decrease of approximately $14,000 that was attributable to the expiration, during the three months ended June 30, 2015, of statutes of limitations related to unrecognized tax benefits accumulated over several years in certain jurisdictions, which was partially offset by a provision for a new uncertain tax position of approximately $6,000 recognized during the three months ended June 30, 2015.</w:t>
      </w:r>
    </w:p>
    <w:p>
      <w:pPr>
        <w:spacing w:after="0" w:line="166"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As of June 30, 2015, deferred tax assets of $107,487, derived primarily from tax credits, net capital and operating loss carry forwards related to some of the Company’s subsidiaries, were offset by valuation allowances related to the uncertainty of realizing tax benefit for such credits and losses.</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$122,525 as of June 30, 2015, all of which would affect the effective tax rate if realized.</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the nine months ended June 30, 2014, the Company reduced the amount of its gross unrecognized tax benefits by approximately $11,000, which affected its effective tax rate. This included a decrease of approximately $14,000 attributable to the expiration during the three months ended June 30, 2014 of statutes of limitations related to unrecognized tax benefits accumulated over several years in certain jurisdictions, as well as a decrease of approximately $13,000 as a result of a tax position settled during the three months ended March 31, 2014. These were partially offset by ongoing increases related to the Company’s existing uncertain tax positions.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2015, the Company had accrued $21,130 in income taxes payable for interest and penalties relating to unrecognized tax benefits.</w:t>
      </w:r>
    </w:p>
    <w:p>
      <w:pPr>
        <w:spacing w:after="0" w:line="23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Numerator for basic and diluted earnings per share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107,782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109,827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355,033</w:t>
            </w:r>
          </w:p>
        </w:tc>
        <w:tc>
          <w:tcPr>
            <w:tcW w:w="1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321,619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w w:val="94"/>
              </w:rPr>
              <w:t>Denominator for basic earnings per share — weighted average number of shares 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154,101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159,257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155,037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assumed conversion of 0.50% convertible notes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Effect of dilutive stock options granted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2,466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2,452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Denominator for diluted earnings per share — adjusted weighted average shares and assumed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conversions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156,581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161,725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157,352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161,939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Basic earnings per share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0.70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0.69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7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earnings per share</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For the three and nine months ended June 30, 2015, 80 and 890 shares, respectively, on a weighted average basis, were attributable to antidilutive outstanding stock options. For the three and nine months ended June 30, 2014, 1,106 and 1,152 shares, respectively, on a weighted average basis, were attributable to antidilutive outstanding stock options. Shares attributable to antidilutive outstanding stock options were not included in the calculation of diluted earnings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Repurchase of Shares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From time to time, the Company’s Board of Directors has adopted share repurchase plans authorizing the repurchase of the Company’s outstanding ordinary shares. The current share repurchase plan, adopted by the Company’s Board of Directors on April 30, 2014, authorizes the repurchase of up to $750,000 of the Company’s outstanding ordinary shares with no expiration date. In the nine months ended June 30, 2015, the Company repurchased approximately 5,444 ordinary shares at an average price of $49.99 per share (excluding broker and transaction fees). As of June 30, 2015, the Company had remaining authority to repurchase up to $441,849 of its outstanding ordinary shares. The authorization permits the Company to purchase its ordinary shares in open market or privately negotiated transactions at times and prices that it considers appropriate.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September 2014, the Company borrowed an aggregate of $210,000 under its unsecured $500,000 five-year revolving credit facility with a syndicate of banks and repaid it in October 2014. In December 2014, the credit facility was amended and restated to, among other things, extend the maturity date of the facility to December 2019. As of June 30, 2015, the Company was in compliance with the financial covenants under the revolving credit facility and had no outstanding borrowings under this facility.</w:t>
      </w:r>
    </w:p>
    <w:p>
      <w:pPr>
        <w:spacing w:after="0" w:line="18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As of June 30, 2015, the Company had additional uncommitted lines of credit available for general corporate and other specific purposes and had outstanding letters of credit and bank guarantees from various banks totaling $81,760. These were supported by a combination of the uncommitted lines of credit and restricted cash balances that the Company maintains with various banks.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12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In January 1998, the Company adopted the 1998 Stock Option and Incentive Plan, or Equity Incentive Plan, which provides for the grant of restricted stock awards, stock options and other equity-based awards to employees, officers, directors, and consultants. The purpose of the Equity Incentive Plan is to enable the Company to attract and retain qualified personnel and to motivate such persons by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providing them with an equity participation in the Company. Since its adoption, the Equity Incentive Plan has been amended on several occasions to, among other things, increase the number of ordinary shares issuable under the Equity Incentive Plan and extend its term. The maximum number of ordinary shares currently authorized to be granted under the Equity Incentive Plan is 62,300. Awards granted under the Equity Incentive Plan generally vest over a period of four years and stock options have a term of ten years.</w:t>
      </w:r>
    </w:p>
    <w:p>
      <w:pPr>
        <w:spacing w:after="0" w:line="183"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nine-month period ended June 30,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6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8"/>
              </w:rPr>
              <w:t>of Options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1, 2014</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9,563</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4"/>
              </w:rPr>
              <w:t>33.72</w:t>
            </w:r>
          </w:p>
        </w:tc>
        <w:tc>
          <w:tcPr>
            <w:tcW w:w="7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2,060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ind w:left="600"/>
              <w:spacing w:after="0"/>
              <w:rPr>
                <w:sz w:val="20"/>
                <w:szCs w:val="20"/>
                <w:color w:val="auto"/>
              </w:rPr>
            </w:pPr>
            <w:r>
              <w:rPr>
                <w:rFonts w:ascii="Arial" w:cs="Arial" w:eastAsia="Arial" w:hAnsi="Arial"/>
                <w:sz w:val="18"/>
                <w:szCs w:val="18"/>
                <w:color w:val="auto"/>
              </w:rPr>
              <w:t>48.33</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(2,037)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31.00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(472)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ind w:left="600"/>
              <w:spacing w:after="0"/>
              <w:rPr>
                <w:sz w:val="20"/>
                <w:szCs w:val="20"/>
                <w:color w:val="auto"/>
              </w:rPr>
            </w:pPr>
            <w:r>
              <w:rPr>
                <w:rFonts w:ascii="Arial" w:cs="Arial" w:eastAsia="Arial" w:hAnsi="Arial"/>
                <w:sz w:val="18"/>
                <w:szCs w:val="18"/>
                <w:color w:val="auto"/>
              </w:rPr>
              <w:t>37.38</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w:t>
            </w:r>
          </w:p>
        </w:tc>
        <w:tc>
          <w:tcPr>
            <w:tcW w:w="40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37.44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69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920" w:type="dxa"/>
            <w:vAlign w:val="bottom"/>
            <w:gridSpan w:val="2"/>
          </w:tcPr>
          <w:p>
            <w:pPr>
              <w:spacing w:after="0"/>
              <w:rPr>
                <w:sz w:val="20"/>
                <w:szCs w:val="20"/>
                <w:color w:val="auto"/>
              </w:rPr>
            </w:pPr>
            <w:r>
              <w:rPr>
                <w:rFonts w:ascii="Arial" w:cs="Arial" w:eastAsia="Arial" w:hAnsi="Arial"/>
                <w:sz w:val="18"/>
                <w:szCs w:val="18"/>
                <w:color w:val="auto"/>
              </w:rPr>
              <w:t>Exercisable as of June 30, 2015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3,594</w:t>
            </w:r>
          </w:p>
        </w:tc>
        <w:tc>
          <w:tcPr>
            <w:tcW w:w="380" w:type="dxa"/>
            <w:vAlign w:val="bottom"/>
          </w:tcPr>
          <w:p>
            <w:pPr>
              <w:spacing w:after="0"/>
              <w:rPr>
                <w:sz w:val="24"/>
                <w:szCs w:val="24"/>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ind w:left="600"/>
              <w:spacing w:after="0"/>
              <w:rPr>
                <w:sz w:val="20"/>
                <w:szCs w:val="20"/>
                <w:color w:val="auto"/>
              </w:rPr>
            </w:pPr>
            <w:r>
              <w:rPr>
                <w:rFonts w:ascii="Arial" w:cs="Arial" w:eastAsia="Arial" w:hAnsi="Arial"/>
                <w:sz w:val="18"/>
                <w:szCs w:val="18"/>
                <w:color w:val="auto"/>
              </w:rPr>
              <w:t>31.46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300" w:firstLine="456"/>
        <w:spacing w:after="0" w:line="277" w:lineRule="auto"/>
        <w:rPr>
          <w:sz w:val="20"/>
          <w:szCs w:val="20"/>
          <w:color w:val="auto"/>
        </w:rPr>
      </w:pPr>
      <w:r>
        <w:rPr>
          <w:rFonts w:ascii="Arial" w:cs="Arial" w:eastAsia="Arial" w:hAnsi="Arial"/>
          <w:sz w:val="18"/>
          <w:szCs w:val="18"/>
          <w:color w:val="auto"/>
        </w:rPr>
        <w:t>The following table summarizes information relating to awards of restricted shares, as well as changes to such awards during the nine-month period ended June 30,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14"/>
                <w:szCs w:val="1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4"/>
              </w:rPr>
              <w:t>of Shares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unvested shares as of October 1, 2014</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529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8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June 30, 2015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and nine months ended June 30, 2015 and 2014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8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$11,767</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$13,220</w:t>
            </w: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880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2,570</w:t>
            </w:r>
          </w:p>
        </w:tc>
        <w:tc>
          <w:tcPr>
            <w:tcW w:w="580" w:type="dxa"/>
            <w:vAlign w:val="bottom"/>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19,886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18,115</w:t>
            </w:r>
          </w:p>
        </w:tc>
        <w:tc>
          <w:tcPr>
            <w:tcW w:w="100" w:type="dxa"/>
            <w:vAlign w:val="bottom"/>
            <w:shd w:val="clear" w:color="auto" w:fill="CCEEFF"/>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10,500</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10,520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34,223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34,020</w:t>
            </w:r>
          </w:p>
        </w:tc>
      </w:tr>
      <w:tr>
        <w:trPr>
          <w:trHeight w:val="20"/>
        </w:trPr>
        <w:tc>
          <w:tcPr>
            <w:tcW w:w="8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total income tax benefit recognized in the consolidated statements of income for stock-based compensation (including restricted shares) for the three months ended June 30, 2015 and 2014, was $1,095 and $1,292, respectively, and for the nine months ended June 30, 2015 and 2014, was $4,305 and $3,954, respectively.</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of June 30, 2015, there was $48,771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selected the Black-Scholes option pricing model as the most appropriate fair value method for its equity-based awards. The Black-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assumptions used are noted in the following table (all in weighted averages for options granted during the period):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2"/>
              </w:rPr>
              <w:t>Three months</w:t>
            </w:r>
          </w:p>
        </w:tc>
        <w:tc>
          <w:tcPr>
            <w:tcW w:w="15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Nine months</w:t>
            </w:r>
          </w:p>
        </w:tc>
      </w:tr>
      <w:tr>
        <w:trPr>
          <w:trHeight w:val="149"/>
        </w:trPr>
        <w:tc>
          <w:tcPr>
            <w:tcW w:w="52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1"/>
        </w:trPr>
        <w:tc>
          <w:tcPr>
            <w:tcW w:w="5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9"/>
              </w:rPr>
              <w:t>June 30,</w:t>
            </w:r>
          </w:p>
        </w:tc>
        <w:tc>
          <w:tcPr>
            <w:tcW w:w="15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522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(1)</w:t>
            </w:r>
          </w:p>
        </w:tc>
        <w:tc>
          <w:tcPr>
            <w:tcW w:w="28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1.36%</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w:t>
            </w:r>
          </w:p>
        </w:tc>
        <w:tc>
          <w:tcPr>
            <w:tcW w:w="9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1.25%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3700" w:type="dxa"/>
            <w:vAlign w:val="bottom"/>
            <w:gridSpan w:val="3"/>
          </w:tcPr>
          <w:p>
            <w:pPr>
              <w:jc w:val="right"/>
              <w:ind w:right="388"/>
              <w:spacing w:after="0"/>
              <w:rPr>
                <w:sz w:val="20"/>
                <w:szCs w:val="20"/>
                <w:color w:val="auto"/>
              </w:rPr>
            </w:pPr>
            <w:r>
              <w:rPr>
                <w:rFonts w:ascii="Arial" w:cs="Arial" w:eastAsia="Arial" w:hAnsi="Arial"/>
                <w:sz w:val="18"/>
                <w:szCs w:val="18"/>
                <w:color w:val="auto"/>
              </w:rPr>
              <w:t>4.50</w:t>
            </w:r>
          </w:p>
        </w:tc>
        <w:tc>
          <w:tcPr>
            <w:tcW w:w="960" w:type="dxa"/>
            <w:vAlign w:val="bottom"/>
            <w:gridSpan w:val="3"/>
          </w:tcPr>
          <w:p>
            <w:pPr>
              <w:jc w:val="right"/>
              <w:ind w:right="500"/>
              <w:spacing w:after="0"/>
              <w:rPr>
                <w:sz w:val="20"/>
                <w:szCs w:val="20"/>
                <w:color w:val="auto"/>
              </w:rPr>
            </w:pPr>
            <w:r>
              <w:rPr>
                <w:rFonts w:ascii="Arial" w:cs="Arial" w:eastAsia="Arial" w:hAnsi="Arial"/>
                <w:sz w:val="18"/>
                <w:szCs w:val="18"/>
                <w:color w:val="auto"/>
              </w:rPr>
              <w:t>4.50</w:t>
            </w:r>
          </w:p>
        </w:tc>
        <w:tc>
          <w:tcPr>
            <w:tcW w:w="920" w:type="dxa"/>
            <w:vAlign w:val="bottom"/>
            <w:gridSpan w:val="2"/>
          </w:tcPr>
          <w:p>
            <w:pPr>
              <w:jc w:val="right"/>
              <w:ind w:right="428"/>
              <w:spacing w:after="0"/>
              <w:rPr>
                <w:sz w:val="20"/>
                <w:szCs w:val="20"/>
                <w:color w:val="auto"/>
              </w:rPr>
            </w:pPr>
            <w:r>
              <w:rPr>
                <w:rFonts w:ascii="Arial" w:cs="Arial" w:eastAsia="Arial" w:hAnsi="Arial"/>
                <w:sz w:val="18"/>
                <w:szCs w:val="18"/>
                <w:color w:val="auto"/>
              </w:rPr>
              <w:t>4.50</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370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0.15</w:t>
            </w:r>
          </w:p>
        </w:tc>
        <w:tc>
          <w:tcPr>
            <w:tcW w:w="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0.17</w:t>
            </w:r>
          </w:p>
        </w:tc>
        <w:tc>
          <w:tcPr>
            <w:tcW w:w="9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0.15</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3700" w:type="dxa"/>
            <w:vAlign w:val="bottom"/>
            <w:gridSpan w:val="3"/>
          </w:tcPr>
          <w:p>
            <w:pPr>
              <w:jc w:val="right"/>
              <w:ind w:right="228"/>
              <w:spacing w:after="0"/>
              <w:rPr>
                <w:sz w:val="20"/>
                <w:szCs w:val="20"/>
                <w:color w:val="auto"/>
              </w:rPr>
            </w:pPr>
            <w:r>
              <w:rPr>
                <w:rFonts w:ascii="Arial" w:cs="Arial" w:eastAsia="Arial" w:hAnsi="Arial"/>
                <w:sz w:val="18"/>
                <w:szCs w:val="18"/>
                <w:color w:val="auto"/>
              </w:rPr>
              <w:t>1.23%</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1.31%</w:t>
            </w:r>
          </w:p>
        </w:tc>
        <w:tc>
          <w:tcPr>
            <w:tcW w:w="920" w:type="dxa"/>
            <w:vAlign w:val="bottom"/>
            <w:gridSpan w:val="2"/>
          </w:tcPr>
          <w:p>
            <w:pPr>
              <w:jc w:val="right"/>
              <w:ind w:right="288"/>
              <w:spacing w:after="0"/>
              <w:rPr>
                <w:sz w:val="20"/>
                <w:szCs w:val="20"/>
                <w:color w:val="auto"/>
              </w:rPr>
            </w:pPr>
            <w:r>
              <w:rPr>
                <w:rFonts w:ascii="Arial" w:cs="Arial" w:eastAsia="Arial" w:hAnsi="Arial"/>
                <w:sz w:val="18"/>
                <w:szCs w:val="18"/>
                <w:color w:val="auto"/>
              </w:rPr>
              <w:t>1.40%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370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$6.69</w:t>
            </w:r>
          </w:p>
        </w:tc>
        <w:tc>
          <w:tcPr>
            <w:tcW w:w="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7"/>
              </w:rPr>
              <w:t>$6.44</w:t>
            </w:r>
          </w:p>
        </w:tc>
        <w:tc>
          <w:tcPr>
            <w:tcW w:w="9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w w:val="88"/>
              </w:rPr>
              <w:t>$5.63</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$5.50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w:t>
      </w:r>
      <w:r>
        <w:rPr>
          <w:rFonts w:ascii="Arial" w:cs="Arial" w:eastAsia="Arial" w:hAnsi="Arial"/>
          <w:sz w:val="18"/>
          <w:szCs w:val="18"/>
          <w:b w:val="1"/>
          <w:bCs w:val="1"/>
          <w:color w:val="auto"/>
        </w:rPr>
        <w:t>’</w:t>
      </w:r>
      <w:r>
        <w:rPr>
          <w:rFonts w:ascii="Arial" w:cs="Arial" w:eastAsia="Arial" w:hAnsi="Arial"/>
          <w:sz w:val="18"/>
          <w:szCs w:val="18"/>
          <w:color w:val="auto"/>
        </w:rPr>
        <w:t>s employee stock options.</w:t>
      </w:r>
    </w:p>
    <w:p>
      <w:pPr>
        <w:spacing w:after="0" w:line="27"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21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nine months ended June 30, 2015 and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2240" w:type="dxa"/>
            <w:vAlign w:val="bottom"/>
          </w:tcPr>
          <w:p>
            <w:pPr>
              <w:jc w:val="center"/>
              <w:ind w:left="494"/>
              <w:spacing w:after="0"/>
              <w:rPr>
                <w:sz w:val="20"/>
                <w:szCs w:val="20"/>
                <w:color w:val="auto"/>
              </w:rPr>
            </w:pPr>
            <w:r>
              <w:rPr>
                <w:rFonts w:ascii="Arial" w:cs="Arial" w:eastAsia="Arial" w:hAnsi="Arial"/>
                <w:sz w:val="14"/>
                <w:szCs w:val="14"/>
                <w:b w:val="1"/>
                <w:bCs w:val="1"/>
                <w:color w:val="auto"/>
                <w:w w:val="92"/>
              </w:rPr>
              <w:t>Dividends Per</w:t>
            </w:r>
          </w:p>
        </w:tc>
        <w:tc>
          <w:tcPr>
            <w:tcW w:w="25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Record Date</w:t>
            </w:r>
          </w:p>
        </w:tc>
        <w:tc>
          <w:tcPr>
            <w:tcW w:w="1980" w:type="dxa"/>
            <w:vAlign w:val="bottom"/>
            <w:vMerge w:val="restart"/>
          </w:tcPr>
          <w:p>
            <w:pPr>
              <w:jc w:val="center"/>
              <w:ind w:left="293"/>
              <w:spacing w:after="0"/>
              <w:rPr>
                <w:sz w:val="20"/>
                <w:szCs w:val="20"/>
                <w:color w:val="auto"/>
              </w:rPr>
            </w:pPr>
            <w:r>
              <w:rPr>
                <w:rFonts w:ascii="Arial" w:cs="Arial" w:eastAsia="Arial" w:hAnsi="Arial"/>
                <w:sz w:val="14"/>
                <w:szCs w:val="14"/>
                <w:b w:val="1"/>
                <w:bCs w:val="1"/>
                <w:color w:val="auto"/>
                <w:w w:val="93"/>
              </w:rPr>
              <w:t>Total Amount</w:t>
            </w:r>
          </w:p>
        </w:tc>
        <w:tc>
          <w:tcPr>
            <w:tcW w:w="24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vMerge w:val="continue"/>
          </w:tcPr>
          <w:p>
            <w:pPr>
              <w:spacing w:after="0"/>
              <w:rPr>
                <w:sz w:val="14"/>
                <w:szCs w:val="14"/>
                <w:color w:val="auto"/>
              </w:rPr>
            </w:pPr>
          </w:p>
        </w:tc>
        <w:tc>
          <w:tcPr>
            <w:tcW w:w="2240" w:type="dxa"/>
            <w:vAlign w:val="bottom"/>
            <w:tcBorders>
              <w:bottom w:val="single" w:sz="8" w:color="auto"/>
            </w:tcBorders>
          </w:tcPr>
          <w:p>
            <w:pPr>
              <w:jc w:val="center"/>
              <w:ind w:left="494"/>
              <w:spacing w:after="0"/>
              <w:rPr>
                <w:sz w:val="20"/>
                <w:szCs w:val="20"/>
                <w:color w:val="auto"/>
              </w:rPr>
            </w:pPr>
            <w:r>
              <w:rPr>
                <w:rFonts w:ascii="Arial" w:cs="Arial" w:eastAsia="Arial" w:hAnsi="Arial"/>
                <w:sz w:val="14"/>
                <w:szCs w:val="14"/>
                <w:b w:val="1"/>
                <w:bCs w:val="1"/>
                <w:color w:val="auto"/>
                <w:w w:val="96"/>
              </w:rPr>
              <w:t>Ordinary Share</w:t>
            </w:r>
          </w:p>
        </w:tc>
        <w:tc>
          <w:tcPr>
            <w:tcW w:w="2500" w:type="dxa"/>
            <w:vAlign w:val="bottom"/>
            <w:tcBorders>
              <w:bottom w:val="single" w:sz="8" w:color="auto"/>
            </w:tcBorders>
            <w:vMerge w:val="continue"/>
          </w:tcPr>
          <w:p>
            <w:pPr>
              <w:spacing w:after="0"/>
              <w:rPr>
                <w:sz w:val="14"/>
                <w:szCs w:val="14"/>
                <w:color w:val="auto"/>
              </w:rPr>
            </w:pPr>
          </w:p>
        </w:tc>
        <w:tc>
          <w:tcPr>
            <w:tcW w:w="1980" w:type="dxa"/>
            <w:vAlign w:val="bottom"/>
            <w:tcBorders>
              <w:bottom w:val="single" w:sz="8" w:color="auto"/>
            </w:tcBorders>
            <w:vMerge w:val="continue"/>
          </w:tcPr>
          <w:p>
            <w:pPr>
              <w:spacing w:after="0"/>
              <w:rPr>
                <w:sz w:val="14"/>
                <w:szCs w:val="14"/>
                <w:color w:val="auto"/>
              </w:rPr>
            </w:pPr>
          </w:p>
        </w:tc>
        <w:tc>
          <w:tcPr>
            <w:tcW w:w="24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line="195" w:lineRule="exact"/>
              <w:rPr>
                <w:sz w:val="20"/>
                <w:szCs w:val="20"/>
                <w:color w:val="auto"/>
              </w:rPr>
            </w:pPr>
            <w:r>
              <w:rPr>
                <w:rFonts w:ascii="Arial" w:cs="Arial" w:eastAsia="Arial" w:hAnsi="Arial"/>
                <w:sz w:val="18"/>
                <w:szCs w:val="18"/>
                <w:color w:val="auto"/>
              </w:rPr>
              <w:t>April 29, 2015</w:t>
            </w:r>
          </w:p>
        </w:tc>
        <w:tc>
          <w:tcPr>
            <w:tcW w:w="2240" w:type="dxa"/>
            <w:vAlign w:val="bottom"/>
          </w:tcPr>
          <w:p>
            <w:pPr>
              <w:jc w:val="center"/>
              <w:ind w:left="494"/>
              <w:spacing w:after="0" w:line="195" w:lineRule="exact"/>
              <w:rPr>
                <w:sz w:val="20"/>
                <w:szCs w:val="20"/>
                <w:color w:val="auto"/>
              </w:rPr>
            </w:pPr>
            <w:r>
              <w:rPr>
                <w:rFonts w:ascii="Arial" w:cs="Arial" w:eastAsia="Arial" w:hAnsi="Arial"/>
                <w:sz w:val="18"/>
                <w:szCs w:val="18"/>
                <w:color w:val="auto"/>
                <w:w w:val="90"/>
              </w:rPr>
              <w:t>$0.170</w:t>
            </w:r>
          </w:p>
        </w:tc>
        <w:tc>
          <w:tcPr>
            <w:tcW w:w="2500" w:type="dxa"/>
            <w:vAlign w:val="bottom"/>
          </w:tcPr>
          <w:p>
            <w:pPr>
              <w:ind w:left="360"/>
              <w:spacing w:after="0" w:line="195" w:lineRule="exact"/>
              <w:rPr>
                <w:sz w:val="20"/>
                <w:szCs w:val="20"/>
                <w:color w:val="auto"/>
              </w:rPr>
            </w:pPr>
            <w:r>
              <w:rPr>
                <w:rFonts w:ascii="Arial" w:cs="Arial" w:eastAsia="Arial" w:hAnsi="Arial"/>
                <w:sz w:val="18"/>
                <w:szCs w:val="18"/>
                <w:color w:val="auto"/>
              </w:rPr>
              <w:t>June 30, 2015</w:t>
            </w:r>
          </w:p>
        </w:tc>
        <w:tc>
          <w:tcPr>
            <w:tcW w:w="1980" w:type="dxa"/>
            <w:vAlign w:val="bottom"/>
          </w:tcPr>
          <w:p>
            <w:pPr>
              <w:jc w:val="center"/>
              <w:ind w:left="293"/>
              <w:spacing w:after="0" w:line="195" w:lineRule="exact"/>
              <w:rPr>
                <w:sz w:val="20"/>
                <w:szCs w:val="20"/>
                <w:color w:val="auto"/>
              </w:rPr>
            </w:pPr>
            <w:r>
              <w:rPr>
                <w:rFonts w:ascii="Arial" w:cs="Arial" w:eastAsia="Arial" w:hAnsi="Arial"/>
                <w:sz w:val="18"/>
                <w:szCs w:val="18"/>
                <w:color w:val="auto"/>
                <w:w w:val="92"/>
              </w:rPr>
              <w:t>$26,127</w:t>
            </w:r>
          </w:p>
        </w:tc>
        <w:tc>
          <w:tcPr>
            <w:tcW w:w="2420" w:type="dxa"/>
            <w:vAlign w:val="bottom"/>
          </w:tcPr>
          <w:p>
            <w:pPr>
              <w:ind w:left="380"/>
              <w:spacing w:after="0" w:line="195" w:lineRule="exact"/>
              <w:rPr>
                <w:sz w:val="20"/>
                <w:szCs w:val="20"/>
                <w:color w:val="auto"/>
              </w:rPr>
            </w:pPr>
            <w:r>
              <w:rPr>
                <w:rFonts w:ascii="Arial" w:cs="Arial" w:eastAsia="Arial" w:hAnsi="Arial"/>
                <w:sz w:val="18"/>
                <w:szCs w:val="18"/>
                <w:color w:val="auto"/>
              </w:rPr>
              <w:t>July 17, 2015</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January 27, 2015</w:t>
            </w:r>
          </w:p>
        </w:tc>
        <w:tc>
          <w:tcPr>
            <w:tcW w:w="2240" w:type="dxa"/>
            <w:vAlign w:val="bottom"/>
          </w:tcPr>
          <w:p>
            <w:pPr>
              <w:jc w:val="center"/>
              <w:ind w:left="494"/>
              <w:spacing w:after="0"/>
              <w:rPr>
                <w:sz w:val="20"/>
                <w:szCs w:val="20"/>
                <w:color w:val="auto"/>
              </w:rPr>
            </w:pPr>
            <w:r>
              <w:rPr>
                <w:rFonts w:ascii="Arial" w:cs="Arial" w:eastAsia="Arial" w:hAnsi="Arial"/>
                <w:sz w:val="18"/>
                <w:szCs w:val="18"/>
                <w:color w:val="auto"/>
                <w:w w:val="90"/>
              </w:rPr>
              <w:t>$0.170</w:t>
            </w:r>
          </w:p>
        </w:tc>
        <w:tc>
          <w:tcPr>
            <w:tcW w:w="2500" w:type="dxa"/>
            <w:vAlign w:val="bottom"/>
          </w:tcPr>
          <w:p>
            <w:pPr>
              <w:ind w:left="360"/>
              <w:spacing w:after="0"/>
              <w:rPr>
                <w:sz w:val="20"/>
                <w:szCs w:val="20"/>
                <w:color w:val="auto"/>
              </w:rPr>
            </w:pPr>
            <w:r>
              <w:rPr>
                <w:rFonts w:ascii="Arial" w:cs="Arial" w:eastAsia="Arial" w:hAnsi="Arial"/>
                <w:sz w:val="18"/>
                <w:szCs w:val="18"/>
                <w:color w:val="auto"/>
              </w:rPr>
              <w:t>March 31, 2015</w:t>
            </w:r>
          </w:p>
        </w:tc>
        <w:tc>
          <w:tcPr>
            <w:tcW w:w="1980" w:type="dxa"/>
            <w:vAlign w:val="bottom"/>
          </w:tcPr>
          <w:p>
            <w:pPr>
              <w:jc w:val="center"/>
              <w:ind w:left="293"/>
              <w:spacing w:after="0"/>
              <w:rPr>
                <w:sz w:val="20"/>
                <w:szCs w:val="20"/>
                <w:color w:val="auto"/>
              </w:rPr>
            </w:pPr>
            <w:r>
              <w:rPr>
                <w:rFonts w:ascii="Arial" w:cs="Arial" w:eastAsia="Arial" w:hAnsi="Arial"/>
                <w:sz w:val="18"/>
                <w:szCs w:val="18"/>
                <w:color w:val="auto"/>
                <w:w w:val="92"/>
              </w:rPr>
              <w:t>$26,286</w:t>
            </w:r>
          </w:p>
        </w:tc>
        <w:tc>
          <w:tcPr>
            <w:tcW w:w="2420" w:type="dxa"/>
            <w:vAlign w:val="bottom"/>
          </w:tcPr>
          <w:p>
            <w:pPr>
              <w:ind w:left="380"/>
              <w:spacing w:after="0"/>
              <w:rPr>
                <w:sz w:val="20"/>
                <w:szCs w:val="20"/>
                <w:color w:val="auto"/>
              </w:rPr>
            </w:pPr>
            <w:r>
              <w:rPr>
                <w:rFonts w:ascii="Arial" w:cs="Arial" w:eastAsia="Arial" w:hAnsi="Arial"/>
                <w:sz w:val="18"/>
                <w:szCs w:val="18"/>
                <w:color w:val="auto"/>
              </w:rPr>
              <w:t>April 16, 2015</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4, 2014</w:t>
            </w:r>
          </w:p>
        </w:tc>
        <w:tc>
          <w:tcPr>
            <w:tcW w:w="2240" w:type="dxa"/>
            <w:vAlign w:val="bottom"/>
            <w:tcBorders>
              <w:bottom w:val="single" w:sz="8" w:color="auto"/>
            </w:tcBorders>
          </w:tcPr>
          <w:p>
            <w:pPr>
              <w:jc w:val="center"/>
              <w:ind w:left="494"/>
              <w:spacing w:after="0"/>
              <w:rPr>
                <w:sz w:val="20"/>
                <w:szCs w:val="20"/>
                <w:color w:val="auto"/>
              </w:rPr>
            </w:pPr>
            <w:r>
              <w:rPr>
                <w:rFonts w:ascii="Arial" w:cs="Arial" w:eastAsia="Arial" w:hAnsi="Arial"/>
                <w:sz w:val="18"/>
                <w:szCs w:val="18"/>
                <w:color w:val="auto"/>
                <w:w w:val="90"/>
              </w:rPr>
              <w:t>$0.155</w:t>
            </w:r>
          </w:p>
        </w:tc>
        <w:tc>
          <w:tcPr>
            <w:tcW w:w="25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December 31, 2014</w:t>
            </w:r>
          </w:p>
        </w:tc>
        <w:tc>
          <w:tcPr>
            <w:tcW w:w="1980" w:type="dxa"/>
            <w:vAlign w:val="bottom"/>
            <w:tcBorders>
              <w:bottom w:val="single" w:sz="8" w:color="auto"/>
            </w:tcBorders>
          </w:tcPr>
          <w:p>
            <w:pPr>
              <w:jc w:val="center"/>
              <w:ind w:left="293"/>
              <w:spacing w:after="0"/>
              <w:rPr>
                <w:sz w:val="20"/>
                <w:szCs w:val="20"/>
                <w:color w:val="auto"/>
              </w:rPr>
            </w:pPr>
            <w:r>
              <w:rPr>
                <w:rFonts w:ascii="Arial" w:cs="Arial" w:eastAsia="Arial" w:hAnsi="Arial"/>
                <w:sz w:val="18"/>
                <w:szCs w:val="18"/>
                <w:color w:val="auto"/>
                <w:w w:val="92"/>
              </w:rPr>
              <w:t>$24,086</w:t>
            </w:r>
          </w:p>
        </w:tc>
        <w:tc>
          <w:tcPr>
            <w:tcW w:w="24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January 16, 2015</w:t>
            </w:r>
          </w:p>
        </w:tc>
        <w:tc>
          <w:tcPr>
            <w:tcW w:w="0" w:type="dxa"/>
            <w:vAlign w:val="bottom"/>
          </w:tcPr>
          <w:p>
            <w:pPr>
              <w:spacing w:after="0"/>
              <w:rPr>
                <w:sz w:val="1"/>
                <w:szCs w:val="1"/>
                <w:color w:val="auto"/>
              </w:rPr>
            </w:pPr>
          </w:p>
        </w:tc>
      </w:tr>
      <w:tr>
        <w:trPr>
          <w:trHeight w:val="195"/>
        </w:trPr>
        <w:tc>
          <w:tcPr>
            <w:tcW w:w="2280" w:type="dxa"/>
            <w:vAlign w:val="bottom"/>
          </w:tcPr>
          <w:p>
            <w:pPr>
              <w:spacing w:after="0" w:line="195" w:lineRule="exact"/>
              <w:rPr>
                <w:sz w:val="20"/>
                <w:szCs w:val="20"/>
                <w:color w:val="auto"/>
              </w:rPr>
            </w:pPr>
            <w:r>
              <w:rPr>
                <w:rFonts w:ascii="Arial" w:cs="Arial" w:eastAsia="Arial" w:hAnsi="Arial"/>
                <w:sz w:val="18"/>
                <w:szCs w:val="18"/>
                <w:color w:val="auto"/>
              </w:rPr>
              <w:t>April 30, 2014</w:t>
            </w:r>
          </w:p>
        </w:tc>
        <w:tc>
          <w:tcPr>
            <w:tcW w:w="2240" w:type="dxa"/>
            <w:vAlign w:val="bottom"/>
          </w:tcPr>
          <w:p>
            <w:pPr>
              <w:jc w:val="center"/>
              <w:ind w:left="494"/>
              <w:spacing w:after="0" w:line="195" w:lineRule="exact"/>
              <w:rPr>
                <w:sz w:val="20"/>
                <w:szCs w:val="20"/>
                <w:color w:val="auto"/>
              </w:rPr>
            </w:pPr>
            <w:r>
              <w:rPr>
                <w:rFonts w:ascii="Arial" w:cs="Arial" w:eastAsia="Arial" w:hAnsi="Arial"/>
                <w:sz w:val="18"/>
                <w:szCs w:val="18"/>
                <w:color w:val="auto"/>
                <w:w w:val="90"/>
              </w:rPr>
              <w:t>$0.155</w:t>
            </w:r>
          </w:p>
        </w:tc>
        <w:tc>
          <w:tcPr>
            <w:tcW w:w="2500" w:type="dxa"/>
            <w:vAlign w:val="bottom"/>
          </w:tcPr>
          <w:p>
            <w:pPr>
              <w:ind w:left="360"/>
              <w:spacing w:after="0" w:line="195" w:lineRule="exact"/>
              <w:rPr>
                <w:sz w:val="20"/>
                <w:szCs w:val="20"/>
                <w:color w:val="auto"/>
              </w:rPr>
            </w:pPr>
            <w:r>
              <w:rPr>
                <w:rFonts w:ascii="Arial" w:cs="Arial" w:eastAsia="Arial" w:hAnsi="Arial"/>
                <w:sz w:val="18"/>
                <w:szCs w:val="18"/>
                <w:color w:val="auto"/>
              </w:rPr>
              <w:t>June 30, 2014</w:t>
            </w:r>
          </w:p>
        </w:tc>
        <w:tc>
          <w:tcPr>
            <w:tcW w:w="1980" w:type="dxa"/>
            <w:vAlign w:val="bottom"/>
          </w:tcPr>
          <w:p>
            <w:pPr>
              <w:jc w:val="center"/>
              <w:ind w:left="293"/>
              <w:spacing w:after="0" w:line="195" w:lineRule="exact"/>
              <w:rPr>
                <w:sz w:val="20"/>
                <w:szCs w:val="20"/>
                <w:color w:val="auto"/>
              </w:rPr>
            </w:pPr>
            <w:r>
              <w:rPr>
                <w:rFonts w:ascii="Arial" w:cs="Arial" w:eastAsia="Arial" w:hAnsi="Arial"/>
                <w:sz w:val="18"/>
                <w:szCs w:val="18"/>
                <w:color w:val="auto"/>
                <w:w w:val="92"/>
              </w:rPr>
              <w:t>$24,576</w:t>
            </w:r>
          </w:p>
        </w:tc>
        <w:tc>
          <w:tcPr>
            <w:tcW w:w="2420" w:type="dxa"/>
            <w:vAlign w:val="bottom"/>
          </w:tcPr>
          <w:p>
            <w:pPr>
              <w:ind w:left="380"/>
              <w:spacing w:after="0" w:line="195" w:lineRule="exact"/>
              <w:rPr>
                <w:sz w:val="20"/>
                <w:szCs w:val="20"/>
                <w:color w:val="auto"/>
              </w:rPr>
            </w:pPr>
            <w:r>
              <w:rPr>
                <w:rFonts w:ascii="Arial" w:cs="Arial" w:eastAsia="Arial" w:hAnsi="Arial"/>
                <w:sz w:val="18"/>
                <w:szCs w:val="18"/>
                <w:color w:val="auto"/>
              </w:rPr>
              <w:t>July 18, 2014</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January 29, 2014</w:t>
            </w:r>
          </w:p>
        </w:tc>
        <w:tc>
          <w:tcPr>
            <w:tcW w:w="2240" w:type="dxa"/>
            <w:vAlign w:val="bottom"/>
          </w:tcPr>
          <w:p>
            <w:pPr>
              <w:jc w:val="center"/>
              <w:ind w:left="494"/>
              <w:spacing w:after="0"/>
              <w:rPr>
                <w:sz w:val="20"/>
                <w:szCs w:val="20"/>
                <w:color w:val="auto"/>
              </w:rPr>
            </w:pPr>
            <w:r>
              <w:rPr>
                <w:rFonts w:ascii="Arial" w:cs="Arial" w:eastAsia="Arial" w:hAnsi="Arial"/>
                <w:sz w:val="18"/>
                <w:szCs w:val="18"/>
                <w:color w:val="auto"/>
                <w:w w:val="90"/>
              </w:rPr>
              <w:t>$0.155</w:t>
            </w:r>
          </w:p>
        </w:tc>
        <w:tc>
          <w:tcPr>
            <w:tcW w:w="2500" w:type="dxa"/>
            <w:vAlign w:val="bottom"/>
          </w:tcPr>
          <w:p>
            <w:pPr>
              <w:ind w:left="360"/>
              <w:spacing w:after="0"/>
              <w:rPr>
                <w:sz w:val="20"/>
                <w:szCs w:val="20"/>
                <w:color w:val="auto"/>
              </w:rPr>
            </w:pPr>
            <w:r>
              <w:rPr>
                <w:rFonts w:ascii="Arial" w:cs="Arial" w:eastAsia="Arial" w:hAnsi="Arial"/>
                <w:sz w:val="18"/>
                <w:szCs w:val="18"/>
                <w:color w:val="auto"/>
              </w:rPr>
              <w:t>March 31, 2014</w:t>
            </w:r>
          </w:p>
        </w:tc>
        <w:tc>
          <w:tcPr>
            <w:tcW w:w="1980" w:type="dxa"/>
            <w:vAlign w:val="bottom"/>
          </w:tcPr>
          <w:p>
            <w:pPr>
              <w:jc w:val="center"/>
              <w:ind w:left="293"/>
              <w:spacing w:after="0"/>
              <w:rPr>
                <w:sz w:val="20"/>
                <w:szCs w:val="20"/>
                <w:color w:val="auto"/>
              </w:rPr>
            </w:pPr>
            <w:r>
              <w:rPr>
                <w:rFonts w:ascii="Arial" w:cs="Arial" w:eastAsia="Arial" w:hAnsi="Arial"/>
                <w:sz w:val="18"/>
                <w:szCs w:val="18"/>
                <w:color w:val="auto"/>
                <w:w w:val="92"/>
              </w:rPr>
              <w:t>$24,799</w:t>
            </w:r>
          </w:p>
        </w:tc>
        <w:tc>
          <w:tcPr>
            <w:tcW w:w="2420" w:type="dxa"/>
            <w:vAlign w:val="bottom"/>
          </w:tcPr>
          <w:p>
            <w:pPr>
              <w:ind w:left="380"/>
              <w:spacing w:after="0"/>
              <w:rPr>
                <w:sz w:val="20"/>
                <w:szCs w:val="20"/>
                <w:color w:val="auto"/>
              </w:rPr>
            </w:pPr>
            <w:r>
              <w:rPr>
                <w:rFonts w:ascii="Arial" w:cs="Arial" w:eastAsia="Arial" w:hAnsi="Arial"/>
                <w:sz w:val="18"/>
                <w:szCs w:val="18"/>
                <w:color w:val="auto"/>
              </w:rPr>
              <w:t>April 17, 2014</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5, 2013</w:t>
            </w:r>
          </w:p>
        </w:tc>
        <w:tc>
          <w:tcPr>
            <w:tcW w:w="2240" w:type="dxa"/>
            <w:vAlign w:val="bottom"/>
            <w:tcBorders>
              <w:bottom w:val="single" w:sz="8" w:color="auto"/>
            </w:tcBorders>
          </w:tcPr>
          <w:p>
            <w:pPr>
              <w:jc w:val="center"/>
              <w:ind w:left="494"/>
              <w:spacing w:after="0"/>
              <w:rPr>
                <w:sz w:val="20"/>
                <w:szCs w:val="20"/>
                <w:color w:val="auto"/>
              </w:rPr>
            </w:pPr>
            <w:r>
              <w:rPr>
                <w:rFonts w:ascii="Arial" w:cs="Arial" w:eastAsia="Arial" w:hAnsi="Arial"/>
                <w:sz w:val="18"/>
                <w:szCs w:val="18"/>
                <w:color w:val="auto"/>
                <w:w w:val="90"/>
              </w:rPr>
              <w:t>$0.130</w:t>
            </w:r>
          </w:p>
        </w:tc>
        <w:tc>
          <w:tcPr>
            <w:tcW w:w="25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December 31, 2013</w:t>
            </w:r>
          </w:p>
        </w:tc>
        <w:tc>
          <w:tcPr>
            <w:tcW w:w="1980" w:type="dxa"/>
            <w:vAlign w:val="bottom"/>
            <w:tcBorders>
              <w:bottom w:val="single" w:sz="8" w:color="auto"/>
            </w:tcBorders>
          </w:tcPr>
          <w:p>
            <w:pPr>
              <w:jc w:val="center"/>
              <w:ind w:left="293"/>
              <w:spacing w:after="0"/>
              <w:rPr>
                <w:sz w:val="20"/>
                <w:szCs w:val="20"/>
                <w:color w:val="auto"/>
              </w:rPr>
            </w:pPr>
            <w:r>
              <w:rPr>
                <w:rFonts w:ascii="Arial" w:cs="Arial" w:eastAsia="Arial" w:hAnsi="Arial"/>
                <w:sz w:val="18"/>
                <w:szCs w:val="18"/>
                <w:color w:val="auto"/>
                <w:w w:val="92"/>
              </w:rPr>
              <w:t>$20,752</w:t>
            </w:r>
          </w:p>
        </w:tc>
        <w:tc>
          <w:tcPr>
            <w:tcW w:w="24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January 17, 2014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payable as a result of the April 29, 2015 declaration was included in accrued expenses and other current liabilities as of June 30, 2015.</w:t>
      </w:r>
    </w:p>
    <w:p>
      <w:pPr>
        <w:spacing w:after="0" w:line="248" w:lineRule="exact"/>
        <w:rPr>
          <w:sz w:val="20"/>
          <w:szCs w:val="20"/>
          <w:color w:val="auto"/>
        </w:rPr>
      </w:pPr>
    </w:p>
    <w:p>
      <w:pPr>
        <w:ind w:right="1040" w:firstLine="456"/>
        <w:spacing w:after="0" w:line="342" w:lineRule="auto"/>
        <w:rPr>
          <w:sz w:val="20"/>
          <w:szCs w:val="20"/>
          <w:color w:val="auto"/>
        </w:rPr>
      </w:pPr>
      <w:r>
        <w:rPr>
          <w:rFonts w:ascii="Arial" w:cs="Arial" w:eastAsia="Arial" w:hAnsi="Arial"/>
          <w:sz w:val="16"/>
          <w:szCs w:val="16"/>
          <w:color w:val="auto"/>
        </w:rPr>
        <w:t>On July 29, 2015, the Company’s Board of Directors approved the next quarterly dividend payment, at the rate of $0.17 per share, and set September 30, 2015 as the record date for determining the shareholders entitled to receive the dividend, which is payable on October 16, 2015.</w:t>
      </w:r>
    </w:p>
    <w:p>
      <w:pPr>
        <w:spacing w:after="0" w:line="228" w:lineRule="exact"/>
        <w:rPr>
          <w:sz w:val="20"/>
          <w:szCs w:val="20"/>
          <w:color w:val="auto"/>
        </w:rPr>
      </w:pPr>
    </w:p>
    <w:p>
      <w:pPr>
        <w:ind w:left="460" w:right="9600" w:hanging="452"/>
        <w:spacing w:after="0" w:line="425" w:lineRule="auto"/>
        <w:tabs>
          <w:tab w:leader="none" w:pos="274"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i w:val="1"/>
          <w:iCs w:val="1"/>
          <w:color w:val="auto"/>
        </w:rPr>
        <w:t>Legal Proceedings</w:t>
      </w:r>
    </w:p>
    <w:p>
      <w:pPr>
        <w:spacing w:after="0" w:line="1"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generally offers its products with a limited warranty for a period of 90 days or more.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nine months ended June 30, 2015 and 2014.</w:t>
      </w:r>
    </w:p>
    <w:p>
      <w:pPr>
        <w:spacing w:after="0" w:line="187"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The Company generally indemnifies its customers against claims of intellectual property infringement made by third parties arising from the use of the Company’s software. To date, the Company has incurred and recorded immaterial costs as a result of such obligations in its consolidated financial statements.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July 2, 2015, the Company completed its acquisition of a substantial majority of the assets of the business support systems (BSS) business unit of Comverse, Inc. for approximately $273,000 in cash. This acquisition geographically complements the Company’s market focus by expanding and diversifying its global customer base, particularly in Asia Pacific, Latin America and Europe.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2014, filed on December 8, 2014 with the U.S. Securities and Exchange Commission.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Amdocs is a leading provider of software and services for communications, entertainment and media industry service providers in developed countries and emerging markets. We develop, implement and manage software and services associated with business support systems (BSS), operational support systems (OSS) and network control and optimization domains to enable service providers to introduce new products and services quickly, understand their customers more deeply, process orders more efficiently, monetize data and support new business models while controlling costs. We refer to these systems collectively as customer experience solutions because of the crucial impact that these systems have on the service providers’ end-user experience.</w:t>
      </w:r>
    </w:p>
    <w:p>
      <w:pPr>
        <w:spacing w:after="0" w:line="15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believe the demand for our customer experience solutions is driven by the desire of service providers to help their consumers navigate the increasing number of devices, services and plans available in the connected communications world and the need of service providers to cope with the rapidly growing demand for data that these new devices and services have created. Amdocs CES (Customer Experience Solutions) enables service providers to respond to the multidimensional demands driving The New World of Customer Experience™, in which service providers are expected to offer innovative and personalized services that are delivered consistently across channels and with a seamless network experience. Released in the third quarter of fiscal 2015, Amdocs CES 9.3 introduced solutions for online commerce and interactive bills, new big data analytics applications for service providers’ marketing, care and network domains, as well as enhancements to improve system performance. Amdocs CES 9.3, which builds on our prior Amdocs CES 9.2, helps service providers to streamline complex operating environments, which can help drive cost reduction and speed time to market for new products and services. Within the network domain, Amdocs released several solutions to enable service providers to accelerate the transformation from physical to virtual networks and support the rapid deployment and monetization of multiple technologies, such as Fiber, LTE, Small Cells and Wi-Fi.</w:t>
      </w:r>
    </w:p>
    <w:p>
      <w:pPr>
        <w:spacing w:after="0" w:line="169"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We also offer advertising and media products and services for advertising service providers, media publishers and ad agencies. These offerings enable the management of media selling, fulfillment, operations, consumer experiences and financial processes across digital and print media.</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conduct our business globally, and as a result we are subject to the effects of global economic conditions and, in particular, market conditions in the communications, entertainment and media industry. In the nine months ended June 30, 2015, customers in North America accounted for 71.0% of our revenue, while customers in Europe and the rest of the world accounted for 11.3% and 17.7%, respectively. We maintain development facilities in Brazil, Canada, Cyprus, India, Ireland, Israel the United Kingdom and the United States.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900" w:right="4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8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 significant portion of our revenue is recognized over the course of long-term implementation and integration projects under the percentage of completion method of accounting, usually based on a percentage that incurred labor effort to date bears to total projected labor effort. When total cost estimates exceed revenue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5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Revenue generated in connection with managed services arrangements is a significant part of our business, generating substantial, long-term recurring revenue streams and cash flow. Revenue from managed services arrangements accounted for approximately $460.6 million and $438.0 million in the three months ended June 30, 2015 and 2014, respectively, and $1,376.5 million and $1,293.6 million in the nine months ended June 30, 2015 and 2014, respectively.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July 2, 2015, we completed the acquisition of a substantial majority of the assets of the BSS business unit of Comverse for approximately</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$273 million in cash. This acquisition geographically complements our market focus by expanding and diversifying our global customer base, particularly in Asia Pacific, Latin America and Europe.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May 2014, the Financial Accounting Standards Board, or FASB, issued an Accounting Standard Update, or ASU, on revenue from contracts with customers, which outlines a single comprehensive model for entities to use in accounting for revenue arising from contracts with customers and supersedes most current revenue recognition guidance. In July 2015, the FASB deferred the effective date of this ASU by one year, to fiscal years beginning after December 15, 2017; however, early adoption as of the original effective date, fiscal years beginning after December 15, 2016, will be permitted. We are currently evaluating the methods and our timing of adoption, as well as the effect that adoption of this ASU will have on our consolidated financial statements.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In 2013, the FASB issued an ASU that requires an entity to present an unrecognized tax benefit, or a portion of an unrecognized tax benefit, in the financial statements as a reduction to a deferred tax asset for a net operating loss carryforward, a similar tax loss, or a tax credit carryforward, in the absence of certain conditions. This ASU became effective for us in the first quarter of fiscal 2015 and its adoption resulted in a reclassification of $15.0 million from noncurrent taxes payable to assets under noncurrent deferred income taxes as of December 31, 2014.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following table sets forth for the three and nine months ended June 30, 2015 and 2014, certain items in our consolidated statements of income reflected as a percentage of total revenue: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1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June 30,</w:t>
            </w:r>
          </w:p>
        </w:tc>
        <w:tc>
          <w:tcPr>
            <w:tcW w:w="5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Operating expenses:</w:t>
            </w:r>
          </w:p>
        </w:tc>
        <w:tc>
          <w:tcPr>
            <w:tcW w:w="2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372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65.2</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64.8</w:t>
            </w:r>
          </w:p>
        </w:tc>
        <w:tc>
          <w:tcPr>
            <w:tcW w:w="10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64.3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720" w:type="dxa"/>
            <w:vAlign w:val="bottom"/>
            <w:gridSpan w:val="3"/>
          </w:tcPr>
          <w:p>
            <w:pPr>
              <w:jc w:val="right"/>
              <w:ind w:right="548"/>
              <w:spacing w:after="0"/>
              <w:rPr>
                <w:sz w:val="20"/>
                <w:szCs w:val="20"/>
                <w:color w:val="auto"/>
              </w:rPr>
            </w:pPr>
            <w:r>
              <w:rPr>
                <w:rFonts w:ascii="Arial" w:cs="Arial" w:eastAsia="Arial" w:hAnsi="Arial"/>
                <w:sz w:val="18"/>
                <w:szCs w:val="18"/>
                <w:color w:val="auto"/>
              </w:rPr>
              <w:t>6.9</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7.2</w:t>
            </w:r>
          </w:p>
        </w:tc>
        <w:tc>
          <w:tcPr>
            <w:tcW w:w="1020" w:type="dxa"/>
            <w:vAlign w:val="bottom"/>
            <w:gridSpan w:val="2"/>
          </w:tcPr>
          <w:p>
            <w:pPr>
              <w:jc w:val="right"/>
              <w:ind w:right="508"/>
              <w:spacing w:after="0"/>
              <w:rPr>
                <w:sz w:val="20"/>
                <w:szCs w:val="20"/>
                <w:color w:val="auto"/>
              </w:rPr>
            </w:pPr>
            <w:r>
              <w:rPr>
                <w:rFonts w:ascii="Arial" w:cs="Arial" w:eastAsia="Arial" w:hAnsi="Arial"/>
                <w:sz w:val="18"/>
                <w:szCs w:val="18"/>
                <w:color w:val="auto"/>
              </w:rPr>
              <w:t>6.9</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12.4</w:t>
            </w:r>
          </w:p>
        </w:tc>
        <w:tc>
          <w:tcPr>
            <w:tcW w:w="10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12.1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3720" w:type="dxa"/>
            <w:vAlign w:val="bottom"/>
            <w:gridSpan w:val="3"/>
          </w:tcPr>
          <w:p>
            <w:pPr>
              <w:jc w:val="right"/>
              <w:ind w:right="548"/>
              <w:spacing w:after="0"/>
              <w:rPr>
                <w:sz w:val="20"/>
                <w:szCs w:val="20"/>
                <w:color w:val="auto"/>
              </w:rPr>
            </w:pPr>
            <w:r>
              <w:rPr>
                <w:rFonts w:ascii="Arial" w:cs="Arial" w:eastAsia="Arial" w:hAnsi="Arial"/>
                <w:sz w:val="18"/>
                <w:szCs w:val="18"/>
                <w:color w:val="auto"/>
              </w:rPr>
              <w:t>2.0</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1.7</w:t>
            </w:r>
          </w:p>
        </w:tc>
        <w:tc>
          <w:tcPr>
            <w:tcW w:w="1020" w:type="dxa"/>
            <w:vAlign w:val="bottom"/>
            <w:gridSpan w:val="2"/>
          </w:tcPr>
          <w:p>
            <w:pPr>
              <w:jc w:val="right"/>
              <w:ind w:right="508"/>
              <w:spacing w:after="0"/>
              <w:rPr>
                <w:sz w:val="20"/>
                <w:szCs w:val="20"/>
                <w:color w:val="auto"/>
              </w:rPr>
            </w:pPr>
            <w:r>
              <w:rPr>
                <w:rFonts w:ascii="Arial" w:cs="Arial" w:eastAsia="Arial" w:hAnsi="Arial"/>
                <w:sz w:val="18"/>
                <w:szCs w:val="18"/>
                <w:color w:val="auto"/>
              </w:rPr>
              <w:t>1.7</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75"/>
        </w:trPr>
        <w:tc>
          <w:tcPr>
            <w:tcW w:w="4940" w:type="dxa"/>
            <w:vAlign w:val="bottom"/>
          </w:tcPr>
          <w:p>
            <w:pPr>
              <w:spacing w:after="0"/>
              <w:rPr>
                <w:sz w:val="6"/>
                <w:szCs w:val="6"/>
                <w:color w:val="auto"/>
              </w:rPr>
            </w:pPr>
          </w:p>
        </w:tc>
        <w:tc>
          <w:tcPr>
            <w:tcW w:w="264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86.0</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86.1</w:t>
            </w:r>
          </w:p>
        </w:tc>
        <w:tc>
          <w:tcPr>
            <w:tcW w:w="10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85.0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94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640" w:type="dxa"/>
            <w:vAlign w:val="bottom"/>
          </w:tcPr>
          <w:p>
            <w:pPr>
              <w:spacing w:after="0"/>
              <w:rPr>
                <w:sz w:val="24"/>
                <w:szCs w:val="24"/>
                <w:color w:val="auto"/>
              </w:rPr>
            </w:pPr>
          </w:p>
        </w:tc>
        <w:tc>
          <w:tcPr>
            <w:tcW w:w="1080" w:type="dxa"/>
            <w:vAlign w:val="bottom"/>
            <w:gridSpan w:val="2"/>
          </w:tcPr>
          <w:p>
            <w:pPr>
              <w:jc w:val="right"/>
              <w:ind w:right="548"/>
              <w:spacing w:after="0"/>
              <w:rPr>
                <w:sz w:val="20"/>
                <w:szCs w:val="20"/>
                <w:color w:val="auto"/>
              </w:rPr>
            </w:pPr>
            <w:r>
              <w:rPr>
                <w:rFonts w:ascii="Arial" w:cs="Arial" w:eastAsia="Arial" w:hAnsi="Arial"/>
                <w:sz w:val="18"/>
                <w:szCs w:val="18"/>
                <w:color w:val="auto"/>
              </w:rPr>
              <w:t>14.0</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13.9</w:t>
            </w:r>
          </w:p>
        </w:tc>
        <w:tc>
          <w:tcPr>
            <w:tcW w:w="1020" w:type="dxa"/>
            <w:vAlign w:val="bottom"/>
            <w:gridSpan w:val="2"/>
          </w:tcPr>
          <w:p>
            <w:pPr>
              <w:jc w:val="right"/>
              <w:ind w:right="508"/>
              <w:spacing w:after="0"/>
              <w:rPr>
                <w:sz w:val="20"/>
                <w:szCs w:val="20"/>
                <w:color w:val="auto"/>
              </w:rPr>
            </w:pPr>
            <w:r>
              <w:rPr>
                <w:rFonts w:ascii="Arial" w:cs="Arial" w:eastAsia="Arial" w:hAnsi="Arial"/>
                <w:sz w:val="18"/>
                <w:szCs w:val="18"/>
                <w:color w:val="auto"/>
              </w:rPr>
              <w:t>15.0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expense, net</w:t>
            </w:r>
          </w:p>
        </w:tc>
        <w:tc>
          <w:tcPr>
            <w:tcW w:w="2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0.1</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10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0.1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94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2640" w:type="dxa"/>
            <w:vAlign w:val="bottom"/>
          </w:tcPr>
          <w:p>
            <w:pPr>
              <w:spacing w:after="0"/>
              <w:rPr>
                <w:sz w:val="24"/>
                <w:szCs w:val="24"/>
                <w:color w:val="auto"/>
              </w:rPr>
            </w:pPr>
          </w:p>
        </w:tc>
        <w:tc>
          <w:tcPr>
            <w:tcW w:w="1080" w:type="dxa"/>
            <w:vAlign w:val="bottom"/>
            <w:gridSpan w:val="2"/>
          </w:tcPr>
          <w:p>
            <w:pPr>
              <w:jc w:val="right"/>
              <w:ind w:right="548"/>
              <w:spacing w:after="0"/>
              <w:rPr>
                <w:sz w:val="20"/>
                <w:szCs w:val="20"/>
                <w:color w:val="auto"/>
              </w:rPr>
            </w:pPr>
            <w:r>
              <w:rPr>
                <w:rFonts w:ascii="Arial" w:cs="Arial" w:eastAsia="Arial" w:hAnsi="Arial"/>
                <w:sz w:val="18"/>
                <w:szCs w:val="18"/>
                <w:color w:val="auto"/>
              </w:rPr>
              <w:t>13.9</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13.8</w:t>
            </w:r>
          </w:p>
        </w:tc>
        <w:tc>
          <w:tcPr>
            <w:tcW w:w="1020" w:type="dxa"/>
            <w:vAlign w:val="bottom"/>
            <w:gridSpan w:val="2"/>
          </w:tcPr>
          <w:p>
            <w:pPr>
              <w:jc w:val="right"/>
              <w:ind w:right="508"/>
              <w:spacing w:after="0"/>
              <w:rPr>
                <w:sz w:val="20"/>
                <w:szCs w:val="20"/>
                <w:color w:val="auto"/>
              </w:rPr>
            </w:pPr>
            <w:r>
              <w:rPr>
                <w:rFonts w:ascii="Arial" w:cs="Arial" w:eastAsia="Arial" w:hAnsi="Arial"/>
                <w:sz w:val="18"/>
                <w:szCs w:val="18"/>
                <w:color w:val="auto"/>
              </w:rPr>
              <w:t>14.9</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2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2.0</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10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1.8</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9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640" w:type="dxa"/>
            <w:vAlign w:val="bottom"/>
          </w:tcPr>
          <w:p>
            <w:pPr>
              <w:spacing w:after="0"/>
              <w:rPr>
                <w:sz w:val="24"/>
                <w:szCs w:val="24"/>
                <w:color w:val="auto"/>
              </w:rPr>
            </w:pPr>
          </w:p>
        </w:tc>
        <w:tc>
          <w:tcPr>
            <w:tcW w:w="1080" w:type="dxa"/>
            <w:vAlign w:val="bottom"/>
            <w:gridSpan w:val="2"/>
          </w:tcPr>
          <w:p>
            <w:pPr>
              <w:jc w:val="right"/>
              <w:ind w:right="388"/>
              <w:spacing w:after="0"/>
              <w:rPr>
                <w:sz w:val="20"/>
                <w:szCs w:val="20"/>
                <w:color w:val="auto"/>
              </w:rPr>
            </w:pPr>
            <w:r>
              <w:rPr>
                <w:rFonts w:ascii="Arial" w:cs="Arial" w:eastAsia="Arial" w:hAnsi="Arial"/>
                <w:sz w:val="18"/>
                <w:szCs w:val="18"/>
                <w:color w:val="auto"/>
              </w:rPr>
              <w:t>11.9%</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12.2%</w:t>
            </w:r>
          </w:p>
        </w:tc>
        <w:tc>
          <w:tcPr>
            <w:tcW w:w="1020" w:type="dxa"/>
            <w:vAlign w:val="bottom"/>
            <w:gridSpan w:val="2"/>
          </w:tcPr>
          <w:p>
            <w:pPr>
              <w:jc w:val="right"/>
              <w:ind w:right="368"/>
              <w:spacing w:after="0"/>
              <w:rPr>
                <w:sz w:val="20"/>
                <w:szCs w:val="20"/>
                <w:color w:val="auto"/>
              </w:rPr>
            </w:pPr>
            <w:r>
              <w:rPr>
                <w:rFonts w:ascii="Arial" w:cs="Arial" w:eastAsia="Arial" w:hAnsi="Arial"/>
                <w:sz w:val="18"/>
                <w:szCs w:val="18"/>
                <w:color w:val="auto"/>
              </w:rPr>
              <w:t>13.1%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640" w:type="dxa"/>
            <w:vAlign w:val="bottom"/>
            <w:vMerge w:val="restart"/>
          </w:tcPr>
          <w:p>
            <w:pPr>
              <w:jc w:val="right"/>
              <w:ind w:right="1690"/>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June 30, 2015 and 2014</w:t>
      </w:r>
    </w:p>
    <w:p>
      <w:pPr>
        <w:spacing w:after="0" w:line="121"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nine months ended June 30, 2015 compared to the nine months ended June 30, 2014. Following the table is a discussion and analysis of our business and results of operations for such periods.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56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71"/>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2,716,762</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2,663,376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53,386</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1,746,383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1,725,291</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21,092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189,044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190,292</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(1,248)</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335,078</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(6,184)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46,193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43,174</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3,019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75"/>
        </w:trPr>
        <w:tc>
          <w:tcPr>
            <w:tcW w:w="7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2,310,514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2,293,835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16,679</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0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406,248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369,541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36,707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405,079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365,481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39,598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43,862</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6,184</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355,033</w:t>
            </w:r>
          </w:p>
        </w:tc>
        <w:tc>
          <w:tcPr>
            <w:tcW w:w="8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321,619</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33,414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$53.4 million, or 2.0%, to $2,716.8 million in the nine months ended June 30, 2015, from $2,663.4 million in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2014. The increase in revenue was primarily attributable to increased activity in the rest of the world partially offset by lower revenue from customers in Europe. The 2.0% increase in revenue was net of a decrease of approximately 3.0% from foreign exchange fluctuations largely attributable to revenue from customers in Europe.</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Effective October 1, 2014, we combined the presentation of license and service revenue, as well as the related costs, since license revenue comprises an insignificant portion of total revenue and is no longer meaningful as a business indicator.</w:t>
      </w:r>
    </w:p>
    <w:p>
      <w:pPr>
        <w:spacing w:after="0" w:line="17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Revenue attributable to the sale of customer experience solutions increased by $79.2 million, or 3.1%, to $2,643.2 million in the nine months ended June 30, 2015, from $2,564.0 million in the nine months ended June 30, 2014. This increase was primarily attributable to increased activity in the rest of the world partially offset by lower revenue from customers in Europe. Revenue resulting from the sale of customer experience solutions represented 97.3% and 96.3% of our revenue in the nine months ended June 30, 2015 and 2014, respectively.</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Revenue attributable to the sale of directory systems decreased by $25.8 million, or 26.0%, to $73.6 million in the nine months ended June 30, 2015, from $99.4 million in the nine months ended June 30, 2014. This decrease was primarily attributable to continued slowness in the directory systems market leading to lower revenue from managed services arrangements for directory systems customers. Revenue from the sale of directory systems represented 2.7% and 3.7% of our revenue in the nine months ended June 30, 2015 and 2014, respectively.</w:t>
      </w:r>
    </w:p>
    <w:p>
      <w:pPr>
        <w:spacing w:after="0" w:line="18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In the nine months ended June 30, 2015, revenue from customers in North America, Europe and the rest of the world accounted for 71.0%, 11.3% and 17.7%, respectively, of revenue, compared to 72.3%, 13.0% and 14.7%, respectively, in the nine months ended June 30, 2014. Revenue from customers in North America increased slightly in absolute amounts but decreased as a percentage of revenue during the nine months ended June 30, 2015 as compared to during the nine months ended June 30, 2014. The decrease in the percentage of revenue from customers in Europe was attributable primarily to the negative impact from foreign exchange fluctuations. Revenue from customers in the rest of the world increased as a percentage of revenue as a result of activity with new customers in strategic markets and continued progress on modernization projects.</w:t>
      </w:r>
    </w:p>
    <w:p>
      <w:pPr>
        <w:spacing w:after="0" w:line="178"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i w:val="1"/>
          <w:iCs w:val="1"/>
          <w:color w:val="auto"/>
        </w:rPr>
        <w:t>Cost of Revenue</w:t>
      </w:r>
      <w:r>
        <w:rPr>
          <w:rFonts w:ascii="Arial" w:cs="Arial" w:eastAsia="Arial" w:hAnsi="Arial"/>
          <w:sz w:val="17"/>
          <w:szCs w:val="17"/>
          <w:color w:val="auto"/>
        </w:rPr>
        <w:t>. Cost of revenue consists primarily of costs associated with providing services to customers, including compensation expense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of third-party products, as well as fee and royalty payments to software suppliers. Cost of revenue increased by $21.1 million, or 1.2%, to $1,746.4 million in the nine months ended June 30, 2015, from $1,725.3 million in the nine months ended June 30, 2014. As a percentage of revenue, cost of revenue decreased to 64.3% in the nine months ended June 30, 2015, from 64.8% in the nine months ended June 30, 2014. The improvement in the gross margin in the nine months ended June 30, 2015 was mainly attributable to a gain resulting from changes in fair value of certain acquisition-related liabilities recognized in the six months ended March 31, 2015, partially offset by our increased activity in Asia Pacific and Central and Latin America, where we continued our penetration efforts in order to expand our business into those markets.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$1.2 million, or 0.7%, to $189.0 million in the nine months ended June 30, 2015, from $190.3 million in the nine months ended June 30, 2014. Research and development expense decreased as a percentage of revenue from 7.1% in the nine months ended June 30, 2014, to 6.9% in the nine months ended June 30, 2015.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w:t>
      </w:r>
    </w:p>
    <w:p>
      <w:pPr>
        <w:spacing w:after="0" w:line="165"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which is primarily comprised of compensation expense,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$6.2 million, or 1.8%, to $328.9 million in the nine months ended June 30, 2015, from $335.1 million in the nine months ended June 30, 2014. The decrease in selling, general and administrative expense was primarily attributable to selling and marketing activities. Selling, general and administrative expense may fluctuate from time to time, depending upon such factors as changes in our workforce and sales efforts and the results of any operational efficiency programs that we may undertake.</w:t>
      </w:r>
    </w:p>
    <w:p>
      <w:pPr>
        <w:spacing w:after="0" w:line="188"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 the nine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increased by $3.0 million to $46.2 million from $43.2 million in the nine months ended June 30, 2014. The increase in amortization of purchased intangible assets and other was primarily attributable to an increase in acquisition related costs.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Operating Income</w:t>
      </w:r>
      <w:r>
        <w:rPr>
          <w:rFonts w:ascii="Arial" w:cs="Arial" w:eastAsia="Arial" w:hAnsi="Arial"/>
          <w:sz w:val="17"/>
          <w:szCs w:val="17"/>
          <w:color w:val="auto"/>
        </w:rPr>
        <w:t>. Operating income increased by $36.7 million, or 9.9%, in the nine months ended June 30, 2015, to $406.2 million, or 15.0%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from $369.5 million, or 13.9% of revenue, in the nine months ended June 30, 2014. The increase in operating income as a percentage of revenue was primarily attributable to revenue increasing at a higher rate than operating expenses. Positive foreign exchange impacts on our operating expenses were partially offset by the negative foreign exchange impacts on our revenue, resulting in a minor positive impact on our operating income.</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and Other Expense, Net. </w:t>
      </w:r>
      <w:r>
        <w:rPr>
          <w:rFonts w:ascii="Arial" w:cs="Arial" w:eastAsia="Arial" w:hAnsi="Arial"/>
          <w:sz w:val="18"/>
          <w:szCs w:val="18"/>
          <w:color w:val="auto"/>
        </w:rPr>
        <w:t>Interest and other expense, net, decreased by $2.9 million to $1.2 million in the nine months ended June 30,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$4.1 million in the nine months ended June 30, 2014. The decrease in interest and other expense, net, was primarily attributable to a financing gain resulting from changes in fair value of certain acquisition-related liabilities recognized in the three months ended December 31, 2014, which was partially offset by foreign exchange impacts.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nine months ended June 30, 2015 were $50.0 million on pre-tax income of $405.1 million, resulting in an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of 12.4%, compared to 12.0% in the nine months ended June 30, 2014. Our effective tax rate may fluctuate between periods as a result of discrete items that may affect a particular period. Please see Note 9 to our consolidated financial statements.</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$33.4 million, or 10.4%, to $355.0 million in the nine months ended June 30, 2015, from $321.6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June 30, 2014. The increase in net income was primarily attributable to the increase in operating income, which was partially offset by the increase in income taxes.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$0.27, or 13.6%, to $2.26 in the nine months ended June 30, 2015, from $1.99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June 30, 2014. The increase in diluted earnings per share was mainly attributable to the increase in net income and, to a lesser extent, the decrease in the diluted weighted average number of shares outstanding resulting from our repurchase of ordinary shares, partially offset by stock option exercises.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2015 and 2014</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three months ended June 30, 2015 compared to the three months ended June 30, 2014. Following the table is a discussion and analysis of our business and results of operations for such periods.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60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w w:val="93"/>
              </w:rPr>
              <w:t>Increase (Decrease)</w:t>
            </w:r>
          </w:p>
        </w:tc>
        <w:tc>
          <w:tcPr>
            <w:tcW w:w="0" w:type="dxa"/>
            <w:vAlign w:val="bottom"/>
          </w:tcPr>
          <w:p>
            <w:pPr>
              <w:spacing w:after="0"/>
              <w:rPr>
                <w:sz w:val="1"/>
                <w:szCs w:val="1"/>
                <w:color w:val="auto"/>
              </w:rPr>
            </w:pPr>
          </w:p>
        </w:tc>
      </w:tr>
      <w:tr>
        <w:trPr>
          <w:trHeight w:val="171"/>
        </w:trPr>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98"/>
              </w:rPr>
              <w:t>Amount</w:t>
            </w:r>
          </w:p>
        </w:tc>
        <w:tc>
          <w:tcPr>
            <w:tcW w:w="42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$907,897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$902,477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592,366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584,604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7,762</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62,598</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64,863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(2,265)</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108,128</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112,681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(4,553)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18,078</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15,326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2,752</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75"/>
        </w:trPr>
        <w:tc>
          <w:tcPr>
            <w:tcW w:w="7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781,170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3,696</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82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126,727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125,003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1,724</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296</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8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125,683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124,255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1,428</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17,901</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3,473</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82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107,782</w:t>
            </w:r>
          </w:p>
        </w:tc>
        <w:tc>
          <w:tcPr>
            <w:tcW w:w="1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109,827</w:t>
            </w:r>
          </w:p>
        </w:tc>
        <w:tc>
          <w:tcPr>
            <w:tcW w:w="1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(2,045)</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$5.4 million, or 0.6%, to $907.9 million in the three months ended June 30, 2015, from $902.5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2014. The increase in revenue was primarily attributable to increased activity in the rest of the world partially offset by a decrease in revenue from customers in North America and Europe. The 0.6% increase in revenue was net of a decrease of approximately 3.5% from foreign exchange fluctuations largely attributable to revenue from customers in Europe.</w:t>
      </w:r>
    </w:p>
    <w:p>
      <w:pPr>
        <w:spacing w:after="0" w:line="187"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Revenue attributable to the sale of customer experience solutions increased by $12.9 million, or 1.5%, to $883.7 million in the three months ended June 30, 2015, from $870.8 million in the three months ended June 30, 2014. This increase was primarily attributable to increased activity in the rest of the world partially offset by a decrease in revenue from customers in North America and Europe. Revenue resulting from the sale of customer experience solutions represented 97.3% and 96.5% of our revenue in the three months ended June 30, 2015 and 2014, respectively.</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Revenue attributable to the sale of directory systems decreased by $7.5 million, or 23.7%, to $24.2 million in the three months ended June 30, 2015, from $31.7 million in the three months ended June 30, 2014. This decrease was primarily attributable to continued slowness in the directory systems market leading to lower revenue from managed services arrangements for directory systems customers. Revenue from the sale of directory systems represented 2.7% and 3.5% of our revenue in the three months ended June 30, 2015 and 2014, respectively.</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the three months ended June 30, 2015, revenue from customers in North America, Europe and the rest of the world accounted for 68.6%, 11.3% and 20.1%, respectively, of revenue, compared to 71.7%, 12.7% and 15.6%, respectively, in the three months ended June 30, 2014. The decrease in the percentage of revenue from customers in North America was attributable primarily to lower revenue from AT&amp;T, mainly due to reduction in new discretionary programs, which we believe was primarily related to the protracted approval process for its merger with DirecTV. The decrease in the percentage of revenue from customers in Europe was attributable primarily to the negative impact from foreign exchange fluctuations. Revenue from customers in the rest of the world increased as a percentage of revenue as a result of activity with new customers in strategic markets and continued progress on modernization projects.</w:t>
      </w:r>
    </w:p>
    <w:p>
      <w:pPr>
        <w:spacing w:after="0" w:line="16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increased by $7.8 million, or 1.3%, to $592.4 million in the three months ended June 30, 2015, from $584.6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three months ended June 30, 2014. As a percentage of revenue, cost of revenue increased to 65.2% in the three months ended June 30, 2015, from</w:t>
      </w:r>
    </w:p>
    <w:p>
      <w:pPr>
        <w:ind w:right="140"/>
        <w:spacing w:after="0" w:line="255" w:lineRule="auto"/>
        <w:rPr>
          <w:sz w:val="20"/>
          <w:szCs w:val="20"/>
          <w:color w:val="auto"/>
        </w:rPr>
      </w:pPr>
      <w:r>
        <w:rPr>
          <w:rFonts w:ascii="Arial" w:cs="Arial" w:eastAsia="Arial" w:hAnsi="Arial"/>
          <w:sz w:val="18"/>
          <w:szCs w:val="18"/>
          <w:color w:val="auto"/>
        </w:rPr>
        <w:t>64.8% in the three months ended June 30, 2014. The reduction in the gross margin in the three months ended June 30, 2015 was primarily attributable to our increased activity in Asia Pacific and Central and Latin America, where we continued our penetration efforts in order to expand our business into those markets, partially offset by realization of efficiency gains.</w:t>
      </w:r>
    </w:p>
    <w:p>
      <w:pPr>
        <w:spacing w:after="0" w:line="19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color w:val="auto"/>
        </w:rPr>
        <w:t>. Research and development expense decreased by $2.3 million, or 3.5%, to $62.6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2015, from $64.9 million in the three months ended June 30, 2014. Research and development expense decreased as a percentage of revenue from 7.2% in the three months ended June 30, 2014, to 6.9% in the three months ended June 30, 2015.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decreased by $4.6 million, or 4.0%, to $108.1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2015, from $112.7 million in the three months ended June 30, 2014. The decrease in selling, general and administrative expense was primarily attributable to selling and marketing activities.</w:t>
      </w:r>
    </w:p>
    <w:p>
      <w:pPr>
        <w:spacing w:after="0" w:line="18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increased by $2.8 million to $18.1 million from $15.3 million in the three months ended June 30, 2014. The increase in amortization of purchased intangible assets and other was primarily attributable to an increase in acquisition related costs, partially offset by the timing of amortization charges of previously purchased intangible assets.</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Operating Income</w:t>
      </w:r>
      <w:r>
        <w:rPr>
          <w:rFonts w:ascii="Arial" w:cs="Arial" w:eastAsia="Arial" w:hAnsi="Arial"/>
          <w:sz w:val="17"/>
          <w:szCs w:val="17"/>
          <w:color w:val="auto"/>
        </w:rPr>
        <w:t>. Operating income increased by $1.7 million, or 1.4%, in the three months ended June 30, 2015, to $126.7 million, or 14.0%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from $125.0 million, or 13.9% of revenue, in the three months ended June 30, 2014. The increase in operating income as a percentage of revenue was attributable to the decrease in operating expenses while revenue increased. The negative foreign exchange impacts on our revenue were partially offset by positive foreign exchange impacts on our operating expenses, resulting in a minor negative impact on our operating income.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three months ended June 30, 2015 were $17.9 million on pre-tax income of $125.7 million, resulting in an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of 14.2%, compared to 11.6% in the three months ended June 30, 2014. The increase in the tax rate was primarily attributable to changes in our provision for unrecognized tax benefits. Please see Note 9 to our consolidated financial statements. Our effective tax rate may fluctuate between periods as a result of discrete items that may affect a particular period.</w:t>
      </w:r>
    </w:p>
    <w:p>
      <w:pPr>
        <w:spacing w:after="0" w:line="18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decreased by $2.0 million, or 1.9%, to $107.8 million in the three months ended June 30, 2015, from $109.8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2014. The decrease in net income was attributable to the increase in income taxes, partially offset by the increase in operating income.</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$0.01, or 1.5%, to $0.69 in the three months ended June 30, 2015, from $0.68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2014. The increase in diluted earnings per share was mainly attributable to the decrease in the diluted weighted average number of shares outstanding, which was partially offset by the decrease in net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i w:val="1"/>
          <w:iCs w:val="1"/>
          <w:color w:val="auto"/>
        </w:rPr>
        <w:t xml:space="preserve">Cash, Cash Equivalents and Short-Term Interest-Bearing Investments. </w:t>
      </w:r>
      <w:r>
        <w:rPr>
          <w:rFonts w:ascii="Arial" w:cs="Arial" w:eastAsia="Arial" w:hAnsi="Arial"/>
          <w:sz w:val="16"/>
          <w:szCs w:val="16"/>
          <w:color w:val="auto"/>
        </w:rPr>
        <w:t>Cash, cash equivalents and short-term interest-bearing investments, net of short-term debt, totaled $1.40 billion as of June 30, 2015, compared to $1.21 billion as of September 30, 2014. The increase was mainly attributable to $565.8 million in positive cash flow from operations and $63.0 million of proceeds from stock option exercises, partially offset by $272.2 million used to repurchase our ordinary shares, $91.5 million for capital expenditures, net, $74.7 million of cash dividend payments and $8.1 million in net cash paid for acquisitions. Net cash provided by operating activities amounted to $565.8 million and $516.4 million in the nine months ended June 30, 2015 and 2014, respectively.</w:t>
      </w:r>
    </w:p>
    <w:p>
      <w:pPr>
        <w:spacing w:after="0" w:line="158"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fiscal year.</w:t>
      </w:r>
    </w:p>
    <w:p>
      <w:pPr>
        <w:spacing w:after="0" w:line="18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a general long-term guideline, we expect to retain roughly half of our free cash flow (calculated as cash flow from operations less net capital expenditures and other) to support the growth of our business, including possible mergers and acquisitions, and return the other half to our shareholders through share repurchases and dividends. Our actual share repurchase activity and payment of future dividends, if any, may vary quarterly or annually and will be based on several factors including our financial performance, outlook and liquidity.</w:t>
      </w:r>
    </w:p>
    <w:p>
      <w:pPr>
        <w:spacing w:after="0" w:line="18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 money market funds, U.S. government treasuries, corporate bonds and U.S. agency securities. We believe we have conservative investment policy guidelines. Our interest-bearing investments are stated at fair value with the unrealized gains or losses reported as a separate component of accumulated other comprehensive income (loss), net of tax, unless a security is other than temporarily impaired,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nine months ended June 30, 2015 and 2014, we recognized immaterial credit losses. Please see Notes 4 and 5 to the consolidated financial statements.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i w:val="1"/>
          <w:iCs w:val="1"/>
          <w:color w:val="auto"/>
        </w:rPr>
        <w:t xml:space="preserve">Revolving Credit Facility, Letters of Credit, Guarantees and Contractual Obligations. </w:t>
      </w:r>
      <w:r>
        <w:rPr>
          <w:rFonts w:ascii="Arial" w:cs="Arial" w:eastAsia="Arial" w:hAnsi="Arial"/>
          <w:sz w:val="17"/>
          <w:szCs w:val="17"/>
          <w:color w:val="auto"/>
        </w:rPr>
        <w:t>In September 2014, we borrowed an aggregate of $210.0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unsecured $500 million revolving credit facility with a syndicate of banks and repaid it in October 2014. In December 2014, the credit facility was amended and restated to, among other things, extend the maturity date of the facility to December 2019. As of June 30, 2015, we were in compliance with the financial covenants under the revolving credit facility and had no outstanding borrowings under this facility.</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June 30, 2015, we had additional uncommitted lines of credit available for general corporate and other specific purposes and had outstanding letters of credit and bank guarantees from various banks totaling $81.8 million. These were supported by a combination of the uncommitted lines of credit and restricted cash balances that we maintain with various banks.</w:t>
      </w:r>
    </w:p>
    <w:p>
      <w:pPr>
        <w:spacing w:after="0" w:line="181"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We have contractual obligations for our non-cancelable operating leases, long-term debt, purchase obligations, pension funding and unrecognized tax benefits summarized in the disclosure of contractual obligations set forth in our Annual Report on Form 20-F for the fiscal year ended September 30, 2014, filed on December 8, 2014 with the SEC. Since September 30, 2014, there have been no material changes in our aggregate contractual obligations.</w:t>
      </w:r>
    </w:p>
    <w:p>
      <w:pPr>
        <w:spacing w:after="0" w:line="14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Generally, 80% to 90% of our capital expenditures consist of purchases of computer equipment, and the remainder is attributable</w:t>
      </w:r>
      <w:r>
        <w:rPr>
          <w:rFonts w:ascii="Arial" w:cs="Arial" w:eastAsia="Arial" w:hAnsi="Arial"/>
          <w:sz w:val="17"/>
          <w:szCs w:val="17"/>
          <w:i w:val="1"/>
          <w:iCs w:val="1"/>
          <w:color w:val="auto"/>
        </w:rPr>
        <w:t xml:space="preserve"> </w:t>
      </w:r>
      <w:r>
        <w:rPr>
          <w:rFonts w:ascii="Arial" w:cs="Arial" w:eastAsia="Arial" w:hAnsi="Arial"/>
          <w:sz w:val="17"/>
          <w:szCs w:val="17"/>
          <w:color w:val="auto"/>
        </w:rPr>
        <w:t>mainly to leasehold improvements. Our capital expenditures were approximately $91.5 million in the nine months ended June 30, 2015 and were mainly attributable to investments in our operating facilities and our development centers around the world. Our policy is to fund our capital expenditures from operating cash flows and we do not anticipate any changes to this policy in the foreseeable future.</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From time to time, our Board of Directors has adopted share repurchase plans authorizing the repurchase of our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Our current share repurchase plan, adopted in April 2014, authorizes the repurchase of up to $750.0 million of our outstanding ordinary shares with no expiration date. In the nine months ended June 30, 2015, we repurchased 5.4 million ordinary shares at an average price of $49.99 per share (excluding broker and transaction fees). As of June 30, 2015, we had remaining authority to repurchase up to $441.8 million of our outstanding ordinary shares. The authorization permits us to purchase our ordinary shares in open market or privately negotiated transactions at times and prices that we consider appropriate.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nine months ended June 30, 2015 and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Declaration Date</w:t>
            </w:r>
          </w:p>
        </w:tc>
        <w:tc>
          <w:tcPr>
            <w:tcW w:w="1880" w:type="dxa"/>
            <w:vAlign w:val="bottom"/>
            <w:gridSpan w:val="2"/>
          </w:tcPr>
          <w:p>
            <w:pPr>
              <w:ind w:left="720"/>
              <w:spacing w:after="0"/>
              <w:rPr>
                <w:sz w:val="20"/>
                <w:szCs w:val="20"/>
                <w:color w:val="auto"/>
              </w:rPr>
            </w:pPr>
            <w:r>
              <w:rPr>
                <w:rFonts w:ascii="Arial" w:cs="Arial" w:eastAsia="Arial" w:hAnsi="Arial"/>
                <w:sz w:val="14"/>
                <w:szCs w:val="14"/>
                <w:b w:val="1"/>
                <w:bCs w:val="1"/>
                <w:color w:val="auto"/>
              </w:rPr>
              <w:t>Dividends Per</w:t>
            </w:r>
          </w:p>
        </w:tc>
        <w:tc>
          <w:tcPr>
            <w:tcW w:w="250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Record Date</w:t>
            </w:r>
          </w:p>
        </w:tc>
        <w:tc>
          <w:tcPr>
            <w:tcW w:w="1720" w:type="dxa"/>
            <w:vAlign w:val="bottom"/>
            <w:gridSpan w:val="2"/>
          </w:tcPr>
          <w:p>
            <w:pPr>
              <w:ind w:left="620"/>
              <w:spacing w:after="0"/>
              <w:rPr>
                <w:sz w:val="20"/>
                <w:szCs w:val="20"/>
                <w:color w:val="auto"/>
              </w:rPr>
            </w:pPr>
            <w:r>
              <w:rPr>
                <w:rFonts w:ascii="Arial" w:cs="Arial" w:eastAsia="Arial" w:hAnsi="Arial"/>
                <w:sz w:val="14"/>
                <w:szCs w:val="14"/>
                <w:b w:val="1"/>
                <w:bCs w:val="1"/>
                <w:color w:val="auto"/>
              </w:rPr>
              <w:t>Total Amount</w:t>
            </w:r>
          </w:p>
        </w:tc>
        <w:tc>
          <w:tcPr>
            <w:tcW w:w="270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2620" w:type="dxa"/>
            <w:vAlign w:val="bottom"/>
            <w:tcBorders>
              <w:bottom w:val="single" w:sz="8" w:color="auto"/>
            </w:tcBorders>
            <w:vMerge w:val="continue"/>
          </w:tcPr>
          <w:p>
            <w:pPr>
              <w:spacing w:after="0"/>
              <w:rPr>
                <w:sz w:val="14"/>
                <w:szCs w:val="14"/>
                <w:color w:val="auto"/>
              </w:rPr>
            </w:pPr>
          </w:p>
        </w:tc>
        <w:tc>
          <w:tcPr>
            <w:tcW w:w="188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Ordinary Share</w:t>
            </w:r>
          </w:p>
        </w:tc>
        <w:tc>
          <w:tcPr>
            <w:tcW w:w="2500" w:type="dxa"/>
            <w:vAlign w:val="bottom"/>
            <w:tcBorders>
              <w:bottom w:val="single" w:sz="8" w:color="auto"/>
            </w:tcBorders>
            <w:vMerge w:val="continue"/>
          </w:tcPr>
          <w:p>
            <w:pPr>
              <w:spacing w:after="0"/>
              <w:rPr>
                <w:sz w:val="14"/>
                <w:szCs w:val="14"/>
                <w:color w:val="auto"/>
              </w:rPr>
            </w:pPr>
          </w:p>
        </w:tc>
        <w:tc>
          <w:tcPr>
            <w:tcW w:w="172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(In millions)</w:t>
            </w:r>
          </w:p>
        </w:tc>
        <w:tc>
          <w:tcPr>
            <w:tcW w:w="2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April 29, 2015</w:t>
            </w:r>
          </w:p>
        </w:tc>
        <w:tc>
          <w:tcPr>
            <w:tcW w:w="1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0.170</w:t>
            </w:r>
          </w:p>
        </w:tc>
        <w:tc>
          <w:tcPr>
            <w:tcW w:w="2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June 30, 2015</w:t>
            </w:r>
          </w:p>
        </w:tc>
        <w:tc>
          <w:tcPr>
            <w:tcW w:w="9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26.1</w:t>
            </w:r>
          </w:p>
        </w:tc>
        <w:tc>
          <w:tcPr>
            <w:tcW w:w="2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July 17, 2015</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January 27, 2015</w:t>
            </w:r>
          </w:p>
        </w:tc>
        <w:tc>
          <w:tcPr>
            <w:tcW w:w="1000" w:type="dxa"/>
            <w:vAlign w:val="bottom"/>
          </w:tcPr>
          <w:p>
            <w:pPr>
              <w:ind w:left="6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0.170</w:t>
            </w:r>
          </w:p>
        </w:tc>
        <w:tc>
          <w:tcPr>
            <w:tcW w:w="2500" w:type="dxa"/>
            <w:vAlign w:val="bottom"/>
          </w:tcPr>
          <w:p>
            <w:pPr>
              <w:ind w:left="240"/>
              <w:spacing w:after="0"/>
              <w:rPr>
                <w:sz w:val="20"/>
                <w:szCs w:val="20"/>
                <w:color w:val="auto"/>
              </w:rPr>
            </w:pPr>
            <w:r>
              <w:rPr>
                <w:rFonts w:ascii="Arial" w:cs="Arial" w:eastAsia="Arial" w:hAnsi="Arial"/>
                <w:sz w:val="18"/>
                <w:szCs w:val="18"/>
                <w:color w:val="auto"/>
              </w:rPr>
              <w:t>March 31, 2015</w:t>
            </w:r>
          </w:p>
        </w:tc>
        <w:tc>
          <w:tcPr>
            <w:tcW w:w="94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26.3</w:t>
            </w:r>
          </w:p>
        </w:tc>
        <w:tc>
          <w:tcPr>
            <w:tcW w:w="2700" w:type="dxa"/>
            <w:vAlign w:val="bottom"/>
          </w:tcPr>
          <w:p>
            <w:pPr>
              <w:ind w:left="240"/>
              <w:spacing w:after="0"/>
              <w:rPr>
                <w:sz w:val="20"/>
                <w:szCs w:val="20"/>
                <w:color w:val="auto"/>
              </w:rPr>
            </w:pPr>
            <w:r>
              <w:rPr>
                <w:rFonts w:ascii="Arial" w:cs="Arial" w:eastAsia="Arial" w:hAnsi="Arial"/>
                <w:sz w:val="18"/>
                <w:szCs w:val="18"/>
                <w:color w:val="auto"/>
              </w:rPr>
              <w:t>April 16, 2015</w:t>
            </w:r>
          </w:p>
        </w:tc>
        <w:tc>
          <w:tcPr>
            <w:tcW w:w="0" w:type="dxa"/>
            <w:vAlign w:val="bottom"/>
          </w:tcPr>
          <w:p>
            <w:pPr>
              <w:spacing w:after="0"/>
              <w:rPr>
                <w:sz w:val="1"/>
                <w:szCs w:val="1"/>
                <w:color w:val="auto"/>
              </w:rPr>
            </w:pPr>
          </w:p>
        </w:tc>
      </w:tr>
      <w:tr>
        <w:trPr>
          <w:trHeight w:val="216"/>
        </w:trPr>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4, 2014</w:t>
            </w:r>
          </w:p>
        </w:tc>
        <w:tc>
          <w:tcPr>
            <w:tcW w:w="10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0.155</w:t>
            </w:r>
          </w:p>
        </w:tc>
        <w:tc>
          <w:tcPr>
            <w:tcW w:w="2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December 31, 2014</w:t>
            </w:r>
          </w:p>
        </w:tc>
        <w:tc>
          <w:tcPr>
            <w:tcW w:w="9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24.1</w:t>
            </w:r>
          </w:p>
        </w:tc>
        <w:tc>
          <w:tcPr>
            <w:tcW w:w="27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January 16, 2015</w:t>
            </w:r>
          </w:p>
        </w:tc>
        <w:tc>
          <w:tcPr>
            <w:tcW w:w="0" w:type="dxa"/>
            <w:vAlign w:val="bottom"/>
          </w:tcPr>
          <w:p>
            <w:pPr>
              <w:spacing w:after="0"/>
              <w:rPr>
                <w:sz w:val="1"/>
                <w:szCs w:val="1"/>
                <w:color w:val="auto"/>
              </w:rPr>
            </w:pPr>
          </w:p>
        </w:tc>
      </w:tr>
      <w:tr>
        <w:trPr>
          <w:trHeight w:val="210"/>
        </w:trPr>
        <w:tc>
          <w:tcPr>
            <w:tcW w:w="2620" w:type="dxa"/>
            <w:vAlign w:val="bottom"/>
          </w:tcPr>
          <w:p>
            <w:pPr>
              <w:spacing w:after="0"/>
              <w:rPr>
                <w:sz w:val="20"/>
                <w:szCs w:val="20"/>
                <w:color w:val="auto"/>
              </w:rPr>
            </w:pPr>
            <w:r>
              <w:rPr>
                <w:rFonts w:ascii="Arial" w:cs="Arial" w:eastAsia="Arial" w:hAnsi="Arial"/>
                <w:sz w:val="18"/>
                <w:szCs w:val="18"/>
                <w:color w:val="auto"/>
              </w:rPr>
              <w:t>April 30, 2014</w:t>
            </w:r>
          </w:p>
        </w:tc>
        <w:tc>
          <w:tcPr>
            <w:tcW w:w="1000" w:type="dxa"/>
            <w:vAlign w:val="bottom"/>
          </w:tcPr>
          <w:p>
            <w:pPr>
              <w:ind w:left="6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0.155</w:t>
            </w:r>
          </w:p>
        </w:tc>
        <w:tc>
          <w:tcPr>
            <w:tcW w:w="2500" w:type="dxa"/>
            <w:vAlign w:val="bottom"/>
          </w:tcPr>
          <w:p>
            <w:pPr>
              <w:ind w:left="240"/>
              <w:spacing w:after="0"/>
              <w:rPr>
                <w:sz w:val="20"/>
                <w:szCs w:val="20"/>
                <w:color w:val="auto"/>
              </w:rPr>
            </w:pPr>
            <w:r>
              <w:rPr>
                <w:rFonts w:ascii="Arial" w:cs="Arial" w:eastAsia="Arial" w:hAnsi="Arial"/>
                <w:sz w:val="18"/>
                <w:szCs w:val="18"/>
                <w:color w:val="auto"/>
              </w:rPr>
              <w:t>June 30, 2014</w:t>
            </w:r>
          </w:p>
        </w:tc>
        <w:tc>
          <w:tcPr>
            <w:tcW w:w="940" w:type="dxa"/>
            <w:vAlign w:val="bottom"/>
          </w:tcPr>
          <w:p>
            <w:pPr>
              <w:ind w:lef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24.6</w:t>
            </w:r>
          </w:p>
        </w:tc>
        <w:tc>
          <w:tcPr>
            <w:tcW w:w="2700" w:type="dxa"/>
            <w:vAlign w:val="bottom"/>
          </w:tcPr>
          <w:p>
            <w:pPr>
              <w:ind w:left="240"/>
              <w:spacing w:after="0"/>
              <w:rPr>
                <w:sz w:val="20"/>
                <w:szCs w:val="20"/>
                <w:color w:val="auto"/>
              </w:rPr>
            </w:pPr>
            <w:r>
              <w:rPr>
                <w:rFonts w:ascii="Arial" w:cs="Arial" w:eastAsia="Arial" w:hAnsi="Arial"/>
                <w:sz w:val="18"/>
                <w:szCs w:val="18"/>
                <w:color w:val="auto"/>
              </w:rPr>
              <w:t>July 18, 2014</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January 29, 2014</w:t>
            </w:r>
          </w:p>
        </w:tc>
        <w:tc>
          <w:tcPr>
            <w:tcW w:w="1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0.155</w:t>
            </w:r>
          </w:p>
        </w:tc>
        <w:tc>
          <w:tcPr>
            <w:tcW w:w="2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March 31, 2014</w:t>
            </w:r>
          </w:p>
        </w:tc>
        <w:tc>
          <w:tcPr>
            <w:tcW w:w="9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24.8</w:t>
            </w:r>
          </w:p>
        </w:tc>
        <w:tc>
          <w:tcPr>
            <w:tcW w:w="2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April 17, 2014</w:t>
            </w:r>
          </w:p>
        </w:tc>
        <w:tc>
          <w:tcPr>
            <w:tcW w:w="0" w:type="dxa"/>
            <w:vAlign w:val="bottom"/>
          </w:tcPr>
          <w:p>
            <w:pPr>
              <w:spacing w:after="0"/>
              <w:rPr>
                <w:sz w:val="1"/>
                <w:szCs w:val="1"/>
                <w:color w:val="auto"/>
              </w:rPr>
            </w:pPr>
          </w:p>
        </w:tc>
      </w:tr>
      <w:tr>
        <w:trPr>
          <w:trHeight w:val="216"/>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5, 2013</w:t>
            </w:r>
          </w:p>
        </w:tc>
        <w:tc>
          <w:tcPr>
            <w:tcW w:w="10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0.130</w:t>
            </w:r>
          </w:p>
        </w:tc>
        <w:tc>
          <w:tcPr>
            <w:tcW w:w="2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December 31, 2013</w:t>
            </w: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20.8</w:t>
            </w:r>
          </w:p>
        </w:tc>
        <w:tc>
          <w:tcPr>
            <w:tcW w:w="27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January 17, 2014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On July 29, 2015, our Board of Directors approved the next quarterly dividend payment, at the rate of $0.17 per share, and set September 30, 2015 as the record date for determining the shareholders entitled to receive the dividend, which is payable on October 16, 2015.</w:t>
      </w:r>
    </w:p>
    <w:p>
      <w:pPr>
        <w:spacing w:after="0" w:line="14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15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color w:val="auto"/>
        </w:rPr>
        <w:t>Convertible Notes</w:t>
      </w:r>
      <w:r>
        <w:rPr>
          <w:rFonts w:ascii="Arial" w:cs="Arial" w:eastAsia="Arial" w:hAnsi="Arial"/>
          <w:sz w:val="17"/>
          <w:szCs w:val="17"/>
          <w:color w:val="auto"/>
        </w:rPr>
        <w:t>. Pursuant to the indenture governing our 0.50% Convertible Senior Notes due 2024, the notes became convertible, at the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option, beginning on July 1, 2015 and during the fiscal quarter ending September 30, 2015, into our ordinary shares because the closing sale price of our ordinary shares exceeded 130% of the $41.51 conversion price for the notes for 20 trading days in the 30-consecutive-trading-day period ending on the last trading day of the fiscal quarter ended June 30, 2015. As of July 31, 2015, we had not issued any ordinary shares upon conversions of the notes. As of July 31, 2015, approximately $0.6 million aggregate principal amount of the notes was outstanding.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During the nine months ended June 30, 2015 and 2014, approximately 70% to 80% of our revenue and approximately 50% to 60% of our operating expenses were in U.S. dollars or linked to the U.S. dollar. If more customers will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June 30, 2015 of equity securities that are registered by us pursuant to Section 12 of the Exchange Act: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(c)</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Total Number</w:t>
            </w:r>
          </w:p>
        </w:tc>
        <w:tc>
          <w:tcPr>
            <w:tcW w:w="300" w:type="dxa"/>
            <w:vAlign w:val="bottom"/>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(or Approximate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of 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rPr>
              <w:t>(b)</w:t>
            </w: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300" w:type="dxa"/>
            <w:vAlign w:val="bottom"/>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00" w:type="dxa"/>
            <w:vAlign w:val="bottom"/>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920" w:type="dxa"/>
            <w:vAlign w:val="bottom"/>
            <w:vMerge w:val="restart"/>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560" w:type="dxa"/>
            <w:vAlign w:val="bottom"/>
          </w:tcPr>
          <w:p>
            <w:pPr>
              <w:spacing w:after="0"/>
              <w:rPr>
                <w:sz w:val="12"/>
                <w:szCs w:val="12"/>
                <w:color w:val="auto"/>
              </w:rPr>
            </w:pPr>
          </w:p>
        </w:tc>
        <w:tc>
          <w:tcPr>
            <w:tcW w:w="14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vMerge w:val="continue"/>
          </w:tcPr>
          <w:p>
            <w:pPr>
              <w:spacing w:after="0"/>
              <w:rPr>
                <w:sz w:val="14"/>
                <w:szCs w:val="14"/>
                <w:color w:val="auto"/>
              </w:rPr>
            </w:pPr>
          </w:p>
        </w:tc>
        <w:tc>
          <w:tcPr>
            <w:tcW w:w="492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Purchased</w:t>
            </w:r>
          </w:p>
        </w:tc>
        <w:tc>
          <w:tcPr>
            <w:tcW w:w="5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Paid per Share</w:t>
            </w:r>
          </w:p>
        </w:tc>
        <w:tc>
          <w:tcPr>
            <w:tcW w:w="5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5"/>
              </w:rPr>
              <w:t>or Programs(1)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04/01/15-04/30/15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378,410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378,410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481,265,103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05/01/15-05/31/15</w:t>
            </w:r>
          </w:p>
        </w:tc>
        <w:tc>
          <w:tcPr>
            <w:tcW w:w="1120" w:type="dxa"/>
            <w:vAlign w:val="bottom"/>
          </w:tcPr>
          <w:p>
            <w:pPr>
              <w:jc w:val="right"/>
              <w:spacing w:after="0"/>
              <w:rPr>
                <w:sz w:val="20"/>
                <w:szCs w:val="20"/>
                <w:color w:val="auto"/>
              </w:rPr>
            </w:pPr>
            <w:r>
              <w:rPr>
                <w:rFonts w:ascii="Arial" w:cs="Arial" w:eastAsia="Arial" w:hAnsi="Arial"/>
                <w:sz w:val="18"/>
                <w:szCs w:val="18"/>
                <w:color w:val="auto"/>
              </w:rPr>
              <w:t>353,045</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54.48</w:t>
            </w:r>
          </w:p>
        </w:tc>
        <w:tc>
          <w:tcPr>
            <w:tcW w:w="5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353,045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462,029,864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06/01/15-06/30/15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361,390</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361,390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441,849,361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1,092,845</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54.90</w:t>
            </w:r>
          </w:p>
        </w:tc>
        <w:tc>
          <w:tcPr>
            <w:tcW w:w="560" w:type="dxa"/>
            <w:vAlign w:val="bottom"/>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1,092,845</w:t>
            </w:r>
          </w:p>
        </w:tc>
        <w:tc>
          <w:tcPr>
            <w:tcW w:w="28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441,849,361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6" w:lineRule="exact"/>
        <w:rPr>
          <w:sz w:val="20"/>
          <w:szCs w:val="20"/>
          <w:color w:val="auto"/>
        </w:rPr>
      </w:pPr>
    </w:p>
    <w:p>
      <w:pPr>
        <w:ind w:left="460" w:right="2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April 2014, our Board of Directors adopted a share repurchase plan authorizing the repurchase of up to $750.0 million of our outstanding ordinary shares, which has no expiration date. The authorization permits us to purchase our ordinary shares in open market or privately negotiated transactions at times and prices we consider appropriate.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June 30, 2015:</w:t>
      </w:r>
    </w:p>
    <w:p>
      <w:pPr>
        <w:spacing w:after="0" w:line="13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April 29,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May 11,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June 30, 2015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E. Smith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sectPr>
      <w:pgSz w:w="11900" w:h="16838" w:orient="portrait"/>
      <w:cols w:equalWidth="0" w:num="1">
        <w:col w:w="10740"/>
      </w:cols>
      <w:pgMar w:left="240" w:top="459"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5"/>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2019-12-07T04:51:16Z</dcterms:created>
  <dcterms:modified xsi:type="dcterms:W3CDTF">2019-12-07T04:51:16Z</dcterms:modified>
</cp:coreProperties>
</file>