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June 30, 2016</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00" w:type="dxa"/>
            <w:vAlign w:val="bottom"/>
            <w:gridSpan w:val="1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2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80" w:type="dxa"/>
            <w:vAlign w:val="bottom"/>
            <w:gridSpan w:val="3"/>
          </w:tcPr>
          <w:p>
            <w:pPr>
              <w:jc w:val="center"/>
              <w:ind w:right="2680"/>
              <w:spacing w:after="0"/>
              <w:rPr>
                <w:sz w:val="20"/>
                <w:szCs w:val="20"/>
                <w:color w:val="auto"/>
              </w:rPr>
            </w:pPr>
            <w:r>
              <w:rPr>
                <w:rFonts w:ascii="Arial" w:cs="Arial" w:eastAsia="Arial" w:hAnsi="Arial"/>
                <w:sz w:val="18"/>
                <w:szCs w:val="18"/>
                <w:color w:val="auto"/>
              </w:rPr>
              <w:t>AMDOCS LIMITED</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
          </w:tcPr>
          <w:p>
            <w:pPr>
              <w:jc w:val="center"/>
              <w:ind w:right="2900"/>
              <w:spacing w:after="0"/>
              <w:rPr>
                <w:sz w:val="20"/>
                <w:szCs w:val="20"/>
                <w:color w:val="auto"/>
              </w:rPr>
            </w:pPr>
            <w:r>
              <w:rPr>
                <w:rFonts w:ascii="Arial" w:cs="Arial" w:eastAsia="Arial" w:hAnsi="Arial"/>
                <w:sz w:val="18"/>
                <w:szCs w:val="18"/>
                <w:color w:val="auto"/>
                <w:w w:val="97"/>
              </w:rPr>
              <w:t>FORM 6-K</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5"/>
          </w:tcPr>
          <w:p>
            <w:pPr>
              <w:jc w:val="center"/>
              <w:ind w:right="1820"/>
              <w:spacing w:after="0"/>
              <w:rPr>
                <w:sz w:val="20"/>
                <w:szCs w:val="20"/>
                <w:color w:val="auto"/>
              </w:rPr>
            </w:pPr>
            <w:r>
              <w:rPr>
                <w:rFonts w:ascii="Arial" w:cs="Arial" w:eastAsia="Arial" w:hAnsi="Arial"/>
                <w:sz w:val="18"/>
                <w:szCs w:val="18"/>
                <w:color w:val="auto"/>
                <w:w w:val="92"/>
              </w:rPr>
              <w:t>REPORT OF FOREIGN PRIVATE ISSUER</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5"/>
          </w:tcPr>
          <w:p>
            <w:pPr>
              <w:jc w:val="center"/>
              <w:ind w:right="1820"/>
              <w:spacing w:after="0"/>
              <w:rPr>
                <w:sz w:val="20"/>
                <w:szCs w:val="20"/>
                <w:color w:val="auto"/>
              </w:rPr>
            </w:pPr>
            <w:r>
              <w:rPr>
                <w:rFonts w:ascii="Arial" w:cs="Arial" w:eastAsia="Arial" w:hAnsi="Arial"/>
                <w:sz w:val="18"/>
                <w:szCs w:val="18"/>
                <w:color w:val="auto"/>
                <w:w w:val="93"/>
              </w:rPr>
              <w:t>FOR THE QUARTER ENDED JUNE 30, 2016</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
          </w:tcPr>
          <w:p>
            <w:pPr>
              <w:jc w:val="center"/>
              <w:ind w:right="2900"/>
              <w:spacing w:after="0"/>
              <w:rPr>
                <w:sz w:val="20"/>
                <w:szCs w:val="20"/>
                <w:color w:val="auto"/>
              </w:rPr>
            </w:pPr>
            <w:r>
              <w:rPr>
                <w:rFonts w:ascii="Arial" w:cs="Arial" w:eastAsia="Arial" w:hAnsi="Arial"/>
                <w:sz w:val="18"/>
                <w:szCs w:val="18"/>
                <w:color w:val="auto"/>
              </w:rPr>
              <w:t>INDEX</w:t>
            </w:r>
          </w:p>
        </w:tc>
        <w:tc>
          <w:tcPr>
            <w:tcW w:w="2020" w:type="dxa"/>
            <w:vAlign w:val="bottom"/>
          </w:tcPr>
          <w:p>
            <w:pPr>
              <w:spacing w:after="0"/>
              <w:rPr>
                <w:sz w:val="24"/>
                <w:szCs w:val="24"/>
                <w:color w:val="auto"/>
              </w:rPr>
            </w:pPr>
          </w:p>
        </w:tc>
      </w:tr>
      <w:tr>
        <w:trPr>
          <w:trHeight w:val="419"/>
        </w:trPr>
        <w:tc>
          <w:tcPr>
            <w:tcW w:w="93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460" w:type="dxa"/>
            <w:vAlign w:val="bottom"/>
            <w:gridSpan w:val="8"/>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8940" w:type="dxa"/>
            <w:vAlign w:val="bottom"/>
            <w:gridSpan w:val="14"/>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202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80" w:type="dxa"/>
            <w:vAlign w:val="bottom"/>
            <w:tcBorders>
              <w:bottom w:val="single" w:sz="8" w:color="0000EE"/>
            </w:tcBorders>
            <w:gridSpan w:val="6"/>
          </w:tcPr>
          <w:p>
            <w:pPr>
              <w:spacing w:after="0" w:line="19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6120" w:type="dxa"/>
            <w:vAlign w:val="bottom"/>
            <w:gridSpan w:val="7"/>
          </w:tcPr>
          <w:p>
            <w:pPr>
              <w:spacing w:after="0"/>
              <w:rPr>
                <w:sz w:val="16"/>
                <w:szCs w:val="16"/>
                <w:color w:val="auto"/>
              </w:rPr>
            </w:pPr>
          </w:p>
        </w:tc>
        <w:tc>
          <w:tcPr>
            <w:tcW w:w="20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64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2"/>
          </w:tcPr>
          <w:p>
            <w:pPr>
              <w:spacing w:after="0"/>
              <w:rPr>
                <w:sz w:val="17"/>
                <w:szCs w:val="17"/>
                <w:color w:val="auto"/>
              </w:rPr>
            </w:pPr>
          </w:p>
        </w:tc>
        <w:tc>
          <w:tcPr>
            <w:tcW w:w="4480" w:type="dxa"/>
            <w:vAlign w:val="bottom"/>
            <w:gridSpan w:val="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260" w:type="dxa"/>
            <w:vAlign w:val="bottom"/>
            <w:gridSpan w:val="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2. Operating and Financial Review and Prospects</w:t>
              </w:r>
            </w:hyperlink>
          </w:p>
        </w:tc>
        <w:tc>
          <w:tcPr>
            <w:tcW w:w="500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OTHER INFORMATION</w:t>
              </w:r>
            </w:hyperlink>
          </w:p>
        </w:tc>
        <w:tc>
          <w:tcPr>
            <w:tcW w:w="6760" w:type="dxa"/>
            <w:vAlign w:val="bottom"/>
            <w:gridSpan w:val="9"/>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8940" w:type="dxa"/>
            <w:vAlign w:val="bottom"/>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1. Changes in Securities, Use of Proceeds and Issuer Purchases of Equity Securities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6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 Reports on Form 6-K</w:t>
              </w:r>
            </w:hyperlink>
          </w:p>
        </w:tc>
        <w:tc>
          <w:tcPr>
            <w:tcW w:w="250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30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June 30,</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91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801,187</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1,035,573</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323,751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318,439</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738,063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714,784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150,733</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158,633</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2,051,838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2,378,162</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309,320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122,112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80,130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2,055,074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2,049,093</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196,117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252,517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263,819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255,430</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4,997,759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5,324,652</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111,974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576,054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608,827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224,232</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220,000</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198,470</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1,092,123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1,363,503</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305,985</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248,322</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1,563,976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1,917,810</w:t>
            </w:r>
          </w:p>
        </w:tc>
      </w:tr>
      <w:tr>
        <w:trPr>
          <w:trHeight w:val="223"/>
        </w:trPr>
        <w:tc>
          <w:tcPr>
            <w:tcW w:w="91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120" w:type="dxa"/>
            <w:vAlign w:val="bottom"/>
          </w:tcPr>
          <w:p>
            <w:pPr>
              <w:ind w:left="360"/>
              <w:spacing w:after="0" w:line="201" w:lineRule="exact"/>
              <w:rPr>
                <w:sz w:val="20"/>
                <w:szCs w:val="20"/>
                <w:color w:val="auto"/>
              </w:rPr>
            </w:pPr>
            <w:r>
              <w:rPr>
                <w:rFonts w:ascii="Arial" w:cs="Arial" w:eastAsia="Arial" w:hAnsi="Arial"/>
                <w:sz w:val="18"/>
                <w:szCs w:val="18"/>
                <w:color w:val="auto"/>
                <w:w w:val="98"/>
              </w:rPr>
              <w:t>Ordinary Shares — Authorized 700,000 shares; £0.01 par value; 270,190 and 267,777 issued and 147,852 and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120" w:type="dxa"/>
            <w:vAlign w:val="bottom"/>
          </w:tcPr>
          <w:p>
            <w:pPr>
              <w:ind w:left="540"/>
              <w:spacing w:after="0"/>
              <w:rPr>
                <w:sz w:val="20"/>
                <w:szCs w:val="20"/>
                <w:color w:val="auto"/>
              </w:rPr>
            </w:pPr>
            <w:r>
              <w:rPr>
                <w:rFonts w:ascii="Arial" w:cs="Arial" w:eastAsia="Arial" w:hAnsi="Arial"/>
                <w:sz w:val="18"/>
                <w:szCs w:val="18"/>
                <w:color w:val="auto"/>
              </w:rPr>
              <w:t>151,150 outstanding, respectively</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4,331</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3,291,096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3,182,573</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Treasury stock, at cost 122,338 and 116,627 ordinary shares, respectively</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(3,934,856)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(3,611,105)</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(16,753)</w:t>
            </w: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4,077,811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3,847,796</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3,433,783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3,406,842</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4,997,759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5,324,652</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930,133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907,897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2,777,573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2,716,762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601,249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592,366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1,796,933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1,746,383</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65,051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62,598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191,249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189,044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113,831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108,128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347,853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328,894</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76,894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46,193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805,171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781,170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2,412,929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2,310,514</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124,962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126,727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126,075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125,683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50,046</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105,060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107,782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0.495</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105,060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$107,782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$313,622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$355,033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(13,928)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25,863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818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(13,409)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25,662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12,119</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91,651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133,444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325,741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368,067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6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(expense) of $3,774 and $(5,731) for the three months ended June 30, 2016 and 2015, respectively, and of $(2,946) and $(2,443) for the nine months ended June 30, 2016 and 2015, respectively.</w:t>
      </w:r>
    </w:p>
    <w:p>
      <w:pPr>
        <w:spacing w:after="0" w:line="1"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$(6) and $(1) for the three months ended June 30, 2016 and 2015, respectively, and of $(2) and $5 for the nine months ended June 30, 2016 and 2015,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Nine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313,622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159,792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(14,254)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(68,749)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14,397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(101,372)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264,357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(269,143)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(24,993)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(151,260)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(323,751)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67,890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(550,652)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(489,890)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(234,386)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1,035,573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801,187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1,076,591</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40,723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Amdocs Limited (the “Company”) is a leading provider of software and services for communications, entertainment and media industry service providers. The Company and its subsidiaries operate in one segment, providing integrated products and services. The Company designs, develops, markets, supports, implements and operates customer experience solutions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5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2015, set forth in the Company’s Annual Report on Form 20-F filed on December 10, 2015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 The Company’s prior year consolidated balance sheet as of September 30, 2015 reflects the reclassification of taxes receivable to prepaid expenses and other current assets, as well as current taxes payable to accrued expenses and other current liabilities to conform with the current period presentation.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In June 2016, the Financial Accounting Standards Board, or FASB, issued an Accounting Standard Update, or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the Company beginning in the first quarter of fiscal year 2021 and earlier adoption by one year is permitted. The Company is currently evaluating the impact of adoption of this ASU on its consolidated financial statements.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the Company on October 1, 2017, and early adoption is permitted. The Company is currently evaluating the effect that adoption of this ASU will have on its consolidated financial statements.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the Company beginning in the first quarter of fiscal year 2020, must be adopted using a modified retrospective method and its early adoption is permitted. The Company is currently evaluating the impact of adoption of this ASU on its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substantive content of its consolidated financial statements.</w:t>
      </w:r>
    </w:p>
    <w:p>
      <w:pPr>
        <w:spacing w:after="0" w:line="171"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the Company with respect to measurement-period adjustments that occur after October 1, 2017.</w:t>
      </w:r>
    </w:p>
    <w:p>
      <w:pPr>
        <w:spacing w:after="0" w:line="171"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and supersedes most current revenue recognition guidance. In August 2015, the FASB deferred the effective date of this ASU by one year, to fiscal years beginning after December 15, 2017; however, early adoption for fiscal years beginning after December 15, 2016, will be permitted. In March 2016, the FASB issued ASU 2016-08 that clarifies the implementation guidance for principal versus agent considerations in the new revenue standard. In April 2016, the FASB issued ASU 2016-10 that amends the guidance in the new revenue standard related to identifying performance obligations and accounting for licenses of intellectual property. In May 2016, the FASB issued ASU</w:t>
      </w:r>
    </w:p>
    <w:p>
      <w:pPr>
        <w:spacing w:after="0" w:line="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2016-12, which amends guidance in the new revenue standard on collectibility, noncash consideration, presentation of sales tax and transition. ASU 2016-08, ASU 2016-10 and ASU 2016-12 must be adopted together with the new revenue standard. The Company is evaluating the methods and timing of its adoption, as well as the effect that adoption of the new revenue standard will have on its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In November 2015, the FASB issued an ASU that requires entities to present deferred tax assets and liabilities as noncurrent on the balance sheet instead of separating deferred taxes into current and noncurrent amounts. The ASU, which may be applied either prospectively or retrospectively, will be effective for public business entities in fiscal years beginning after December 15, 2016, including interim periods within those years, and early adoption is permitted. The Company prospectively adopted this ASU effective October 1, 2015 and, as such, the Company’s consolidated balance sheet as of September 30, 2015 does not reflect the reclassification of current deferred tax assets and liabilities as noncurrent amounts.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jc w:val="center"/>
        <w:ind w:left="620" w:right="540"/>
        <w:spacing w:after="0" w:line="449" w:lineRule="auto"/>
        <w:rPr>
          <w:sz w:val="20"/>
          <w:szCs w:val="20"/>
          <w:color w:val="auto"/>
        </w:rPr>
      </w:pPr>
      <w:r>
        <w:rPr>
          <w:rFonts w:ascii="Arial" w:cs="Arial" w:eastAsia="Arial" w:hAnsi="Arial"/>
          <w:sz w:val="18"/>
          <w:szCs w:val="18"/>
          <w:color w:val="auto"/>
        </w:rPr>
        <w:t>Level 3: Unobservable inputs that are supported by little or no market activity that is significant to the fair value of the assets or liabilities. 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June 30, 2016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June 30, 2016</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7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80"/>
              <w:spacing w:after="0" w:line="142" w:lineRule="exact"/>
              <w:rPr>
                <w:sz w:val="20"/>
                <w:szCs w:val="20"/>
                <w:color w:val="auto"/>
              </w:rPr>
            </w:pPr>
            <w:r>
              <w:rPr>
                <w:rFonts w:ascii="Arial" w:cs="Arial" w:eastAsia="Arial" w:hAnsi="Arial"/>
                <w:sz w:val="14"/>
                <w:szCs w:val="14"/>
                <w:b w:val="1"/>
                <w:bCs w:val="1"/>
                <w:color w:val="auto"/>
                <w:w w:val="92"/>
              </w:rPr>
              <w:t>Level 2</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$425,748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$425,748</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112,580</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110,741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110,741</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45,150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45,150</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27,790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27,790</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26,394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26,394</w:t>
            </w: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Supranational and sovereign debt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538,328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217,574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755,902</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0"/>
                <w:szCs w:val="20"/>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538,328</w:t>
            </w:r>
          </w:p>
        </w:tc>
        <w:tc>
          <w:tcPr>
            <w:tcW w:w="16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215,366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753,694</w:t>
            </w:r>
          </w:p>
        </w:tc>
      </w:tr>
      <w:tr>
        <w:trPr>
          <w:trHeight w:val="20"/>
        </w:trPr>
        <w:tc>
          <w:tcPr>
            <w:tcW w:w="6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4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September 30, 2015</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480" w:type="dxa"/>
            <w:vAlign w:val="bottom"/>
          </w:tcPr>
          <w:p>
            <w:pPr>
              <w:spacing w:after="0"/>
              <w:rPr>
                <w:sz w:val="12"/>
                <w:szCs w:val="12"/>
                <w:color w:val="auto"/>
              </w:rPr>
            </w:pPr>
          </w:p>
        </w:tc>
        <w:tc>
          <w:tcPr>
            <w:tcW w:w="7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80"/>
              <w:spacing w:after="0" w:line="142" w:lineRule="exact"/>
              <w:rPr>
                <w:sz w:val="20"/>
                <w:szCs w:val="20"/>
                <w:color w:val="auto"/>
              </w:rPr>
            </w:pPr>
            <w:r>
              <w:rPr>
                <w:rFonts w:ascii="Arial" w:cs="Arial" w:eastAsia="Arial" w:hAnsi="Arial"/>
                <w:sz w:val="14"/>
                <w:szCs w:val="14"/>
                <w:b w:val="1"/>
                <w:bCs w:val="1"/>
                <w:color w:val="auto"/>
                <w:w w:val="92"/>
              </w:rPr>
              <w:t>Level 2</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$470,286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$470,286</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117,452</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101,603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101,603</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45,181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45,181</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29,215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29,215</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25,487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27,502</w:t>
            </w: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Supranational and sovereign debt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589,753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211,929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801,682</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(13,097)</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(13,097)</w:t>
            </w:r>
          </w:p>
        </w:tc>
        <w:tc>
          <w:tcPr>
            <w:tcW w:w="100" w:type="dxa"/>
            <w:vAlign w:val="bottom"/>
          </w:tcPr>
          <w:p>
            <w:pPr>
              <w:spacing w:after="0"/>
              <w:rPr>
                <w:sz w:val="20"/>
                <w:szCs w:val="20"/>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589,753</w:t>
            </w:r>
          </w:p>
        </w:tc>
        <w:tc>
          <w:tcPr>
            <w:tcW w:w="16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198,832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788,585</w:t>
            </w:r>
          </w:p>
        </w:tc>
      </w:tr>
      <w:tr>
        <w:trPr>
          <w:trHeight w:val="20"/>
        </w:trPr>
        <w:tc>
          <w:tcPr>
            <w:tcW w:w="6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nine months ended June 30,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June 30, 2016</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108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56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5"/>
              </w:rPr>
              <w:t>Gross</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5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560" w:type="dxa"/>
            <w:vAlign w:val="bottom"/>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$425,748</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$425,748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3700" w:type="dxa"/>
            <w:vAlign w:val="bottom"/>
            <w:gridSpan w:val="3"/>
          </w:tcPr>
          <w:p>
            <w:pPr>
              <w:jc w:val="right"/>
              <w:ind w:right="540"/>
              <w:spacing w:after="0"/>
              <w:rPr>
                <w:sz w:val="20"/>
                <w:szCs w:val="20"/>
                <w:color w:val="auto"/>
              </w:rPr>
            </w:pPr>
            <w:r>
              <w:rPr>
                <w:rFonts w:ascii="Arial" w:cs="Arial" w:eastAsia="Arial" w:hAnsi="Arial"/>
                <w:sz w:val="18"/>
                <w:szCs w:val="18"/>
                <w:color w:val="auto"/>
              </w:rPr>
              <w:t>112,178</w:t>
            </w: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112,580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3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110,218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37</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110,741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U.S. agency securities</w:t>
            </w:r>
          </w:p>
        </w:tc>
        <w:tc>
          <w:tcPr>
            <w:tcW w:w="3700" w:type="dxa"/>
            <w:vAlign w:val="bottom"/>
            <w:gridSpan w:val="3"/>
          </w:tcPr>
          <w:p>
            <w:pPr>
              <w:jc w:val="right"/>
              <w:ind w:right="540"/>
              <w:spacing w:after="0"/>
              <w:rPr>
                <w:sz w:val="20"/>
                <w:szCs w:val="20"/>
                <w:color w:val="auto"/>
              </w:rPr>
            </w:pPr>
            <w:r>
              <w:rPr>
                <w:rFonts w:ascii="Arial" w:cs="Arial" w:eastAsia="Arial" w:hAnsi="Arial"/>
                <w:sz w:val="18"/>
                <w:szCs w:val="18"/>
                <w:color w:val="auto"/>
              </w:rPr>
              <w:t>45,015</w:t>
            </w: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45,150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3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27,736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27,790</w:t>
            </w:r>
          </w:p>
        </w:tc>
        <w:tc>
          <w:tcPr>
            <w:tcW w:w="0" w:type="dxa"/>
            <w:vAlign w:val="bottom"/>
          </w:tcPr>
          <w:p>
            <w:pPr>
              <w:spacing w:after="0"/>
              <w:rPr>
                <w:sz w:val="1"/>
                <w:szCs w:val="1"/>
                <w:color w:val="auto"/>
              </w:rPr>
            </w:pPr>
          </w:p>
        </w:tc>
      </w:tr>
      <w:tr>
        <w:trPr>
          <w:trHeight w:val="365"/>
        </w:trPr>
        <w:tc>
          <w:tcPr>
            <w:tcW w:w="3580" w:type="dxa"/>
            <w:vAlign w:val="bottom"/>
          </w:tcPr>
          <w:p>
            <w:pPr>
              <w:spacing w:after="0"/>
              <w:rPr>
                <w:sz w:val="24"/>
                <w:szCs w:val="24"/>
                <w:color w:val="auto"/>
              </w:rPr>
            </w:pPr>
          </w:p>
        </w:tc>
        <w:tc>
          <w:tcPr>
            <w:tcW w:w="2480" w:type="dxa"/>
            <w:vAlign w:val="bottom"/>
          </w:tcPr>
          <w:p>
            <w:pPr>
              <w:jc w:val="right"/>
              <w:ind w:right="670"/>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278"/>
              <w:spacing w:after="0"/>
              <w:rPr>
                <w:sz w:val="20"/>
                <w:szCs w:val="20"/>
                <w:color w:val="auto"/>
              </w:rPr>
            </w:pPr>
            <w:r>
              <w:rPr>
                <w:rFonts w:ascii="Arial" w:cs="Arial" w:eastAsia="Arial" w:hAnsi="Arial"/>
                <w:sz w:val="14"/>
                <w:szCs w:val="14"/>
                <w:b w:val="1"/>
                <w:bCs w:val="1"/>
                <w:color w:val="auto"/>
              </w:rPr>
              <w:t>As of June 30, 2016</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5"/>
              </w:rPr>
              <w:t>Gross</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5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8"/>
              <w:spacing w:after="0"/>
              <w:rPr>
                <w:sz w:val="20"/>
                <w:szCs w:val="20"/>
                <w:color w:val="auto"/>
              </w:rPr>
            </w:pPr>
            <w:r>
              <w:rPr>
                <w:rFonts w:ascii="Arial" w:cs="Arial" w:eastAsia="Arial" w:hAnsi="Arial"/>
                <w:sz w:val="14"/>
                <w:szCs w:val="14"/>
                <w:b w:val="1"/>
                <w:bCs w:val="1"/>
                <w:color w:val="auto"/>
                <w:w w:val="82"/>
              </w:rPr>
              <w:t>Losses</w:t>
            </w: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26,394</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7,470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754,759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1,180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755,902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June 30, 2016, $323,751 of securities were classified as short-term interest-bearing investments and $432,151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108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$470,286</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$470,286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117,235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117,452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101,613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101,603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45,105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45,181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29,195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27,502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27,502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23"/>
        </w:trPr>
        <w:tc>
          <w:tcPr>
            <w:tcW w:w="652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801,359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801,682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2015, $318,439 of securities were classified as short-term interest-bearing investments and $483,243 of securities were classified as cash and cash equivalents.</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As of June 30, 2016,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the nine months ended June 30, 2016 and 2015. Realized gains and losses on available-for-sale securities are included in earnings and are derived using the first-in-first-out (FIFO) method for determining the cost of securities.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the Company’s available-for-sale securities had the following maturity dates: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103,429</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85,076</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5,665</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755,902</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$2,586 as of June 30, 2016.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June 30, 2016. Notional values are in U.S. dollars and are translated and calculated based on forward rates as of June 30, 2016 for forward contracts, and based on spot rates as of June 30, 2016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1,323,007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52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as an asset or a liability by the Company on its consolidated balance sheets as of June 30, 2016 and September 30, 2015,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4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1300" w:type="dxa"/>
            <w:vAlign w:val="bottom"/>
            <w:gridSpan w:val="3"/>
          </w:tcPr>
          <w:p>
            <w:pPr>
              <w:ind w:left="4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98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$ 3,152</w:t>
            </w:r>
          </w:p>
        </w:tc>
        <w:tc>
          <w:tcPr>
            <w:tcW w:w="16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140" w:type="dxa"/>
            <w:vAlign w:val="bottom"/>
            <w:gridSpan w:val="3"/>
          </w:tcPr>
          <w:p>
            <w:pPr>
              <w:jc w:val="right"/>
              <w:ind w:right="120"/>
              <w:spacing w:after="0"/>
              <w:rPr>
                <w:sz w:val="20"/>
                <w:szCs w:val="20"/>
                <w:color w:val="auto"/>
              </w:rPr>
            </w:pPr>
            <w:r>
              <w:rPr>
                <w:rFonts w:ascii="Arial" w:cs="Arial" w:eastAsia="Arial" w:hAnsi="Arial"/>
                <w:sz w:val="18"/>
                <w:szCs w:val="18"/>
                <w:color w:val="auto"/>
              </w:rPr>
              <w:t>(3,791)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(14,640)</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(3,990)</w:t>
            </w: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(1,016)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(14,466)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4,742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(5,934)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(3,139)</w:t>
            </w: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(1,192)</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(2,208)</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(13,097)</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two years. A significant portion of the forward and option contracts outstanding as of June 30, 2016 is scheduled to mature within the next 12 months.</w:t>
      </w:r>
    </w:p>
    <w:p>
      <w:pPr>
        <w:spacing w:after="0" w:line="1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income (expense), net.</w:t>
      </w:r>
    </w:p>
    <w:p>
      <w:pPr>
        <w:spacing w:after="0" w:line="158"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and nine months ended June 30, 2016 and 2015, respectively, which partially offsets the foreign currency impact from the underlying exposures, is summarized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5"/>
              </w:rPr>
              <w:t>(Losses) Gains Reclassified from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0" w:type="dxa"/>
            <w:vAlign w:val="bottom"/>
            <w:gridSpan w:val="14"/>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Other Comprehensive (Loss) Income (Effective Portion)</w:t>
            </w:r>
          </w:p>
        </w:tc>
      </w:tr>
      <w:tr>
        <w:trPr>
          <w:trHeight w:val="171"/>
        </w:trPr>
        <w:tc>
          <w:tcPr>
            <w:tcW w:w="6140" w:type="dxa"/>
            <w:vAlign w:val="bottom"/>
          </w:tcPr>
          <w:p>
            <w:pPr>
              <w:spacing w:after="0"/>
              <w:rPr>
                <w:sz w:val="14"/>
                <w:szCs w:val="14"/>
                <w:color w:val="auto"/>
              </w:rPr>
            </w:pPr>
          </w:p>
        </w:tc>
        <w:tc>
          <w:tcPr>
            <w:tcW w:w="234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4"/>
              </w:rPr>
              <w:t>Three months ended June 30,</w:t>
            </w:r>
          </w:p>
        </w:tc>
        <w:tc>
          <w:tcPr>
            <w:tcW w:w="20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142"/>
        </w:trPr>
        <w:tc>
          <w:tcPr>
            <w:tcW w:w="6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(468)</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(11,380)</w:t>
            </w: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(2,943)</w:t>
            </w: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(3,294)</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(5,814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activity related to the changes in net unrealized losses on cash flow hedges recorded in accumulated other comprehensive loss, net of tax, is as follows:</w:t>
      </w:r>
    </w:p>
    <w:p>
      <w:pPr>
        <w:spacing w:after="0" w:line="189"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Nine months ended</w:t>
      </w:r>
    </w:p>
    <w:p>
      <w:pPr>
        <w:jc w:val="center"/>
        <w:ind w:left="86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8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on cash flow hedges, net of tax,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(12,152)</w:t>
            </w:r>
          </w:p>
        </w:tc>
        <w:tc>
          <w:tcPr>
            <w:tcW w:w="4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(5,522)</w:t>
            </w: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(1,276)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into earnings,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4,947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14,075</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Net gains (losses) from cash flow hedges recognized in other comprehensive (loss) income were $8,433 and $(1,557), or $6,354 and $(1,276) net of taxes, during the nine months ended June 30, 2016 and 2015, respectively.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Of the net losses related to derivatives designated as cash flow hedges and recorded in accumulated other comprehensive loss as of June 30, 2016, a net loss of $594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nine months ended June 30, 2016 and 2015, was not material.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nine months ended June 30, 2016 and 2015, respectively, which partially offsets the foreign currency impact from the underlying exposure, is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16"/>
          </w:tcPr>
          <w:p>
            <w:pPr>
              <w:ind w:left="80"/>
              <w:spacing w:after="0"/>
              <w:rPr>
                <w:sz w:val="20"/>
                <w:szCs w:val="20"/>
                <w:color w:val="auto"/>
              </w:rPr>
            </w:pPr>
            <w:r>
              <w:rPr>
                <w:rFonts w:ascii="Arial" w:cs="Arial" w:eastAsia="Arial" w:hAnsi="Arial"/>
                <w:sz w:val="14"/>
                <w:szCs w:val="14"/>
                <w:b w:val="1"/>
                <w:bCs w:val="1"/>
                <w:color w:val="auto"/>
                <w:w w:val="97"/>
              </w:rPr>
              <w:t>(Losses) Gains Recognized in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12"/>
          </w:tcPr>
          <w:p>
            <w:pPr>
              <w:jc w:val="right"/>
              <w:ind w:right="100"/>
              <w:spacing w:after="0"/>
              <w:rPr>
                <w:sz w:val="20"/>
                <w:szCs w:val="20"/>
                <w:color w:val="auto"/>
              </w:rPr>
            </w:pPr>
            <w:r>
              <w:rPr>
                <w:rFonts w:ascii="Arial" w:cs="Arial" w:eastAsia="Arial" w:hAnsi="Arial"/>
                <w:sz w:val="14"/>
                <w:szCs w:val="14"/>
                <w:b w:val="1"/>
                <w:bCs w:val="1"/>
                <w:color w:val="auto"/>
                <w:w w:val="94"/>
              </w:rPr>
              <w:t>Three months ended June 30,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9"/>
          </w:tcPr>
          <w:p>
            <w:pPr>
              <w:jc w:val="right"/>
              <w:ind w:right="180"/>
              <w:spacing w:after="0"/>
              <w:rPr>
                <w:sz w:val="20"/>
                <w:szCs w:val="20"/>
                <w:color w:val="auto"/>
              </w:rPr>
            </w:pPr>
            <w:r>
              <w:rPr>
                <w:rFonts w:ascii="Arial" w:cs="Arial" w:eastAsia="Arial" w:hAnsi="Arial"/>
                <w:sz w:val="14"/>
                <w:szCs w:val="14"/>
                <w:b w:val="1"/>
                <w:bCs w:val="1"/>
                <w:color w:val="auto"/>
                <w:w w:val="87"/>
              </w:rPr>
              <w:t>Nine months ended 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3"/>
              </w:rPr>
              <w:t>2016</w:t>
            </w:r>
          </w:p>
        </w:tc>
        <w:tc>
          <w:tcPr>
            <w:tcW w:w="2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39"/>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2,944</w:t>
            </w:r>
          </w:p>
        </w:tc>
        <w:tc>
          <w:tcPr>
            <w:tcW w:w="2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564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ind w:left="36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(1,012)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(6,800)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39"/>
              <w:spacing w:after="0"/>
              <w:rPr>
                <w:sz w:val="20"/>
                <w:szCs w:val="20"/>
                <w:color w:val="auto"/>
              </w:rPr>
            </w:pPr>
            <w:r>
              <w:rPr>
                <w:rFonts w:ascii="Arial" w:cs="Arial" w:eastAsia="Arial" w:hAnsi="Arial"/>
                <w:sz w:val="18"/>
                <w:szCs w:val="18"/>
                <w:color w:val="auto"/>
                <w:w w:val="94"/>
              </w:rPr>
              <w:t>(8,298)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(511)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3"/>
        </w:trPr>
        <w:tc>
          <w:tcPr>
            <w:tcW w:w="640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(2,337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(7,671</w:t>
            </w:r>
          </w:p>
        </w:tc>
        <w:tc>
          <w:tcPr>
            <w:tcW w:w="24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Accounts Receivable, Net</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3"/>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6"/>
          </w:tcPr>
          <w:p>
            <w:pPr>
              <w:jc w:val="right"/>
              <w:ind w:right="22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$674,740</w:t>
            </w: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111,866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80,197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(48,543)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(33,837)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940" w:type="dxa"/>
            <w:vAlign w:val="bottom"/>
            <w:gridSpan w:val="2"/>
          </w:tcPr>
          <w:p>
            <w:pPr>
              <w:ind w:left="9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738,063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714,784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3"/>
          </w:tcPr>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5"/>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June 30,</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provisions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7"/>
              </w:rPr>
              <w:t>$215,574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201,719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45,386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68,448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9,725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17,779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276,533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295,184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940" w:type="dxa"/>
            <w:vAlign w:val="bottom"/>
            <w:gridSpan w:val="2"/>
          </w:tcPr>
          <w:p>
            <w:pPr>
              <w:ind w:left="9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576,054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608,827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3"/>
          </w:tcPr>
          <w:p>
            <w:pPr>
              <w:ind w:left="460"/>
              <w:spacing w:after="0"/>
              <w:rPr>
                <w:sz w:val="20"/>
                <w:szCs w:val="20"/>
                <w:color w:val="auto"/>
              </w:rPr>
            </w:pPr>
            <w:r>
              <w:rPr>
                <w:rFonts w:ascii="Arial" w:cs="Arial" w:eastAsia="Arial" w:hAnsi="Arial"/>
                <w:sz w:val="18"/>
                <w:szCs w:val="18"/>
                <w:color w:val="auto"/>
                <w:w w:val="95"/>
              </w:rPr>
              <w:t>The provision (benefit) for income taxes for the following periods consisted of:</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11"/>
          </w:tcPr>
          <w:p>
            <w:pPr>
              <w:jc w:val="right"/>
              <w:ind w:right="48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2"/>
              </w:rPr>
              <w:t>ended</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w w:val="99"/>
              </w:rPr>
              <w:t>June 30,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$27,655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$13,438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$ 66,184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$ 72,843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(6,640)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18"/>
                <w:szCs w:val="18"/>
                <w:color w:val="auto"/>
              </w:rPr>
            </w:pPr>
          </w:p>
        </w:tc>
        <w:tc>
          <w:tcPr>
            <w:tcW w:w="1260" w:type="dxa"/>
            <w:vAlign w:val="bottom"/>
            <w:gridSpan w:val="5"/>
          </w:tcPr>
          <w:p>
            <w:pPr>
              <w:jc w:val="right"/>
              <w:ind w:right="119"/>
              <w:spacing w:after="0"/>
              <w:rPr>
                <w:sz w:val="20"/>
                <w:szCs w:val="20"/>
                <w:color w:val="auto"/>
              </w:rPr>
            </w:pPr>
            <w:r>
              <w:rPr>
                <w:rFonts w:ascii="Arial" w:cs="Arial" w:eastAsia="Arial" w:hAnsi="Arial"/>
                <w:sz w:val="18"/>
                <w:szCs w:val="18"/>
                <w:color w:val="auto"/>
              </w:rPr>
              <w:t>(14,254)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(22,797)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21,015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17,901</w:t>
            </w:r>
          </w:p>
        </w:tc>
        <w:tc>
          <w:tcPr>
            <w:tcW w:w="10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79"/>
              <w:spacing w:after="0"/>
              <w:rPr>
                <w:sz w:val="20"/>
                <w:szCs w:val="20"/>
                <w:color w:val="auto"/>
              </w:rPr>
            </w:pPr>
            <w:r>
              <w:rPr>
                <w:rFonts w:ascii="Arial" w:cs="Arial" w:eastAsia="Arial" w:hAnsi="Arial"/>
                <w:sz w:val="18"/>
                <w:szCs w:val="18"/>
                <w:color w:val="auto"/>
              </w:rPr>
              <w:t>$ 51,930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$ 50,046</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jc w:val="right"/>
              <w:ind w:right="51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Foreign taxes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Foreign taxes in the nine months ended June 30, 2016 included a net benefit of $15,264 due to settlements and conclusions of tax audits in certain jurisdictions during the three months ended March 31, 2016, that resulted in a reduction to the Company’s provision for gross unrecognized tax benefits, partially offset by a decrease to the Company’s taxes receivable. Foreign taxes in the nine months ended June 30, 2016 also included a provision for new uncertain tax positions of $21,214 recognized during the nine months ended June 30, 2016. In addition, foreign taxes in the nine months ended June 30, 2016 included a benefit of $19,963 as a result of a release of tax provision in light of a non-taxable internal capital gain recognized during the three months ended March 31, 2016.</w:t>
      </w:r>
    </w:p>
    <w:p>
      <w:pPr>
        <w:spacing w:after="0" w:line="19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Foreign taxes in the nine months ended June 30, 2015 included a net benefit of $7,594 due to settlements of tax audits in certain jurisdictions during the three months ended December 31, 2014, that resulted in a reduction to the Company’s provision for gross unrecognized tax benefits, partially offset by an increase to the Company’s taxes payable. Foreign taxes in the nine months ended June 30, 2015 also included a net benefit of $22,895 resulting from the release of valuation allowances on deferred tax assets at several of the Company’s subsidiaries, which will, more likely than not, be realized due to the Company’s projections of future taxable income. In addition, foreign taxes in the nine months ended June 30, 2015 included a decrease of $13,720 that was attributable to the expiration, during the three months ended June 30, 2015, of the periods set forth in statutes of limitations related to unrecognized tax benefits accumulated over several years in certain jurisdictions, which was partially offset by a provision for a new uncertain tax position of $6,000 recognized during the three months ended June 30, 2015.</w:t>
      </w:r>
    </w:p>
    <w:p>
      <w:pPr>
        <w:spacing w:after="0" w:line="179"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As of June 30, 2016, deferred tax assets of $150,972, derived primarily from tax credits, net capital and operating loss carry forwards related to some of the Company’s subsidiaries, were offset by valuation allowances due to the uncertainty of realizing tax benefit for such credits and losses.</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$154,524 as of June 30, 2016, all of which would affect the effective tax rate if realized.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2016, the Company had accrued $31,075 in income taxes payable for interest and penalties relating to unrecognized tax benefits.</w:t>
      </w:r>
    </w:p>
    <w:p>
      <w:pPr>
        <w:spacing w:after="0" w:line="23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$105,060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$107,782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$313,622</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$355,033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Less-net income and dividends attributable to participating restricted shares</w:t>
            </w:r>
          </w:p>
        </w:tc>
        <w:tc>
          <w:tcPr>
            <w:tcW w:w="1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(2,828)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8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104,190</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106,720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310,794</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5620"/>
              <w:spacing w:after="0"/>
              <w:rPr>
                <w:sz w:val="20"/>
                <w:szCs w:val="20"/>
                <w:color w:val="auto"/>
              </w:rPr>
            </w:pPr>
            <w:r>
              <w:rPr>
                <w:rFonts w:ascii="Arial" w:cs="Arial" w:eastAsia="Arial" w:hAnsi="Arial"/>
                <w:sz w:val="18"/>
                <w:szCs w:val="18"/>
                <w:color w:val="auto"/>
              </w:rPr>
              <w:t>14</w:t>
            </w:r>
          </w:p>
        </w:tc>
        <w:tc>
          <w:tcPr>
            <w:tcW w:w="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104,198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106,732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310,822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351,337</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148,844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154,101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149,802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155,037</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147,612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152,583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148,451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153,404</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360"/>
              <w:spacing w:after="0"/>
              <w:rPr>
                <w:sz w:val="20"/>
                <w:szCs w:val="20"/>
                <w:color w:val="auto"/>
              </w:rPr>
            </w:pPr>
            <w:r>
              <w:rPr>
                <w:rFonts w:ascii="Arial" w:cs="Arial" w:eastAsia="Arial" w:hAnsi="Arial"/>
                <w:sz w:val="18"/>
                <w:szCs w:val="18"/>
                <w:color w:val="auto"/>
              </w:rPr>
              <w:t>Effect of assumed conversion of 0.5% convertible notes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149,494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155,064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150,560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155,719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For the three and nine months ended June 30, 2016, 2,284 and 1,734 shares, respectively, on a weighted average basis, were attributable to antidilutive outstanding stock options. For the three and nine months ended June 30, 2015, 80 and 890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time to time, the Company’s Board of Directors has adopted share repurchase plans authorizing the repurchase of the Company’s outstanding ordinary shares. The Company’s Board of Directors adopted a share repurchase plan on April 30, 2014, for the repurchase of up to $750,000 of the Company’s outstanding ordinary shares and on February 2, 2016, adopted another share repurchase plan for the repurchase of up to an additional $750,000 of its outstanding ordinary shares. The authorizations have no expiration date and permit the Company to purchase its ordinary shares in open market or privately negotiated transactions at times and prices that it considers appropriate. In May 2016, the Company completed the repurchase of the remaining authorized amount under the April 2014 share repurchase plan and began executing repurchases under the February 2016 plan. In the nine months ended June 30, 2016, the Company repurchased approximately 5,711 ordinary shares at an average price of $56.67 per share (excluding broker and transaction fees), and as of June 30, 2016, the Company had remaining authority to repurchase up to $686,422 of its outstanding ordinary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September 2015, the Company borrowed an aggregate of $220,000 under its unsecured $500,000 five-year revolving credit facility with a syndicate of banks and repaid it in October 2015. As of June 30, 2016, the Company was in compliance with the financial covenants under the revolving credit facility and had no outstanding borrowings under this facility.</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As of June 30, 2016, the Company had additional uncommitted lines of credit available for general corporate and other specific purposes and had outstanding letters of credit and bank guarantees from various banks totaling $67,937. These were supported by a combination of the uncommitted lines of credit that the Company maintains with various banks.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January 1998, the Company adopted the 1998 Stock Option and Incentive Plan, or Equity Incentive Plan, which provides for the grant of restricted stock awards, stock options and other equity-based awards to employees, officers, directors, and consultants. Awards granted under the Equity Incentive Plan generally vest over a period of four years and stock options have a term of ten years.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During the nine months ended June 30, 2016, the Company granted 501 restricted shares and options to purchase 1,893 ordinary shares. The weighted average fair values associated with these grants were $55.04 per restricted share and $7.97 per 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nine months ended June 30, 2016 and 2015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9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142"/>
        </w:trPr>
        <w:tc>
          <w:tcPr>
            <w:tcW w:w="6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953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2,813</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2,570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5,898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16,838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19,886</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33,098</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34,223</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As of June 30, 2016, there was $46,825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nine months ended June 30, 2016 and 2015: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4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Record Date</w:t>
            </w:r>
          </w:p>
        </w:tc>
        <w:tc>
          <w:tcPr>
            <w:tcW w:w="420" w:type="dxa"/>
            <w:vAlign w:val="bottom"/>
          </w:tcPr>
          <w:p>
            <w:pPr>
              <w:spacing w:after="0"/>
              <w:rPr>
                <w:sz w:val="14"/>
                <w:szCs w:val="14"/>
                <w:color w:val="auto"/>
              </w:rPr>
            </w:pPr>
          </w:p>
        </w:tc>
        <w:tc>
          <w:tcPr>
            <w:tcW w:w="11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0"/>
              </w:rPr>
              <w:t>Total Amount</w:t>
            </w:r>
          </w:p>
        </w:tc>
        <w:tc>
          <w:tcPr>
            <w:tcW w:w="240" w:type="dxa"/>
            <w:vAlign w:val="bottom"/>
          </w:tcPr>
          <w:p>
            <w:pPr>
              <w:spacing w:after="0"/>
              <w:rPr>
                <w:sz w:val="14"/>
                <w:szCs w:val="14"/>
                <w:color w:val="auto"/>
              </w:rPr>
            </w:pPr>
          </w:p>
        </w:tc>
        <w:tc>
          <w:tcPr>
            <w:tcW w:w="24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24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4, 2016</w:t>
            </w:r>
          </w:p>
        </w:tc>
        <w:tc>
          <w:tcPr>
            <w:tcW w:w="2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0.195</w:t>
            </w:r>
          </w:p>
        </w:tc>
        <w:tc>
          <w:tcPr>
            <w:tcW w:w="5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2016</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15, 2016</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February 2, 2016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0.195</w:t>
            </w:r>
          </w:p>
        </w:tc>
        <w:tc>
          <w:tcPr>
            <w:tcW w:w="2480" w:type="dxa"/>
            <w:vAlign w:val="bottom"/>
          </w:tcPr>
          <w:p>
            <w:pPr>
              <w:spacing w:after="0"/>
              <w:rPr>
                <w:sz w:val="20"/>
                <w:szCs w:val="20"/>
                <w:color w:val="auto"/>
              </w:rPr>
            </w:pPr>
            <w:r>
              <w:rPr>
                <w:rFonts w:ascii="Arial" w:cs="Arial" w:eastAsia="Arial" w:hAnsi="Arial"/>
                <w:sz w:val="18"/>
                <w:szCs w:val="18"/>
                <w:color w:val="auto"/>
              </w:rPr>
              <w:t>March 31, 2016</w:t>
            </w:r>
          </w:p>
        </w:tc>
        <w:tc>
          <w:tcPr>
            <w:tcW w:w="6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29,206</w:t>
            </w:r>
          </w:p>
        </w:tc>
        <w:tc>
          <w:tcPr>
            <w:tcW w:w="2700" w:type="dxa"/>
            <w:vAlign w:val="bottom"/>
            <w:gridSpan w:val="2"/>
          </w:tcPr>
          <w:p>
            <w:pPr>
              <w:ind w:left="240"/>
              <w:spacing w:after="0"/>
              <w:rPr>
                <w:sz w:val="20"/>
                <w:szCs w:val="20"/>
                <w:color w:val="auto"/>
              </w:rPr>
            </w:pPr>
            <w:r>
              <w:rPr>
                <w:rFonts w:ascii="Arial" w:cs="Arial" w:eastAsia="Arial" w:hAnsi="Arial"/>
                <w:sz w:val="18"/>
                <w:szCs w:val="18"/>
                <w:color w:val="auto"/>
              </w:rPr>
              <w:t>April 15, 2016</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10, 2015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0.170</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25,565</w:t>
            </w:r>
          </w:p>
        </w:tc>
        <w:tc>
          <w:tcPr>
            <w:tcW w:w="2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January 15, 2016</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April 29, 2015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0.170</w:t>
            </w:r>
          </w:p>
        </w:tc>
        <w:tc>
          <w:tcPr>
            <w:tcW w:w="2480" w:type="dxa"/>
            <w:vAlign w:val="bottom"/>
          </w:tcPr>
          <w:p>
            <w:pPr>
              <w:spacing w:after="0"/>
              <w:rPr>
                <w:sz w:val="20"/>
                <w:szCs w:val="20"/>
                <w:color w:val="auto"/>
              </w:rPr>
            </w:pPr>
            <w:r>
              <w:rPr>
                <w:rFonts w:ascii="Arial" w:cs="Arial" w:eastAsia="Arial" w:hAnsi="Arial"/>
                <w:sz w:val="18"/>
                <w:szCs w:val="18"/>
                <w:color w:val="auto"/>
              </w:rPr>
              <w:t>June 30, 2015</w:t>
            </w:r>
          </w:p>
        </w:tc>
        <w:tc>
          <w:tcPr>
            <w:tcW w:w="6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26,127</w:t>
            </w:r>
          </w:p>
        </w:tc>
        <w:tc>
          <w:tcPr>
            <w:tcW w:w="2700" w:type="dxa"/>
            <w:vAlign w:val="bottom"/>
            <w:gridSpan w:val="2"/>
          </w:tcPr>
          <w:p>
            <w:pPr>
              <w:ind w:left="240"/>
              <w:spacing w:after="0"/>
              <w:rPr>
                <w:sz w:val="20"/>
                <w:szCs w:val="20"/>
                <w:color w:val="auto"/>
              </w:rPr>
            </w:pPr>
            <w:r>
              <w:rPr>
                <w:rFonts w:ascii="Arial" w:cs="Arial" w:eastAsia="Arial" w:hAnsi="Arial"/>
                <w:sz w:val="18"/>
                <w:szCs w:val="18"/>
                <w:color w:val="auto"/>
              </w:rPr>
              <w:t>July 17, 2015</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27, 2015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0.170</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26,286</w:t>
            </w:r>
          </w:p>
        </w:tc>
        <w:tc>
          <w:tcPr>
            <w:tcW w:w="2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April 16, 2015</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0.155</w:t>
            </w:r>
          </w:p>
        </w:tc>
        <w:tc>
          <w:tcPr>
            <w:tcW w:w="2480" w:type="dxa"/>
            <w:vAlign w:val="bottom"/>
          </w:tcPr>
          <w:p>
            <w:pPr>
              <w:spacing w:after="0"/>
              <w:rPr>
                <w:sz w:val="20"/>
                <w:szCs w:val="20"/>
                <w:color w:val="auto"/>
              </w:rPr>
            </w:pPr>
            <w:r>
              <w:rPr>
                <w:rFonts w:ascii="Arial" w:cs="Arial" w:eastAsia="Arial" w:hAnsi="Arial"/>
                <w:sz w:val="18"/>
                <w:szCs w:val="18"/>
                <w:color w:val="auto"/>
              </w:rPr>
              <w:t>December 31, 2014</w:t>
            </w:r>
          </w:p>
        </w:tc>
        <w:tc>
          <w:tcPr>
            <w:tcW w:w="6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24,086</w:t>
            </w:r>
          </w:p>
        </w:tc>
        <w:tc>
          <w:tcPr>
            <w:tcW w:w="2700" w:type="dxa"/>
            <w:vAlign w:val="bottom"/>
            <w:gridSpan w:val="2"/>
          </w:tcPr>
          <w:p>
            <w:pPr>
              <w:ind w:left="240"/>
              <w:spacing w:after="0"/>
              <w:rPr>
                <w:sz w:val="20"/>
                <w:szCs w:val="20"/>
                <w:color w:val="auto"/>
              </w:rPr>
            </w:pPr>
            <w:r>
              <w:rPr>
                <w:rFonts w:ascii="Arial" w:cs="Arial" w:eastAsia="Arial" w:hAnsi="Arial"/>
                <w:sz w:val="18"/>
                <w:szCs w:val="18"/>
                <w:color w:val="auto"/>
              </w:rPr>
              <w:t>January 16, 2015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amounts payable as a result of the May 4, 2016 and April 29, 2015 declarations were included in accrued expenses and other current liabilities as of June 30, 2016 and 2015, respectively.</w:t>
      </w:r>
    </w:p>
    <w:p>
      <w:pPr>
        <w:spacing w:after="0" w:line="170" w:lineRule="exact"/>
        <w:rPr>
          <w:sz w:val="20"/>
          <w:szCs w:val="20"/>
          <w:color w:val="auto"/>
        </w:rPr>
      </w:pPr>
    </w:p>
    <w:p>
      <w:pPr>
        <w:ind w:right="940" w:firstLine="456"/>
        <w:spacing w:after="0" w:line="342" w:lineRule="auto"/>
        <w:rPr>
          <w:sz w:val="20"/>
          <w:szCs w:val="20"/>
          <w:color w:val="auto"/>
        </w:rPr>
      </w:pPr>
      <w:r>
        <w:rPr>
          <w:rFonts w:ascii="Arial" w:cs="Arial" w:eastAsia="Arial" w:hAnsi="Arial"/>
          <w:sz w:val="16"/>
          <w:szCs w:val="16"/>
          <w:color w:val="auto"/>
        </w:rPr>
        <w:t>On July 26, 2016, the Company’s Board of Directors approved the next quarterly dividend payment, at the rate of $0.195 per share, and set September 30, 2016 as the record date for determining the shareholders entitled to receive the dividend, which is payable on October 21, 2016.</w:t>
      </w:r>
    </w:p>
    <w:p>
      <w:pPr>
        <w:spacing w:after="0" w:line="228" w:lineRule="exact"/>
        <w:rPr>
          <w:sz w:val="20"/>
          <w:szCs w:val="20"/>
          <w:color w:val="auto"/>
        </w:rPr>
      </w:pPr>
    </w:p>
    <w:p>
      <w:pPr>
        <w:ind w:left="460" w:right="9600" w:hanging="452"/>
        <w:spacing w:after="0" w:line="425" w:lineRule="auto"/>
        <w:tabs>
          <w:tab w:leader="none" w:pos="27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nine months ended June 30, 2016 and 2015.</w:t>
      </w:r>
    </w:p>
    <w:p>
      <w:pPr>
        <w:spacing w:after="0" w:line="18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The Company generally indemnifies its customers against claims of intellectual property infringement made by third parties arising from the use of the Company’s software. To date, the Company has incurred and recorded immaterial costs as a result of such obligations in its consolidated financial statements.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2015, filed on December 10, 2015 with the U.S. Securities and Exchange Commission.</w:t>
      </w:r>
    </w:p>
    <w:p>
      <w:pPr>
        <w:spacing w:after="0" w:line="18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June 23, 2016, voters in the United Kingdom voted in a referendum in favor of the United Kingdom exiting the European Union. The timing and manner of any such exit, should it occur, is not yet clear, and it remains too early to predict the impact of this on the economy in Europe, including the United Kingdom. Weakening of economic conditions or economic uncertainties may harm our business. Emergence of such conditions in the United Kingdom, or in the rest of Europe, may have an adverse impact on our revenue from Europe, which accounted for 14.2% of our total revenue in the nine months ended June 30,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Amdocs is a leading provider of software and services for communications, entertainment and media industry service providers in developed countries and emerging markets. We develop, implement and manage software and services associated with business support systems (BSS), operational support systems (OSS) and network operations to enable service providers to efficiently and cost-effectively introduce new products and services, such as mobile financial services, process orders more efficiently, monetize data, support new business models and generally enhance their understanding of their customers. We refer to these products, systems and services collectively as customer experience solutions because of the crucial impact they have on the service providers’ end-user experience.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the demand for our customer experience solutions is driven by the desire of service providers to help their consumer and business customers navigate the increasing number of devices, services and plans available in today’s digital communications world and the need of service providers to cope with the rapidly growing demand for data that these devices and services have created.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and valuable at every point of interaction.</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Amdocs CES (customer experience solutions) enables service providers to respond to the multidimensional digital interaction demands of customers, as a result of which service providers are expected to offer innovative and personalized services that are delivered consistently across channels and with a seamless network experience. In the second quarter of fiscal year 2016, we released Amdocs CES 10, an advanced product portfolio, which spans BSS, OSS, network operations including network functions virtualization, and big data analytics to enable service providers to drive digital transformation, diversify their business, become a data-empowered business, and achieve service agility. During this quarter, we also released an enhanced digital services portfolio to support and accelerate service providers’ transition from traditional to digital business models. In the first quarter of fiscal year 2016, we released Amdocs Kenan AX3.1 and C1 3.7.8, based on the BSS assets we acquired from Comverse. Amdocs Kenan AX3.1 provides ad-hoc or subscription-based enterprise-grade billing and is available for deployment on public or private cloud environments. Amdocs C1 3.7.8 supports complete BSS convergence and online charging into existing postpaid environments.</w:t>
      </w:r>
    </w:p>
    <w:p>
      <w:pPr>
        <w:spacing w:after="0" w:line="18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also offer advertising and media products and services for media publishers, advertising agencies, advertising service providers and directory publishers. These offerings enable the management of media selling, fulfillment, operations, consumer experiences and financial processes across digital and print media.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entertainment and media industry. In the nine months ended June 30, 2016, customers in North America accounted for 63.2% of our revenue, while customers in Europe and the rest of the world accounted for 14.2% and 22.6%, respectively. We maintain development facilities in Brazil, Canada, Cyprus, India, Ireland, Israel, Mexico, the Philippines, the United Kingdom and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00" w:right="5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7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Revenue generated in connection with managed services arrangements is a significant part of our business, generating substantial, long-term recurring revenue streams and cash flow. Revenue from managed services arrangements accounted for approximately $479.2 million and $460.6 million in the three months ended June 30, 2016 and 2015, respectively, and $1,467.9 million and $1,376.5 million in the nine months ended June 30, 2016 and 2015,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In June 2016, the Financial Accounting Standards Board, or FASB, issued an Accounting Standard Update, or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us beginning in the first quarter of fiscal year 2021 and earlier adoption by one year is permitted. We are currently evaluating the impact of adoption of this ASU on our consolidated financial statements.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us on October 1, 2017, and early adoption is permitted. We are currently evaluating the effect that adoption of this ASU will have on our consolidated financial statements.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us beginning in the first quarter of fiscal year 2020, must be adopted using a modified retrospective method and its early adoption is permitted. We are currently evaluating the impact of adoption of this ASU on our consolidated financial statements.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us on October 1, 2018, and early adoption is permitted. We expect adoption of this ASU may result in changes in our financial statements presentation but will not affect the substantive content of our consolidated financial statements.</w:t>
      </w:r>
    </w:p>
    <w:p>
      <w:pPr>
        <w:spacing w:after="0" w:line="171"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us with respect to measurement-period adjustments that occur after October 1, 2017.</w:t>
      </w:r>
    </w:p>
    <w:p>
      <w:pPr>
        <w:spacing w:after="0" w:line="17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and supersedes most current revenue recognition guidance. In August 2015, the FASB deferred the effective date of this ASU by one year, to fiscal years beginning after December 15, 2017; however, early adoption for fiscal years beginning after December 15, 2016, will be permitted. In March 2016, the FASB issued ASU 2016-08 that clarifies the implementation guidance for principal versus agent considerations in the new revenue standard. In April 2016, the FASB issued ASU 2016-10 that amends the guidance in the new revenue standard related to identifying performance obligations and accounting for licenses of intellectual property. In May 2016, the FASB issued ASU</w:t>
      </w:r>
    </w:p>
    <w:p>
      <w:pPr>
        <w:spacing w:after="0" w:line="5"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2016-12, which amends guidance in the new revenue standard on collectibility, noncash consideration, presentation of sales tax and transition. ASU 2016-08, ASU 2016-10 and ASU 2016-12 must be adopted together with the new revenue standard. We are evaluating the methods and timing of our adoption, as well as the effect that adoption of the new revenue standard will have on our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right="340" w:firstLine="456"/>
        <w:spacing w:after="0" w:line="276" w:lineRule="auto"/>
        <w:rPr>
          <w:sz w:val="20"/>
          <w:szCs w:val="20"/>
          <w:color w:val="auto"/>
        </w:rPr>
      </w:pPr>
      <w:r>
        <w:rPr>
          <w:rFonts w:ascii="Arial" w:cs="Arial" w:eastAsia="Arial" w:hAnsi="Arial"/>
          <w:sz w:val="17"/>
          <w:szCs w:val="17"/>
          <w:color w:val="auto"/>
        </w:rPr>
        <w:t>In November 2015, the FASB issued an ASU that requires entities to present deferred tax assets and liabilities as noncurrent on the balance sheet instead of separating deferred taxes into current and noncurrent amounts. The ASU, which may be applied either prospectively or retrospectively, will be effective for public business entities in fiscal years beginning after December 15, 2016, including interim periods within those years and early adoption is permitted. We prospectively adopted this ASU effective October 1, 2015 and, as such, our consolidated balance sheet as of September 30, 2015 does not reflect the reclassification of current deferred tax assets and liabilities as noncurrent amounts.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2016 and 2015, certain items in our consolidated statements of income reflected as a percentage of revenue: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Three months</w:t>
            </w:r>
          </w:p>
        </w:tc>
        <w:tc>
          <w:tcPr>
            <w:tcW w:w="1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33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ended</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ended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3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00" w:type="dxa"/>
            <w:vAlign w:val="bottom"/>
            <w:tcBorders>
              <w:bottom w:val="single" w:sz="8" w:color="auto"/>
            </w:tcBorders>
            <w:gridSpan w:val="3"/>
          </w:tcPr>
          <w:p>
            <w:pPr>
              <w:jc w:val="center"/>
              <w:ind w:left="264"/>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gridSpan w:val="3"/>
          </w:tcPr>
          <w:p>
            <w:pPr>
              <w:jc w:val="center"/>
              <w:ind w:left="261"/>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100%</w:t>
            </w: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488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64.6</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65.2</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64.7</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64.3</w:t>
            </w:r>
          </w:p>
        </w:tc>
      </w:tr>
      <w:tr>
        <w:trPr>
          <w:trHeight w:val="365"/>
        </w:trPr>
        <w:tc>
          <w:tcPr>
            <w:tcW w:w="3340" w:type="dxa"/>
            <w:vAlign w:val="bottom"/>
          </w:tcPr>
          <w:p>
            <w:pPr>
              <w:spacing w:after="0"/>
              <w:rPr>
                <w:sz w:val="24"/>
                <w:szCs w:val="24"/>
                <w:color w:val="auto"/>
              </w:rPr>
            </w:pPr>
          </w:p>
        </w:tc>
        <w:tc>
          <w:tcPr>
            <w:tcW w:w="4020" w:type="dxa"/>
            <w:vAlign w:val="bottom"/>
          </w:tcPr>
          <w:p>
            <w:pPr>
              <w:jc w:val="right"/>
              <w:ind w:right="193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Three months</w:t>
            </w: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740" w:type="dxa"/>
            <w:vAlign w:val="bottom"/>
            <w:gridSpan w:val="3"/>
          </w:tcPr>
          <w:p>
            <w:pPr>
              <w:jc w:val="right"/>
              <w:ind w:right="448"/>
              <w:spacing w:after="0"/>
              <w:rPr>
                <w:sz w:val="20"/>
                <w:szCs w:val="20"/>
                <w:color w:val="auto"/>
              </w:rPr>
            </w:pPr>
            <w:r>
              <w:rPr>
                <w:rFonts w:ascii="Arial" w:cs="Arial" w:eastAsia="Arial" w:hAnsi="Arial"/>
                <w:sz w:val="18"/>
                <w:szCs w:val="18"/>
                <w:color w:val="auto"/>
              </w:rPr>
              <w:t>12.2</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11.9</w:t>
            </w:r>
          </w:p>
        </w:tc>
        <w:tc>
          <w:tcPr>
            <w:tcW w:w="900" w:type="dxa"/>
            <w:vAlign w:val="bottom"/>
            <w:gridSpan w:val="2"/>
          </w:tcPr>
          <w:p>
            <w:pPr>
              <w:jc w:val="right"/>
              <w:ind w:right="448"/>
              <w:spacing w:after="0"/>
              <w:rPr>
                <w:sz w:val="20"/>
                <w:szCs w:val="20"/>
                <w:color w:val="auto"/>
              </w:rPr>
            </w:pPr>
            <w:r>
              <w:rPr>
                <w:rFonts w:ascii="Arial" w:cs="Arial" w:eastAsia="Arial" w:hAnsi="Arial"/>
                <w:sz w:val="18"/>
                <w:szCs w:val="18"/>
                <w:color w:val="auto"/>
              </w:rPr>
              <w:t>12.5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intangible assets and other</w:t>
            </w:r>
          </w:p>
        </w:tc>
        <w:tc>
          <w:tcPr>
            <w:tcW w:w="3740" w:type="dxa"/>
            <w:vAlign w:val="bottom"/>
            <w:tcBorders>
              <w:right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2.7</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90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5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86.0</w:t>
            </w:r>
          </w:p>
        </w:tc>
        <w:tc>
          <w:tcPr>
            <w:tcW w:w="4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5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740" w:type="dxa"/>
            <w:vAlign w:val="bottom"/>
            <w:tcBorders>
              <w:right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13.4</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14.0</w:t>
            </w:r>
          </w:p>
        </w:tc>
        <w:tc>
          <w:tcPr>
            <w:tcW w:w="90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13.1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840" w:type="dxa"/>
            <w:vAlign w:val="bottom"/>
          </w:tcPr>
          <w:p>
            <w:pPr>
              <w:spacing w:after="0"/>
              <w:rPr>
                <w:sz w:val="18"/>
                <w:szCs w:val="18"/>
                <w:color w:val="auto"/>
              </w:rPr>
            </w:pPr>
          </w:p>
        </w:tc>
        <w:tc>
          <w:tcPr>
            <w:tcW w:w="900" w:type="dxa"/>
            <w:vAlign w:val="bottom"/>
            <w:gridSpan w:val="2"/>
          </w:tcPr>
          <w:p>
            <w:pPr>
              <w:jc w:val="right"/>
              <w:ind w:right="448"/>
              <w:spacing w:after="0"/>
              <w:rPr>
                <w:sz w:val="20"/>
                <w:szCs w:val="20"/>
                <w:color w:val="auto"/>
              </w:rPr>
            </w:pPr>
            <w:r>
              <w:rPr>
                <w:rFonts w:ascii="Arial" w:cs="Arial" w:eastAsia="Arial" w:hAnsi="Arial"/>
                <w:sz w:val="18"/>
                <w:szCs w:val="18"/>
                <w:color w:val="auto"/>
              </w:rPr>
              <w:t>0.1</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448"/>
              <w:spacing w:after="0"/>
              <w:rPr>
                <w:sz w:val="20"/>
                <w:szCs w:val="20"/>
                <w:color w:val="auto"/>
              </w:rPr>
            </w:pPr>
            <w:r>
              <w:rPr>
                <w:rFonts w:ascii="Arial" w:cs="Arial" w:eastAsia="Arial" w:hAnsi="Arial"/>
                <w:sz w:val="18"/>
                <w:szCs w:val="18"/>
                <w:color w:val="auto"/>
              </w:rPr>
              <w:t>0.0</w:t>
            </w:r>
          </w:p>
        </w:tc>
        <w:tc>
          <w:tcPr>
            <w:tcW w:w="34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13.6</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13.8</w:t>
            </w:r>
          </w:p>
        </w:tc>
        <w:tc>
          <w:tcPr>
            <w:tcW w:w="90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13.2</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taxes</w:t>
            </w:r>
          </w:p>
        </w:tc>
        <w:tc>
          <w:tcPr>
            <w:tcW w:w="2840" w:type="dxa"/>
            <w:vAlign w:val="bottom"/>
          </w:tcPr>
          <w:p>
            <w:pPr>
              <w:spacing w:after="0"/>
              <w:rPr>
                <w:sz w:val="18"/>
                <w:szCs w:val="18"/>
                <w:color w:val="auto"/>
              </w:rPr>
            </w:pPr>
          </w:p>
        </w:tc>
        <w:tc>
          <w:tcPr>
            <w:tcW w:w="900" w:type="dxa"/>
            <w:vAlign w:val="bottom"/>
            <w:gridSpan w:val="2"/>
          </w:tcPr>
          <w:p>
            <w:pPr>
              <w:jc w:val="right"/>
              <w:ind w:right="448"/>
              <w:spacing w:after="0"/>
              <w:rPr>
                <w:sz w:val="20"/>
                <w:szCs w:val="20"/>
                <w:color w:val="auto"/>
              </w:rPr>
            </w:pPr>
            <w:r>
              <w:rPr>
                <w:rFonts w:ascii="Arial" w:cs="Arial" w:eastAsia="Arial" w:hAnsi="Arial"/>
                <w:sz w:val="18"/>
                <w:szCs w:val="18"/>
                <w:color w:val="auto"/>
              </w:rPr>
              <w:t>2.3</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448"/>
              <w:spacing w:after="0"/>
              <w:rPr>
                <w:sz w:val="20"/>
                <w:szCs w:val="20"/>
                <w:color w:val="auto"/>
              </w:rPr>
            </w:pPr>
            <w:r>
              <w:rPr>
                <w:rFonts w:ascii="Arial" w:cs="Arial" w:eastAsia="Arial" w:hAnsi="Arial"/>
                <w:sz w:val="18"/>
                <w:szCs w:val="18"/>
                <w:color w:val="auto"/>
              </w:rPr>
              <w:t>1.9</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11.3%</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11.9%</w:t>
            </w:r>
          </w:p>
        </w:tc>
        <w:tc>
          <w:tcPr>
            <w:tcW w:w="900" w:type="dxa"/>
            <w:vAlign w:val="bottom"/>
            <w:tcBorders>
              <w:right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11.3%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40" w:type="dxa"/>
            <w:vAlign w:val="bottom"/>
            <w:vMerge w:val="restart"/>
          </w:tcPr>
          <w:p>
            <w:pPr>
              <w:jc w:val="right"/>
              <w:ind w:right="1930"/>
              <w:spacing w:after="0"/>
              <w:rPr>
                <w:sz w:val="20"/>
                <w:szCs w:val="20"/>
                <w:color w:val="auto"/>
              </w:rPr>
            </w:pPr>
            <w:r>
              <w:rPr>
                <w:rFonts w:ascii="Arial" w:cs="Arial" w:eastAsia="Arial" w:hAnsi="Arial"/>
                <w:sz w:val="18"/>
                <w:szCs w:val="18"/>
                <w:color w:val="auto"/>
              </w:rPr>
              <w:t>20</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2016 and 2015</w:t>
      </w:r>
    </w:p>
    <w:p>
      <w:pPr>
        <w:spacing w:after="0" w:line="12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nine months ended June 30, 2016 compared to the nine months ended June 30, 2015. Following the table is a discussion and analysis of our business and results of operations for such periods.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Amount</w:t>
            </w:r>
          </w:p>
        </w:tc>
        <w:tc>
          <w:tcPr>
            <w:tcW w:w="4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2,777,573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2,716,762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60,811</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1,796,933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1,746,383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50,550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191,249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189,044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2,205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347,853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328,894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18,959</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76,894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46,193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30,701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2,412,929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2,310,514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102,415</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406,248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(41,604)</w:t>
            </w:r>
          </w:p>
        </w:tc>
        <w:tc>
          <w:tcPr>
            <w:tcW w:w="4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2,077</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177.7</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405,079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(39,527)</w:t>
            </w:r>
          </w:p>
        </w:tc>
        <w:tc>
          <w:tcPr>
            <w:tcW w:w="4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51,930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313,622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(41,411</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increased by $60.8 million, or 2.2%, to $2,777.6 million in the nine months ended June 30, 2016, from $2,716.8 million in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2015. The increase in revenue was attributable to increased activity in the rest of the world and, to a lesser extent, in Europe, partially offset by lower revenue from North America. The 2.2% increase in revenue, which was net of a decrease of approximately 2.0% from foreign exchange fluctuations, was also positively affected by revenue related to the BSS assets we acquired from Comverse.</w:t>
      </w:r>
    </w:p>
    <w:p>
      <w:pPr>
        <w:spacing w:after="0" w:line="17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$61.7 million, or 2.3%, to $2,704.9 million in the nine months ended June 30, 2016, from $2,643.2 million in the nine months ended June 30, 2015. The increase in revenue was attributable to increased activity in the rest of the world and, to a lesser extent, in Europe, partially offset by lower revenue from North America. Revenue resulting from the sale of customer experience solutions represented 97.4% and 97.3% of our total revenue in the nine months ended June 30, 2016 and 2015, respectively.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attributable to the sale of directory systems decreased by $0.9 million, or 1.2%, to $72.7 million in the nine months ended June 30, 2016, from $73.6 million in the nine months ended June 30, 2015. Due to the continued slowness in the directory systems market, we expect that directory revenue will continue to decline in fiscal year 2016 compared to fiscal year 2015. Revenue from the sale of directory systems represented 2.6% and 2.7% of our total revenue in the nine months ended June 30, 2016 and 2015, respectively.</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the nine months ended June 30, 2016, revenue from customers in North America, Europe and the rest of the world accounted for 63.2%, 14.2% and 22.6%, respectively, of total revenue, compared to 71.0%, 11.3% and 17.7%, respectively, in the nine months ended June 30, 2015. The decrease in the percentage of revenue from customers in North America was driven by the increase in revenue from customers in Europe and the rest of the world, while revenue from customers in North America decreased, mainly due to AT&amp;T’s slower pace of discretionary spending. However, we have seen signs of stabilization in the North American market in the third quarter. The increase in the percentage of revenue from customers in Europe was attributable to expanding our business relations with new and existing customers, including Vodafone and former Comverse customers. Revenue from customers in the rest of the world increased as a percentage of total revenue as a result of our progress in implementing complex modernization projects in both Latin America and Asia-Pacific, as well as capitalizing on the sustained business momentum with former Comverse customers.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third-party products, as well as fee and royalty payments to software suppliers. Cost of revenue increased by $50.6 million, or 2.9%, to $1,796.9 million in the nine months ended June 30, 2016, from $1,746.4 million in the nine months ended June 30, 2015. As a percentage of revenue, cost of revenue increased to 64.7% in the nine months ended June 30, 2016, from 64.3% in the nine months ended June 30, 2015. The decrease in the gross margin in the nine months ended June 30, 2016 was primarily attributable to: a. our increased activity outside of our established markets, which are primarily North America, where we continued our penetration efforts in order to expand our business into those markets, and also to; b. a gain resulting from changes in fair value of certain acquisition-related liabilities recognized in the six months ended March 31, 2015. These were partially offset by improvement to our margin as a result of ongoing focus on achieving operational efficiencies.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$2.2 million, or 1.2%, to $191.2 million in the nine months ended June 30, 2016, from $189.0 million in the nine months ended June 30, 2015. Research and development expense decreased as a percentage of revenue from 7.0% in the nine months ended June 30, 2015, to 6.9% in the nine months ended June 30, 2016.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which is primarily comprised of compensation expense,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$19.0 million, or 5.8%, to $347.9 million in the nine months ended June 30, 2016, from $328.9 million in the nine months ended June 30, 2015. The increase in selling, general and administrative expense was primarily attributable to the acquisition of the BSS assets of Comverse, as well as to an increase in the allowance for doubtful accounts. Selling, general and administrative expense may fluctuate from time to time, depending upon such factors as changes in our workforce and sales efforts and the results of any operational efficiency programs that we may undertake.</w:t>
      </w:r>
    </w:p>
    <w:p>
      <w:pPr>
        <w:spacing w:after="0" w:line="17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nine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increased by $30.7 million to $76.9 million from $46.2 million in the nine months ended June 30, 2015. The increase in amortization of purchased intangible assets and other was primarily attributable to an increase in amortization of intangible assets due to the acquisition of the BSS assets of Comverse.</w:t>
      </w:r>
    </w:p>
    <w:p>
      <w:pPr>
        <w:spacing w:after="0" w:line="14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$41.6 million, or 10.2%, in the nine months ended June 30, 2016, to $364.6 million, or 13.1%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$406.2 million, or 15.0% of revenue, in the nine months ended June 30, 2015. The decrease in operating income as a percentage of revenue was attributable to operating expenses, particularly amortization of purchased intangible assets and other, as well as cost of revenue, increasing at a higher rate than revenue. Positive foreign exchange impacts on our operating expenses were partially offset by the negative foreign exchange impacts on our revenue, resulting in a minor positive impact on our operating income.</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Income (Expense), Net. </w:t>
      </w:r>
      <w:r>
        <w:rPr>
          <w:rFonts w:ascii="Arial" w:cs="Arial" w:eastAsia="Arial" w:hAnsi="Arial"/>
          <w:sz w:val="18"/>
          <w:szCs w:val="18"/>
          <w:color w:val="auto"/>
        </w:rPr>
        <w:t>Interest and other income (expense), net, changed from a net loss of $1.2 million in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2015 to a net gain of $0.9 million in the nine months ended June 30, 2016. This change in interest and other income (expense), net, was primarily attributable to foreign exchange impacts.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nine months ended June 30, 2016 were $51.9 million on pre-tax income of $365.6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14.2%, compared to 12.4% in the nine months ended June 30, 2015. Our effective tax rate may fluctuate between periods as a result of discrete items that may affect a particular period. Please see Note 9 to our consolidated financial statements.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$41.4 million, or 11.7%, to $313.6 million in the nine months ended June 30, 2016, from $355.0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2015. The decrease in net income was primarily attributable to the decrease in operating income.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decreased by $0.20, or 8.8%, to $2.06 in the nine months ended June 30, 2016, from $2.26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June 30, 2015. The decrease in diluted earnings per share was mainly attributable to the decrease in net income, which was partially offset by the decrease in the diluted weighted average number of shares outstanding.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2016 and 2015</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2016 compared to the three months ended June 30, 2015. Following the table is a discussion and analysis of our business and results of operations for such periods.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1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Amount</w:t>
            </w:r>
          </w:p>
        </w:tc>
        <w:tc>
          <w:tcPr>
            <w:tcW w:w="4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$930,133</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$907,897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$22,236</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601,249</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592,366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8,883</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65,051</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62,598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2,453</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113,831</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108,128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5,703</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25,040</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18,078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6,962</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781,170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24,001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126,727</w:t>
            </w:r>
          </w:p>
        </w:tc>
        <w:tc>
          <w:tcPr>
            <w:tcW w:w="4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3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(1,044)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2,157</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206.6</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125,683</w:t>
            </w:r>
          </w:p>
        </w:tc>
        <w:tc>
          <w:tcPr>
            <w:tcW w:w="4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38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21,015</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17,901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105,060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107,782</w:t>
            </w: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(2,722</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$22.2 million, or 2.4%, to $930.1 million in the three months ended June 30, 2016, from $907.9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2015. The increase in revenue was attributable to increased activity in Europe and the rest of the world, partially offset by lower revenue from North America. The 2.4% increase in revenue, which was net of a decrease of approximately 1.0% from foreign exchange fluctuations, was also positively affected by revenue related to the BSS assets we acquired from Comverse.</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$24.4 million, or 2.8%, to $908.1 million in the three months ended June 30, 2016, from $883.7 million in the three months ended June 30, 2015. The increase in revenue was attributable to increased activity in Europe and the rest of the world, partially offset by lower revenue from North America. Revenue resulting from the sale of customer experience solutions represented 97.6% and 97.3% of our total revenue in the three months ended June 30, 2016 and 2015, respectively.</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Revenue attributable to the sale of directory systems decreased by $2.2 million, or 9.1%, to $22.0 million in the three months ended June 30, 2016, from $24.2 million in the three months ended June 30, 2015. Due to the continued slowness in the directory systems market, we expect that directory revenue will continue to decline in fiscal year 2016 compared to fiscal year 2015. Revenue from the sale of directory systems represented 2.4% and 2.7% of our total revenue in the three months ended June 30, 2016 and 2015, respectively.</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the three months ended June 30, 2016, revenue from customers in North America, Europe and the rest of the world accounted for 63.6%, 13.6% and 22.8%, respectively, of total revenue, compared to 68.6%, 11.3% and 20.1%, respectively, in the three months ended June 30, 2015. The decrease in the percentage of revenue from customers in North America was driven by the increase in revenue from customers in Europe and the rest of the world, while revenue from customers in North America decreased, mainly due to AT&amp;T’s slower pace of discretionary spending. However, we have seen signs of stabilization in the North American market in the third quarter. The increase in the percentage of revenue from customers in Europe was attributable to expanding our business relations with new and existing customers, including Vodafone and former Comverse customers. Revenue from customers in the rest of the world increased as a percentage of total revenue as a result of our progress in implementing complex modernization projects in both Latin America and Asia-Pacific, as well as capitalizing on the sustained business momentum with former Comverse customers.</w:t>
      </w:r>
    </w:p>
    <w:p>
      <w:pPr>
        <w:spacing w:after="0" w:line="17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increased by $8.9 million, or 1.5%, to $601.2 million in the three months ended June 30, 2016, from $592.4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three months ended June 30, 2015. As a percentage of revenue, cost of revenue decreased to 64.6% in the three months ended June 30, 2016, from</w:t>
      </w:r>
    </w:p>
    <w:p>
      <w:pPr>
        <w:ind w:right="120"/>
        <w:spacing w:after="0" w:line="261" w:lineRule="auto"/>
        <w:rPr>
          <w:sz w:val="20"/>
          <w:szCs w:val="20"/>
          <w:color w:val="auto"/>
        </w:rPr>
      </w:pPr>
      <w:r>
        <w:rPr>
          <w:rFonts w:ascii="Arial" w:cs="Arial" w:eastAsia="Arial" w:hAnsi="Arial"/>
          <w:sz w:val="18"/>
          <w:szCs w:val="18"/>
          <w:color w:val="auto"/>
        </w:rPr>
        <w:t>65.2% in the three months ended June 30, 2015. The improvement in the gross margin in the three months ended June 30, 2016 was primarily attributable to realization of ongoing focus on achieving operational efficiencies.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increased by $2.5 million, or 3.9%, to $65.1 million in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2016, from $62.6 million in the three months ended June 30, 2015. Research and development expense as a percentage of revenue increased to 7.0%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2016, from 6.9% in the three months ended June 30,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increased by $5.7 million, or 5.3%, to $113.8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2016, from $108.1 million in the three months ended June 30, 2015. The increase in selling, general and administrative expense was primarily attributable to the acquisition of the BSS assets of Comverse.</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increased by $7.0 million to $25.0 million from $18.1 million in the three months ended June 30, 2015. The increase in amortization of purchased intangible assets and other was primarily attributable to an increase in amortization of intangible assets due to the acquisition of the BSS assets of Comverse, partially offset by a decrease in acquisition-related fees.</w:t>
      </w:r>
    </w:p>
    <w:p>
      <w:pPr>
        <w:spacing w:after="0" w:line="18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$1.8 million, or 1.4%, in the three months ended June 30, 2016, to $125.0 million, or 13.4%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$126.7 million, or 14.0% of revenue, in the three months ended June 30, 2015. The decrease in operating income as a percentage of revenue was attributable to operating expenses, particularly amortization of purchased intangible assets and other, increasing at a higher rate than revenue. Positive foreign exchange impacts on our operating expenses were partially offset by the negative foreign exchange impacts on our revenue, resulting in a minor positive impact on our operating income.</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Income (Expense), Net. </w:t>
      </w:r>
      <w:r>
        <w:rPr>
          <w:rFonts w:ascii="Arial" w:cs="Arial" w:eastAsia="Arial" w:hAnsi="Arial"/>
          <w:sz w:val="18"/>
          <w:szCs w:val="18"/>
          <w:color w:val="auto"/>
        </w:rPr>
        <w:t>Interest and other income (expense), net, changed from a net loss of $1.0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2015 to a net gain of $1.1 million in the three months ended June 30, 2016. This change in interest and other income (expense), net, was primarily attributable to foreign exchange impacts.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June 30, 2016 were $21.0 million on pre-tax income of $126.1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16.7%, compared to 14.2% in the three months ended June 30, 2015. The increase in the tax rate was primarily attributable to changes in our provision for unrecognized tax benefits. Please see Note 9 to our consolidated financial statements. Our effective tax rate may fluctuate between periods as a result of discrete items that may affect a particular period.</w:t>
      </w:r>
    </w:p>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$2.7 million, or 2.5%, to $105.1 million in the three months ended June 30, 2016, from $107.8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2015. The decrease in net income was primarily attributable to the increase in income taxes and operating income, partially offset by the change in interest and other income (expense), net.</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$0.01, or 1.4%, to $0.70 in the three months ended June 30, 2016, from $0.69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2015. The increase in diluted earnings per share was mainly attributable to the decrease in the diluted weighted average number of shares outstanding, which was partially offset by the decrease in net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Cash, Cash Equivalents and Short-Term Interest-Bearing Investments. </w:t>
      </w:r>
      <w:r>
        <w:rPr>
          <w:rFonts w:ascii="Arial" w:cs="Arial" w:eastAsia="Arial" w:hAnsi="Arial"/>
          <w:sz w:val="18"/>
          <w:szCs w:val="18"/>
          <w:color w:val="auto"/>
        </w:rPr>
        <w:t>Cash, cash equivalents and short-term interest-bearing investments, net of short-term debt, totaled $1.12 billion as of June 30, 2016, compared to $1.13 billion as of September 30, 2015. The decrease was mainly attributable to $323.8 million used to repurchase our ordinary shares, $101.4 million for capital expenditures, net, $80.5 million of cash dividend payment and $44.6 million in net cash paid for acquisitions and others, partially offset by $467.5 million in positive cash flow from operations and $67.9 million of proceeds from stock option exercises. Net cash provided by operating activities amounted to $467.5 million and $565.8 million in the nine months ended June 30, 2016 and 2015, respectively.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twelve months.</w:t>
      </w:r>
    </w:p>
    <w:p>
      <w:pPr>
        <w:spacing w:after="0" w:line="181"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 In the second half of fiscal year 2016, we currently expect to return roughly all free cash flow generated in that period to our shareholders, subject to several factors including our financial performance, outlook and liquidity, and the size and timing of possible mergers and acquisitions activity.</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loss,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nine months ended June 30, 2016 and 2015, we did not recognize any credit losses. Please see Notes 4 and 5 to the consolidated financial statements.</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September 2015, we borrowed an aggregate of $220.0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revolving credit facility with a syndicate of banks and repaid it in October 2015. As of June 30, 2016, we were in compliance with the financial covenants under the revolving credit facility and had no outstanding borrowings under this facility.</w:t>
      </w:r>
    </w:p>
    <w:p>
      <w:pPr>
        <w:spacing w:after="0" w:line="166"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As of June 30, 2016, we had additional uncommitted lines of credit available for general corporate and other specific purposes and had outstanding letters of credit and bank guarantees from various banks totaling $67.9 million. These were supported by a combination of the uncommitted lines of credit that we maintain with various banks.</w:t>
      </w:r>
    </w:p>
    <w:p>
      <w:pPr>
        <w:spacing w:after="0" w:line="181"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2015, filed on December 10, 2015 with the SEC. Since September 30, 2015, there have been no material changes in our aggregate contractual obligations.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$101.4 million in the nine months ended June 30, 2016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From time to time, our Board of Directors has adopted share repurchase plans authorizing the repurchase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Our Board of Directors adopted a share repurchase plan in April 2014 for the repurchase of up to $750.0 million of our outstanding ordinary shares and on February 2, 2016, adopted another share repurchase plan for the repurchase of up to an additional $750.0 million of our outstanding ordinary shares. The authorizations have no expiration date and permit us to purchase our ordinary shares in open market or privately negotiated transactions at times and prices that we consider appropriate. In May 2016, we completed the repurchase of the remaining authorized amount under the April 2014 plan and began executing repurchases under the February 2016 plan. In the nine months ended June 30, 2016, we repurchased 5.7 million ordinary shares at an average price of $56.67 per share (excluding broker and transaction fees), and as of June 30, 2016, we had remaining authority to repurchase up to $686.4 million of our outstanding ordinary shares.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nine months ended June 30, 2016 and 2015: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98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82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Record Date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4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4"/>
              </w:rPr>
              <w:t>Ordinary Share</w:t>
            </w:r>
          </w:p>
        </w:tc>
        <w:tc>
          <w:tcPr>
            <w:tcW w:w="2820" w:type="dxa"/>
            <w:vAlign w:val="bottom"/>
            <w:gridSpan w:val="2"/>
            <w:vMerge w:val="continue"/>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4, 2016</w:t>
            </w:r>
          </w:p>
        </w:tc>
        <w:tc>
          <w:tcPr>
            <w:tcW w:w="1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0.195</w:t>
            </w:r>
          </w:p>
        </w:tc>
        <w:tc>
          <w:tcPr>
            <w:tcW w:w="48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2016</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15, 2016</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February 2, 2016</w:t>
            </w:r>
          </w:p>
        </w:tc>
        <w:tc>
          <w:tcPr>
            <w:tcW w:w="13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0.195</w:t>
            </w:r>
          </w:p>
        </w:tc>
        <w:tc>
          <w:tcPr>
            <w:tcW w:w="2820" w:type="dxa"/>
            <w:vAlign w:val="bottom"/>
            <w:gridSpan w:val="2"/>
          </w:tcPr>
          <w:p>
            <w:pPr>
              <w:spacing w:after="0"/>
              <w:rPr>
                <w:sz w:val="20"/>
                <w:szCs w:val="20"/>
                <w:color w:val="auto"/>
              </w:rPr>
            </w:pPr>
            <w:r>
              <w:rPr>
                <w:rFonts w:ascii="Arial" w:cs="Arial" w:eastAsia="Arial" w:hAnsi="Arial"/>
                <w:sz w:val="18"/>
                <w:szCs w:val="18"/>
                <w:color w:val="auto"/>
              </w:rPr>
              <w:t>March 31, 2016</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29.2</w:t>
            </w:r>
          </w:p>
        </w:tc>
        <w:tc>
          <w:tcPr>
            <w:tcW w:w="2420" w:type="dxa"/>
            <w:vAlign w:val="bottom"/>
          </w:tcPr>
          <w:p>
            <w:pPr>
              <w:spacing w:after="0"/>
              <w:rPr>
                <w:sz w:val="20"/>
                <w:szCs w:val="20"/>
                <w:color w:val="auto"/>
              </w:rPr>
            </w:pPr>
            <w:r>
              <w:rPr>
                <w:rFonts w:ascii="Arial" w:cs="Arial" w:eastAsia="Arial" w:hAnsi="Arial"/>
                <w:sz w:val="18"/>
                <w:szCs w:val="18"/>
                <w:color w:val="auto"/>
              </w:rPr>
              <w:t>April 15, 2016</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10, 2015</w:t>
            </w:r>
          </w:p>
        </w:tc>
        <w:tc>
          <w:tcPr>
            <w:tcW w:w="13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0.170</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25.6</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January 15, 2016</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April 29, 2015</w:t>
            </w:r>
          </w:p>
        </w:tc>
        <w:tc>
          <w:tcPr>
            <w:tcW w:w="13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0.170</w:t>
            </w:r>
          </w:p>
        </w:tc>
        <w:tc>
          <w:tcPr>
            <w:tcW w:w="2820" w:type="dxa"/>
            <w:vAlign w:val="bottom"/>
            <w:gridSpan w:val="2"/>
          </w:tcPr>
          <w:p>
            <w:pPr>
              <w:spacing w:after="0"/>
              <w:rPr>
                <w:sz w:val="20"/>
                <w:szCs w:val="20"/>
                <w:color w:val="auto"/>
              </w:rPr>
            </w:pPr>
            <w:r>
              <w:rPr>
                <w:rFonts w:ascii="Arial" w:cs="Arial" w:eastAsia="Arial" w:hAnsi="Arial"/>
                <w:sz w:val="18"/>
                <w:szCs w:val="18"/>
                <w:color w:val="auto"/>
              </w:rPr>
              <w:t>June 30, 2015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26.1</w:t>
            </w:r>
          </w:p>
        </w:tc>
        <w:tc>
          <w:tcPr>
            <w:tcW w:w="2420" w:type="dxa"/>
            <w:vAlign w:val="bottom"/>
          </w:tcPr>
          <w:p>
            <w:pPr>
              <w:spacing w:after="0"/>
              <w:rPr>
                <w:sz w:val="20"/>
                <w:szCs w:val="20"/>
                <w:color w:val="auto"/>
              </w:rPr>
            </w:pPr>
            <w:r>
              <w:rPr>
                <w:rFonts w:ascii="Arial" w:cs="Arial" w:eastAsia="Arial" w:hAnsi="Arial"/>
                <w:sz w:val="18"/>
                <w:szCs w:val="18"/>
                <w:color w:val="auto"/>
              </w:rPr>
              <w:t>July 17, 2015</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27, 2015</w:t>
            </w:r>
          </w:p>
        </w:tc>
        <w:tc>
          <w:tcPr>
            <w:tcW w:w="13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0.170</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2015</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26.3</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April 16, 2015</w:t>
            </w: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13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0.155</w:t>
            </w:r>
          </w:p>
        </w:tc>
        <w:tc>
          <w:tcPr>
            <w:tcW w:w="282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24.1</w:t>
            </w:r>
          </w:p>
        </w:tc>
        <w:tc>
          <w:tcPr>
            <w:tcW w:w="2420" w:type="dxa"/>
            <w:vAlign w:val="bottom"/>
          </w:tcPr>
          <w:p>
            <w:pPr>
              <w:spacing w:after="0"/>
              <w:rPr>
                <w:sz w:val="20"/>
                <w:szCs w:val="20"/>
                <w:color w:val="auto"/>
              </w:rPr>
            </w:pPr>
            <w:r>
              <w:rPr>
                <w:rFonts w:ascii="Arial" w:cs="Arial" w:eastAsia="Arial" w:hAnsi="Arial"/>
                <w:sz w:val="18"/>
                <w:szCs w:val="18"/>
                <w:color w:val="auto"/>
              </w:rPr>
              <w:t>January 16, 2015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On July 26, 2016, our Board of Directors approved the next quarterly dividend payment, at the rate of $0.195 per share, and set September 30, 2016 as the record date for determining the shareholders entitled to receive the dividend, which is payable on October 21, 2016.</w:t>
      </w:r>
    </w:p>
    <w:p>
      <w:pPr>
        <w:spacing w:after="0" w:line="14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During the nine months ended June 30, 2016 and 2015,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2016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w:t>
            </w: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820" w:type="dxa"/>
            <w:vAlign w:val="bottom"/>
            <w:gridSpan w:val="2"/>
            <w:vMerge w:val="restart"/>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Average Price</w:t>
            </w: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20" w:type="dxa"/>
            <w:vAlign w:val="bottom"/>
            <w:vMerge w:val="continue"/>
          </w:tcPr>
          <w:p>
            <w:pPr>
              <w:spacing w:after="0"/>
              <w:rPr>
                <w:sz w:val="14"/>
                <w:szCs w:val="14"/>
                <w:color w:val="auto"/>
              </w:rPr>
            </w:pPr>
          </w:p>
        </w:tc>
        <w:tc>
          <w:tcPr>
            <w:tcW w:w="482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5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Paid per Share(1)</w:t>
            </w: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or Programs(2)</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04/01/16-04/30/16</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358,300</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4"/>
              </w:rPr>
              <w:t>58.54</w:t>
            </w:r>
          </w:p>
        </w:tc>
        <w:tc>
          <w:tcPr>
            <w:tcW w:w="56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358,300</w:t>
            </w: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788,559,625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05/01/16-05/31/16</w:t>
            </w:r>
          </w:p>
        </w:tc>
        <w:tc>
          <w:tcPr>
            <w:tcW w:w="1040" w:type="dxa"/>
            <w:vAlign w:val="bottom"/>
          </w:tcPr>
          <w:p>
            <w:pPr>
              <w:jc w:val="right"/>
              <w:spacing w:after="0"/>
              <w:rPr>
                <w:sz w:val="20"/>
                <w:szCs w:val="20"/>
                <w:color w:val="auto"/>
              </w:rPr>
            </w:pPr>
            <w:r>
              <w:rPr>
                <w:rFonts w:ascii="Arial" w:cs="Arial" w:eastAsia="Arial" w:hAnsi="Arial"/>
                <w:sz w:val="18"/>
                <w:szCs w:val="18"/>
                <w:color w:val="auto"/>
              </w:rPr>
              <w:t>880,200</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57.21</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880,200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738,204,006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06/01/16-06/30/16</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902,871</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57.35</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902,871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686,422,462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2,141,371</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57.49</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2,141,371</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686,422,462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460" w:right="2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2014, our Board of Directors adopted a share repurchase plan authorizing the repurchase of up to $750.0 million of our outstanding ordinary shares and in February 2016, adopted another share repurchase plan for the repurchase of up to an additional $750.0 million of our outstanding ordinary shares. The authorizations have no expiration date and permit us to purchase our ordinary shares in open market or privately negotiated transactions at times and prices we consider appropriate.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30, 2016, $0.2 million principal amount of our convertible notes due 2024 remained outstanding. On August 1, 2016, we announced our intention to redeem all of the remaining outstanding notes on September 6, 2016 (the “Redemption Date”) at a redemption price of 100% of the principal amount of the notes to be redeemed, plus accrued and unpaid interest up to, but excluding, the Redemption Date. The notes are convertible into our ordinary shares at any time prior to the close of business on September 2,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2016:</w:t>
      </w:r>
    </w:p>
    <w:p>
      <w:pPr>
        <w:spacing w:after="0" w:line="225"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May 5, 2016</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May 17, 2016</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June 30,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5"/>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2019-12-06T22:54:51Z</dcterms:created>
  <dcterms:modified xsi:type="dcterms:W3CDTF">2019-12-06T22:54:51Z</dcterms:modified>
</cp:coreProperties>
</file>