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Amdocs, LTD</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3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 .01per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G02602103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9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12/31/2012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G02602103</w:t>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9"/>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22"/>
                <w:szCs w:val="22"/>
                <w:color w:val="auto"/>
              </w:rPr>
              <w:t>Manning &amp; Napier Advisors, LLC</w:t>
            </w:r>
          </w:p>
        </w:tc>
        <w:tc>
          <w:tcPr>
            <w:tcW w:w="0" w:type="dxa"/>
            <w:vAlign w:val="bottom"/>
          </w:tcPr>
          <w:p>
            <w:pPr>
              <w:spacing w:after="0"/>
              <w:rPr>
                <w:sz w:val="1"/>
                <w:szCs w:val="1"/>
                <w:color w:val="auto"/>
              </w:rPr>
            </w:pPr>
          </w:p>
        </w:tc>
      </w:tr>
      <w:tr>
        <w:trPr>
          <w:trHeight w:val="407"/>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45-3240790</w:t>
            </w:r>
          </w:p>
        </w:tc>
        <w:tc>
          <w:tcPr>
            <w:tcW w:w="0" w:type="dxa"/>
            <w:vAlign w:val="bottom"/>
          </w:tcPr>
          <w:p>
            <w:pPr>
              <w:spacing w:after="0"/>
              <w:rPr>
                <w:sz w:val="1"/>
                <w:szCs w:val="1"/>
                <w:color w:val="auto"/>
              </w:rPr>
            </w:pPr>
          </w:p>
        </w:tc>
      </w:tr>
      <w:tr>
        <w:trPr>
          <w:trHeight w:val="170"/>
        </w:trPr>
        <w:tc>
          <w:tcPr>
            <w:tcW w:w="36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11020" w:type="dxa"/>
            <w:vAlign w:val="bottom"/>
            <w:tcBorders>
              <w:right w:val="single" w:sz="8" w:color="auto"/>
            </w:tcBorders>
            <w:gridSpan w:val="4"/>
          </w:tcPr>
          <w:p>
            <w:pPr>
              <w:ind w:left="8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spacing w:after="0"/>
              <w:rPr>
                <w:sz w:val="23"/>
                <w:szCs w:val="23"/>
                <w:color w:val="auto"/>
              </w:rPr>
            </w:pPr>
          </w:p>
        </w:tc>
        <w:tc>
          <w:tcPr>
            <w:tcW w:w="60" w:type="dxa"/>
            <w:vAlign w:val="bottom"/>
            <w:tcBorders>
              <w:right w:val="single" w:sz="8" w:color="auto"/>
            </w:tcBorders>
          </w:tcPr>
          <w:p>
            <w:pPr>
              <w:spacing w:after="0"/>
              <w:rPr>
                <w:sz w:val="23"/>
                <w:szCs w:val="23"/>
                <w:color w:val="auto"/>
              </w:rPr>
            </w:pPr>
          </w:p>
        </w:tc>
        <w:tc>
          <w:tcPr>
            <w:tcW w:w="6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Pr>
          <w:p>
            <w:pPr>
              <w:spacing w:after="0"/>
              <w:rPr>
                <w:sz w:val="23"/>
                <w:szCs w:val="23"/>
                <w:color w:val="auto"/>
              </w:rPr>
            </w:pPr>
          </w:p>
        </w:tc>
        <w:tc>
          <w:tcPr>
            <w:tcW w:w="10140" w:type="dxa"/>
            <w:vAlign w:val="bottom"/>
            <w:tcBorders>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60" w:type="dxa"/>
            <w:vAlign w:val="bottom"/>
            <w:tcBorders>
              <w:left w:val="single" w:sz="8" w:color="auto"/>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1102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New York</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0"/>
              </w:rPr>
              <w:t>Number of</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12,472,333</w:t>
            </w: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spacing w:after="0"/>
              <w:rPr>
                <w:sz w:val="19"/>
                <w:szCs w:val="19"/>
                <w:color w:val="auto"/>
              </w:rPr>
            </w:pPr>
          </w:p>
        </w:tc>
        <w:tc>
          <w:tcPr>
            <w:tcW w:w="720" w:type="dxa"/>
            <w:vAlign w:val="bottom"/>
            <w:tcBorders>
              <w:right w:val="single" w:sz="8" w:color="auto"/>
            </w:tcBorders>
            <w:gridSpan w:val="2"/>
          </w:tcPr>
          <w:p>
            <w:pPr>
              <w:jc w:val="center"/>
              <w:ind w:right="165"/>
              <w:spacing w:after="0"/>
              <w:rPr>
                <w:sz w:val="20"/>
                <w:szCs w:val="20"/>
                <w:color w:val="auto"/>
              </w:rPr>
            </w:pPr>
            <w:r>
              <w:rPr>
                <w:rFonts w:ascii="Arial" w:cs="Arial" w:eastAsia="Arial" w:hAnsi="Arial"/>
                <w:sz w:val="18"/>
                <w:szCs w:val="18"/>
                <w:color w:val="auto"/>
                <w:w w:val="80"/>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Beneficially</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8"/>
              </w:rPr>
              <w:t>Owned by</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tcPr>
          <w:p>
            <w:pPr>
              <w:jc w:val="center"/>
              <w:ind w:right="205"/>
              <w:spacing w:after="0" w:line="190"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6"/>
                <w:szCs w:val="16"/>
                <w:color w:val="auto"/>
              </w:rPr>
            </w:pP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89"/>
              </w:rPr>
              <w:t>Reporting</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14,128,523</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tcPr>
          <w:p>
            <w:pPr>
              <w:jc w:val="center"/>
              <w:ind w:right="145"/>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60" w:type="dxa"/>
            <w:vAlign w:val="bottom"/>
            <w:tcBorders>
              <w:left w:val="single" w:sz="8" w:color="auto"/>
            </w:tcBorders>
          </w:tcPr>
          <w:p>
            <w:pPr>
              <w:spacing w:after="0"/>
              <w:rPr>
                <w:sz w:val="4"/>
                <w:szCs w:val="4"/>
                <w:color w:val="auto"/>
              </w:rPr>
            </w:pPr>
          </w:p>
        </w:tc>
        <w:tc>
          <w:tcPr>
            <w:tcW w:w="720" w:type="dxa"/>
            <w:vAlign w:val="bottom"/>
            <w:tcBorders>
              <w:right w:val="single" w:sz="8" w:color="auto"/>
            </w:tcBorders>
            <w:gridSpan w:val="2"/>
            <w:vMerge w:val="restart"/>
          </w:tcPr>
          <w:p>
            <w:pPr>
              <w:jc w:val="center"/>
              <w:ind w:right="145"/>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0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8"/>
                <w:szCs w:val="18"/>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22"/>
                <w:szCs w:val="22"/>
                <w:color w:val="auto"/>
              </w:rPr>
              <w:t>14,128,523</w:t>
            </w: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10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8.7%</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 Name of Issuer: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Amdocs Ltd</w:t>
      </w:r>
    </w:p>
    <w:p>
      <w:pPr>
        <w:spacing w:after="0" w:line="252" w:lineRule="exact"/>
        <w:rPr>
          <w:sz w:val="20"/>
          <w:szCs w:val="20"/>
          <w:color w:val="auto"/>
        </w:rPr>
      </w:pPr>
    </w:p>
    <w:p>
      <w:pPr>
        <w:jc w:val="center"/>
        <w:ind w:right="7140"/>
        <w:spacing w:after="0"/>
        <w:rPr>
          <w:sz w:val="20"/>
          <w:szCs w:val="20"/>
          <w:color w:val="auto"/>
        </w:rPr>
      </w:pPr>
      <w:r>
        <w:rPr>
          <w:rFonts w:ascii="Arial" w:cs="Arial" w:eastAsia="Arial" w:hAnsi="Arial"/>
          <w:sz w:val="16"/>
          <w:szCs w:val="16"/>
          <w:color w:val="auto"/>
        </w:rPr>
        <w:t>Item 1(b): Address of Issuer’s Principal Executive Offices:</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1390 Timberlake Manor Parkway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Chesterfield, Missouri 63017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Manning &amp; Napier Advisors,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290 Woodcliff Drive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Fairport, NY 14450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2(c): Citizenship: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Common Stock, Par Value </w:t>
      </w:r>
      <w:r>
        <w:rPr>
          <w:rFonts w:ascii="Arial" w:cs="Arial" w:eastAsia="Arial" w:hAnsi="Arial"/>
          <w:sz w:val="18"/>
          <w:szCs w:val="18"/>
          <w:b w:val="1"/>
          <w:bCs w:val="1"/>
          <w:color w:val="auto"/>
        </w:rPr>
        <w:t>£ .01</w:t>
      </w:r>
      <w:r>
        <w:rPr>
          <w:rFonts w:ascii="Arial" w:cs="Arial" w:eastAsia="Arial" w:hAnsi="Arial"/>
          <w:sz w:val="18"/>
          <w:szCs w:val="18"/>
          <w:color w:val="auto"/>
        </w:rPr>
        <w:t>per share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G02602103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5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Item 4: Ownership: Provide the following information regarding the aggregate number and percentage of the class of securities of the issuer identified in Item 1.</w:t>
      </w:r>
    </w:p>
    <w:p>
      <w:pPr>
        <w:spacing w:after="0" w:line="11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14,128,523</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8.7%</w:t>
      </w:r>
    </w:p>
    <w:p>
      <w:pPr>
        <w:spacing w:after="0" w:line="164"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12,472,333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14,128,523</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80"/>
          </w:cols>
          <w:pgMar w:left="240" w:top="2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Identification and Classification of the Subsidiary Which Acquired the Security Being Reported on By the Parent Holding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a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1/23/2013</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Michelle Thomas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Michelle Thomas, Corporate Secretary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2019-12-06T20:51:32Z</dcterms:created>
  <dcterms:modified xsi:type="dcterms:W3CDTF">2019-12-06T20:51:32Z</dcterms:modified>
</cp:coreProperties>
</file>