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231140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242570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REPORT OF FOREIGN PRIVATE ISSUER</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RULE 13a-16 OR 15d-16</w:t>
      </w:r>
    </w:p>
    <w:p>
      <w:pPr>
        <w:jc w:val="center"/>
        <w:ind w:right="-1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February 2022</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236855</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257175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Hirzel House, Smith Street,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Amdocs, Inc.</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625 Maryville Centre Drive, Suite 200, Saint Louis, Missouri 63141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215900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8" w:lineRule="exact"/>
        <w:rPr>
          <w:sz w:val="24"/>
          <w:szCs w:val="24"/>
          <w:color w:val="auto"/>
        </w:rPr>
      </w:pPr>
    </w:p>
    <w:p>
      <w:pPr>
        <w:jc w:val="center"/>
        <w:ind w:right="-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by furnishing the information contained in this form is also thereby furnishing the information to the</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6" w:lineRule="exact"/>
        <w:rPr>
          <w:sz w:val="24"/>
          <w:szCs w:val="24"/>
          <w:color w:val="auto"/>
        </w:rPr>
      </w:pPr>
    </w:p>
    <w:p>
      <w:pPr>
        <w:jc w:val="center"/>
        <w:ind w:right="-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5273675</wp:posOffset>
            </wp:positionH>
            <wp:positionV relativeFrom="paragraph">
              <wp:posOffset>-11430</wp:posOffset>
            </wp:positionV>
            <wp:extent cx="339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201" w:lineRule="exact"/>
        <w:rPr>
          <w:sz w:val="24"/>
          <w:szCs w:val="24"/>
          <w:color w:val="auto"/>
        </w:rPr>
      </w:pPr>
    </w:p>
    <w:p>
      <w:pPr>
        <w:spacing w:after="0" w:line="335" w:lineRule="auto"/>
        <w:rPr>
          <w:sz w:val="20"/>
          <w:szCs w:val="20"/>
          <w:color w:val="auto"/>
        </w:rPr>
      </w:pPr>
      <w:r>
        <w:rPr>
          <w:rFonts w:ascii="Arial" w:cs="Arial" w:eastAsia="Arial" w:hAnsi="Arial"/>
          <w:sz w:val="16"/>
          <w:szCs w:val="16"/>
          <w:color w:val="auto"/>
        </w:rPr>
        <w:t>On February 1, 2022, Amdocs Limited (“Amdocs”) issued a press release announcing financial results for the quarter ended December 31, 2021. A copy of the press release and the accompanying presentation are furnished as Exhibits 99.1 and 99.2 to this Report of Foreign Private Issuer on Form 6-K.</w:t>
      </w:r>
    </w:p>
    <w:p>
      <w:pPr>
        <w:spacing w:after="0" w:line="128"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00"/>
          </w:cols>
          <w:pgMar w:left="480" w:top="366" w:right="519" w:bottom="1440" w:gutter="0" w:footer="0" w:header="0"/>
        </w:sectPr>
      </w:pPr>
    </w:p>
    <w:bookmarkStart w:id="1" w:name="page2"/>
    <w:bookmarkEnd w:id="1"/>
    <w:p>
      <w:pPr>
        <w:ind w:left="4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AMDOCS LIMITED</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-130175</wp:posOffset>
            </wp:positionV>
            <wp:extent cx="25730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ind w:left="6920"/>
        <w:spacing w:after="0"/>
        <w:rPr>
          <w:sz w:val="20"/>
          <w:szCs w:val="20"/>
          <w:color w:val="auto"/>
        </w:rPr>
      </w:pPr>
      <w:r>
        <w:rPr>
          <w:rFonts w:ascii="Arial" w:cs="Arial" w:eastAsia="Arial" w:hAnsi="Arial"/>
          <w:sz w:val="18"/>
          <w:szCs w:val="18"/>
          <w:i w:val="1"/>
          <w:iCs w:val="1"/>
          <w:color w:val="auto"/>
        </w:rPr>
        <w:t>Secretary and Authorized Signatory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2022</w:t>
      </w:r>
    </w:p>
    <w:p>
      <w:pPr>
        <w:sectPr>
          <w:pgSz w:w="11900" w:h="16838" w:orient="portrait"/>
          <w:cols w:equalWidth="0" w:num="1">
            <w:col w:w="10180"/>
          </w:cols>
          <w:pgMar w:left="480" w:top="268" w:right="1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7"/>
        </w:trPr>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7020" w:type="dxa"/>
            <w:vAlign w:val="bottom"/>
            <w:gridSpan w:val="2"/>
          </w:tcPr>
          <w:p>
            <w:pPr>
              <w:ind w:left="900"/>
              <w:spacing w:after="0"/>
              <w:rPr>
                <w:sz w:val="20"/>
                <w:szCs w:val="20"/>
                <w:color w:val="auto"/>
              </w:rPr>
            </w:pPr>
            <w:r>
              <w:rPr>
                <w:rFonts w:ascii="Arial" w:cs="Arial" w:eastAsia="Arial" w:hAnsi="Arial"/>
                <w:sz w:val="18"/>
                <w:szCs w:val="18"/>
                <w:color w:val="auto"/>
              </w:rPr>
              <w:t>EXHIBIT INDEX</w:t>
            </w:r>
          </w:p>
        </w:tc>
      </w:tr>
      <w:tr>
        <w:trPr>
          <w:trHeight w:val="371"/>
        </w:trPr>
        <w:tc>
          <w:tcPr>
            <w:tcW w:w="580" w:type="dxa"/>
            <w:vAlign w:val="bottom"/>
          </w:tcPr>
          <w:p>
            <w:pPr>
              <w:ind w:left="20"/>
              <w:spacing w:after="0"/>
              <w:rPr>
                <w:sz w:val="20"/>
                <w:szCs w:val="20"/>
                <w:color w:val="auto"/>
              </w:rPr>
            </w:pPr>
            <w:r>
              <w:rPr>
                <w:rFonts w:ascii="Arial" w:cs="Arial" w:eastAsia="Arial" w:hAnsi="Arial"/>
                <w:sz w:val="14"/>
                <w:szCs w:val="14"/>
                <w:color w:val="auto"/>
                <w:w w:val="99"/>
              </w:rPr>
              <w:t>EXHIBIT</w:t>
            </w: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173"/>
        </w:trPr>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NO.</w:t>
            </w:r>
          </w:p>
        </w:tc>
        <w:tc>
          <w:tcPr>
            <w:tcW w:w="640" w:type="dxa"/>
            <w:vAlign w:val="bottom"/>
          </w:tcPr>
          <w:p>
            <w:pPr>
              <w:spacing w:after="0"/>
              <w:rPr>
                <w:sz w:val="15"/>
                <w:szCs w:val="15"/>
                <w:color w:val="auto"/>
              </w:rPr>
            </w:pPr>
          </w:p>
        </w:tc>
        <w:tc>
          <w:tcPr>
            <w:tcW w:w="9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DESCRIPTION</w:t>
            </w:r>
          </w:p>
        </w:tc>
      </w:tr>
      <w:tr>
        <w:trPr>
          <w:trHeight w:val="267"/>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3"/>
                <w:szCs w:val="23"/>
                <w:color w:val="auto"/>
              </w:rPr>
            </w:pPr>
          </w:p>
        </w:tc>
        <w:tc>
          <w:tcPr>
            <w:tcW w:w="396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Amdocs Limited Press Release dated February 1, 2022.</w:t>
              </w:r>
            </w:hyperlink>
          </w:p>
        </w:tc>
        <w:tc>
          <w:tcPr>
            <w:tcW w:w="5740" w:type="dxa"/>
            <w:vAlign w:val="bottom"/>
          </w:tcPr>
          <w:p>
            <w:pPr>
              <w:spacing w:after="0"/>
              <w:rPr>
                <w:sz w:val="23"/>
                <w:szCs w:val="23"/>
                <w:color w:val="auto"/>
              </w:rPr>
            </w:pPr>
          </w:p>
        </w:tc>
      </w:tr>
      <w:tr>
        <w:trPr>
          <w:trHeight w:val="301"/>
        </w:trPr>
        <w:tc>
          <w:tcPr>
            <w:tcW w:w="580" w:type="dxa"/>
            <w:vAlign w:val="bottom"/>
          </w:tcPr>
          <w:p>
            <w:pPr>
              <w:spacing w:after="0"/>
              <w:rPr>
                <w:sz w:val="20"/>
                <w:szCs w:val="20"/>
                <w:color w:val="auto"/>
              </w:rPr>
            </w:pPr>
            <w:r>
              <w:rPr>
                <w:rFonts w:ascii="Arial" w:cs="Arial" w:eastAsia="Arial" w:hAnsi="Arial"/>
                <w:sz w:val="18"/>
                <w:szCs w:val="18"/>
                <w:color w:val="auto"/>
              </w:rPr>
              <w:t>99.2</w:t>
            </w:r>
          </w:p>
        </w:tc>
        <w:tc>
          <w:tcPr>
            <w:tcW w:w="640" w:type="dxa"/>
            <w:vAlign w:val="bottom"/>
          </w:tcPr>
          <w:p>
            <w:pPr>
              <w:spacing w:after="0"/>
              <w:rPr>
                <w:sz w:val="24"/>
                <w:szCs w:val="24"/>
                <w:color w:val="auto"/>
              </w:rPr>
            </w:pPr>
          </w:p>
        </w:tc>
        <w:tc>
          <w:tcPr>
            <w:tcW w:w="970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Fiscal Q1 2022 Earnings Presentation</w:t>
              </w:r>
            </w:hyperlink>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20"/>
          </w:cols>
          <w:pgMar w:left="480" w:top="272"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772160</wp:posOffset>
            </wp:positionV>
            <wp:extent cx="6929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4862195</wp:posOffset>
            </wp:positionH>
            <wp:positionV relativeFrom="paragraph">
              <wp:posOffset>168910</wp:posOffset>
            </wp:positionV>
            <wp:extent cx="1766570" cy="483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66570"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First Quarter Fiscal 2022 Results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Record Quarterly Revenue of $1.1 Billion, up 10.6% YoY</w:t>
      </w:r>
      <w:r>
        <w:rPr>
          <w:rFonts w:ascii="Arial" w:cs="Arial" w:eastAsia="Arial" w:hAnsi="Arial"/>
          <w:sz w:val="15"/>
          <w:szCs w:val="15"/>
          <w:i w:val="1"/>
          <w:iCs w:val="1"/>
          <w:color w:val="auto"/>
        </w:rPr>
        <w:t>(2)(3)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Sales Momentum &amp; Record 12-Month Backlog of $3.8 Billion, up 9.7% YoY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Tracking at Higher End of Fiscal 2022 Outlook Range for Expected Revenue and Diluted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Earnings Per Share Growth</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Provides Outlook for Annual Revenue Growth of 6.0%-10.0% YoY</w:t>
      </w:r>
      <w:r>
        <w:rPr>
          <w:rFonts w:ascii="Arial" w:cs="Arial" w:eastAsia="Arial" w:hAnsi="Arial"/>
          <w:sz w:val="15"/>
          <w:szCs w:val="15"/>
          <w:i w:val="1"/>
          <w:iCs w:val="1"/>
          <w:color w:val="auto"/>
        </w:rPr>
        <w:t>(2)(3)</w:t>
      </w:r>
      <w:r>
        <w:rPr>
          <w:rFonts w:ascii="Arial" w:cs="Arial" w:eastAsia="Arial" w:hAnsi="Arial"/>
          <w:sz w:val="18"/>
          <w:szCs w:val="18"/>
          <w:i w:val="1"/>
          <w:iCs w:val="1"/>
          <w:color w:val="auto"/>
        </w:rPr>
        <w:t xml:space="preserve"> for Three Years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Fiscal 2022-2024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2022 Highlights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comparisons are against the prior year)</w:t>
      </w:r>
    </w:p>
    <w:p>
      <w:pPr>
        <w:spacing w:after="0" w:line="127" w:lineRule="exact"/>
        <w:rPr>
          <w:sz w:val="20"/>
          <w:szCs w:val="20"/>
          <w:color w:val="auto"/>
        </w:rPr>
      </w:pPr>
    </w:p>
    <w:p>
      <w:pPr>
        <w:ind w:left="980" w:right="380" w:hanging="438"/>
        <w:spacing w:after="0" w:line="271" w:lineRule="auto"/>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Record revenue of $1,105 million, up 10.6% on a pro forma</w:t>
      </w:r>
      <w:r>
        <w:rPr>
          <w:rFonts w:ascii="Arial" w:cs="Arial" w:eastAsia="Arial" w:hAnsi="Arial"/>
          <w:sz w:val="15"/>
          <w:szCs w:val="15"/>
          <w:color w:val="auto"/>
        </w:rPr>
        <w:t>(2)</w:t>
      </w:r>
      <w:r>
        <w:rPr>
          <w:rFonts w:ascii="Arial" w:cs="Arial" w:eastAsia="Arial" w:hAnsi="Arial"/>
          <w:sz w:val="18"/>
          <w:szCs w:val="18"/>
          <w:color w:val="auto"/>
        </w:rPr>
        <w:t xml:space="preserve"> basis in constant currency</w:t>
      </w:r>
      <w:r>
        <w:rPr>
          <w:rFonts w:ascii="Arial" w:cs="Arial" w:eastAsia="Arial" w:hAnsi="Arial"/>
          <w:sz w:val="15"/>
          <w:szCs w:val="15"/>
          <w:color w:val="auto"/>
        </w:rPr>
        <w:t>(3)</w:t>
      </w:r>
      <w:r>
        <w:rPr>
          <w:rFonts w:ascii="Arial" w:cs="Arial" w:eastAsia="Arial" w:hAnsi="Arial"/>
          <w:sz w:val="18"/>
          <w:szCs w:val="18"/>
          <w:color w:val="auto"/>
        </w:rPr>
        <w:t xml:space="preserve"> and up 1.7% as reported, including record revenue of $745 million in North America</w:t>
      </w:r>
    </w:p>
    <w:p>
      <w:pPr>
        <w:spacing w:after="0" w:line="80" w:lineRule="exact"/>
        <w:rPr>
          <w:rFonts w:ascii="Arial" w:cs="Arial" w:eastAsia="Arial" w:hAnsi="Arial"/>
          <w:sz w:val="18"/>
          <w:szCs w:val="18"/>
          <w:color w:val="auto"/>
        </w:rPr>
      </w:pPr>
    </w:p>
    <w:p>
      <w:pPr>
        <w:ind w:left="980" w:right="520" w:hanging="438"/>
        <w:spacing w:after="0" w:line="271" w:lineRule="auto"/>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diluted EPS of $1.07, above the $0.91-$0.99 guidance range, primarily due to a gain of $0.06 per share from final contingent performance-based consideration received in relation to last year’s divesture of OpenMarket</w:t>
      </w:r>
    </w:p>
    <w:p>
      <w:pPr>
        <w:spacing w:after="0" w:line="80" w:lineRule="exact"/>
        <w:rPr>
          <w:rFonts w:ascii="Arial" w:cs="Arial" w:eastAsia="Arial" w:hAnsi="Arial"/>
          <w:sz w:val="18"/>
          <w:szCs w:val="18"/>
          <w:color w:val="auto"/>
        </w:rPr>
      </w:pPr>
    </w:p>
    <w:p>
      <w:pPr>
        <w:ind w:left="980" w:hanging="438"/>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Non-GAAP diluted EPS of $1.20, at the higher end of the $1.15-$1.21 guidance range</w:t>
      </w:r>
    </w:p>
    <w:p>
      <w:pPr>
        <w:spacing w:after="0" w:line="127" w:lineRule="exact"/>
        <w:rPr>
          <w:rFonts w:ascii="Arial" w:cs="Arial" w:eastAsia="Arial" w:hAnsi="Arial"/>
          <w:sz w:val="18"/>
          <w:szCs w:val="18"/>
          <w:color w:val="auto"/>
        </w:rPr>
      </w:pPr>
    </w:p>
    <w:p>
      <w:pPr>
        <w:ind w:left="980" w:hanging="438"/>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operating income of $160 million; GAAP operating margin of 14.5%</w:t>
      </w:r>
    </w:p>
    <w:p>
      <w:pPr>
        <w:spacing w:after="0" w:line="127" w:lineRule="exact"/>
        <w:rPr>
          <w:rFonts w:ascii="Arial" w:cs="Arial" w:eastAsia="Arial" w:hAnsi="Arial"/>
          <w:sz w:val="18"/>
          <w:szCs w:val="18"/>
          <w:color w:val="auto"/>
        </w:rPr>
      </w:pPr>
    </w:p>
    <w:p>
      <w:pPr>
        <w:ind w:left="980" w:right="640" w:hanging="438"/>
        <w:spacing w:after="0" w:line="271" w:lineRule="auto"/>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Non-GAAP operating income of $194 million; non-GAAP operating margin of 17.5%, up 20 basis points while accelerating R&amp;D investments</w:t>
      </w:r>
    </w:p>
    <w:p>
      <w:pPr>
        <w:spacing w:after="0" w:line="80" w:lineRule="exact"/>
        <w:rPr>
          <w:rFonts w:ascii="Arial" w:cs="Arial" w:eastAsia="Arial" w:hAnsi="Arial"/>
          <w:sz w:val="18"/>
          <w:szCs w:val="18"/>
          <w:color w:val="auto"/>
        </w:rPr>
      </w:pPr>
    </w:p>
    <w:p>
      <w:pPr>
        <w:ind w:left="980" w:right="480" w:hanging="438"/>
        <w:spacing w:after="0" w:line="271" w:lineRule="auto"/>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Free cash flow of $147 million, reflecting healthy cash collections, and comprised of cash flow from operations of $204 million, less $57 million in net capital expenditures and other</w:t>
      </w:r>
      <w:r>
        <w:rPr>
          <w:rFonts w:ascii="Arial" w:cs="Arial" w:eastAsia="Arial" w:hAnsi="Arial"/>
          <w:sz w:val="15"/>
          <w:szCs w:val="15"/>
          <w:color w:val="auto"/>
        </w:rPr>
        <w:t>(1)</w:t>
      </w:r>
    </w:p>
    <w:p>
      <w:pPr>
        <w:spacing w:after="0" w:line="80" w:lineRule="exact"/>
        <w:rPr>
          <w:rFonts w:ascii="Arial" w:cs="Arial" w:eastAsia="Arial" w:hAnsi="Arial"/>
          <w:sz w:val="18"/>
          <w:szCs w:val="18"/>
          <w:color w:val="auto"/>
        </w:rPr>
      </w:pPr>
    </w:p>
    <w:p>
      <w:pPr>
        <w:ind w:left="980" w:hanging="438"/>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Normalized free cash flow of $186 million</w:t>
      </w:r>
      <w:r>
        <w:rPr>
          <w:rFonts w:ascii="Arial" w:cs="Arial" w:eastAsia="Arial" w:hAnsi="Arial"/>
          <w:sz w:val="15"/>
          <w:szCs w:val="15"/>
          <w:color w:val="auto"/>
        </w:rPr>
        <w:t>(1)</w:t>
      </w:r>
    </w:p>
    <w:p>
      <w:pPr>
        <w:spacing w:after="0" w:line="127" w:lineRule="exact"/>
        <w:rPr>
          <w:rFonts w:ascii="Arial" w:cs="Arial" w:eastAsia="Arial" w:hAnsi="Arial"/>
          <w:sz w:val="18"/>
          <w:szCs w:val="18"/>
          <w:color w:val="auto"/>
        </w:rPr>
      </w:pPr>
    </w:p>
    <w:p>
      <w:pPr>
        <w:ind w:left="440" w:hanging="433"/>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Please refer to the Selected Financial Metrics tables below (figures may not sum because of rounding).</w:t>
      </w:r>
    </w:p>
    <w:p>
      <w:pPr>
        <w:spacing w:after="0" w:line="19" w:lineRule="exact"/>
        <w:rPr>
          <w:rFonts w:ascii="Arial" w:cs="Arial" w:eastAsia="Arial" w:hAnsi="Arial"/>
          <w:sz w:val="18"/>
          <w:szCs w:val="18"/>
          <w:color w:val="auto"/>
        </w:rPr>
      </w:pPr>
    </w:p>
    <w:p>
      <w:pPr>
        <w:ind w:left="440" w:hanging="433"/>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 forma growth rate excludes the financial impact of OpenMarket (which was divested on December 31, 2020) from fiscal year 2021</w:t>
      </w:r>
    </w:p>
    <w:p>
      <w:pPr>
        <w:spacing w:after="0" w:line="18" w:lineRule="exact"/>
        <w:rPr>
          <w:rFonts w:ascii="Arial" w:cs="Arial" w:eastAsia="Arial" w:hAnsi="Arial"/>
          <w:sz w:val="17"/>
          <w:szCs w:val="17"/>
          <w:color w:val="auto"/>
        </w:rPr>
      </w:pPr>
    </w:p>
    <w:p>
      <w:pPr>
        <w:ind w:left="440" w:hanging="433"/>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on a constant currency basis assumes exchange rates in the current period were unchanged from the prior period</w:t>
      </w:r>
    </w:p>
    <w:p>
      <w:pPr>
        <w:spacing w:after="0" w:line="6" w:lineRule="exact"/>
        <w:rPr>
          <w:rFonts w:ascii="Arial" w:cs="Arial" w:eastAsia="Arial" w:hAnsi="Arial"/>
          <w:sz w:val="18"/>
          <w:szCs w:val="18"/>
          <w:color w:val="auto"/>
        </w:rPr>
      </w:pPr>
    </w:p>
    <w:p>
      <w:pPr>
        <w:ind w:left="440" w:right="340" w:hanging="433"/>
        <w:spacing w:after="0" w:line="256"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GAAP excludes the gain from the sale of OpenMarket, which was divested on December 31, 2020, from the current and comparable fiscal years</w:t>
      </w:r>
    </w:p>
    <w:p>
      <w:pPr>
        <w:sectPr>
          <w:pgSz w:w="11900" w:h="16838" w:orient="portrait"/>
          <w:cols w:equalWidth="0" w:num="1">
            <w:col w:w="10920"/>
          </w:cols>
          <w:pgMar w:left="480" w:top="121" w:right="499" w:bottom="1440" w:gutter="0" w:footer="0" w:header="0"/>
        </w:sectPr>
      </w:pPr>
    </w:p>
    <w:bookmarkStart w:id="4" w:name="page5"/>
    <w:bookmarkEnd w:id="4"/>
    <w:p>
      <w:pPr>
        <w:ind w:left="980" w:hanging="43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Repurchased $171 million of ordinary shares during the first fiscal quarter, up $31 million sequentially</w:t>
      </w:r>
    </w:p>
    <w:p>
      <w:pPr>
        <w:spacing w:after="0" w:line="127" w:lineRule="exact"/>
        <w:rPr>
          <w:rFonts w:ascii="Arial" w:cs="Arial" w:eastAsia="Arial" w:hAnsi="Arial"/>
          <w:sz w:val="18"/>
          <w:szCs w:val="18"/>
          <w:color w:val="auto"/>
        </w:rPr>
      </w:pPr>
    </w:p>
    <w:p>
      <w:pPr>
        <w:ind w:left="980" w:right="260" w:hanging="438"/>
        <w:spacing w:after="0" w:line="271"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twelve-month backlog of $3.83 billion, up approximately $140 million sequentially and up 9.7% as compared to last year’s first fiscal quarter</w:t>
      </w:r>
    </w:p>
    <w:p>
      <w:pPr>
        <w:spacing w:after="0" w:line="17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JERSEY CITY, NJ – February 1, 2022 </w:t>
      </w:r>
      <w:r>
        <w:rPr>
          <w:rFonts w:ascii="Arial" w:cs="Arial" w:eastAsia="Arial" w:hAnsi="Arial"/>
          <w:sz w:val="18"/>
          <w:szCs w:val="18"/>
          <w:color w:val="auto"/>
        </w:rPr>
        <w:t>– Amdocs Limited (NASDAQ: DOX), a leading provider of software and services to communications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media companies, today reported operating results for the three months ended December 31, 2021.</w:t>
      </w:r>
    </w:p>
    <w:p>
      <w:pPr>
        <w:spacing w:after="0" w:line="172"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“We have made a great start to fiscal year 2022. Record revenue was up 10.6% on a pro forma</w:t>
      </w:r>
      <w:r>
        <w:rPr>
          <w:rFonts w:ascii="Arial" w:cs="Arial" w:eastAsia="Arial" w:hAnsi="Arial"/>
          <w:sz w:val="13"/>
          <w:szCs w:val="13"/>
          <w:color w:val="auto"/>
        </w:rPr>
        <w:t>(2)</w:t>
      </w:r>
      <w:r>
        <w:rPr>
          <w:rFonts w:ascii="Arial" w:cs="Arial" w:eastAsia="Arial" w:hAnsi="Arial"/>
          <w:sz w:val="16"/>
          <w:szCs w:val="16"/>
          <w:color w:val="auto"/>
        </w:rPr>
        <w:t xml:space="preserve"> constant currency</w:t>
      </w:r>
      <w:r>
        <w:rPr>
          <w:rFonts w:ascii="Arial" w:cs="Arial" w:eastAsia="Arial" w:hAnsi="Arial"/>
          <w:sz w:val="13"/>
          <w:szCs w:val="13"/>
          <w:color w:val="auto"/>
        </w:rPr>
        <w:t>(3)</w:t>
      </w:r>
      <w:r>
        <w:rPr>
          <w:rFonts w:ascii="Arial" w:cs="Arial" w:eastAsia="Arial" w:hAnsi="Arial"/>
          <w:sz w:val="16"/>
          <w:szCs w:val="16"/>
          <w:color w:val="auto"/>
        </w:rPr>
        <w:t xml:space="preserve"> basis from a year ago, driven by our best-ever quarter in North America. Our strategy to deliver market-leading innovation designed to meet the industry’s need for digital modernization, 5G monetization, journey to the cloud and network automation is continuously gaining traction. Strong first quarter sales momentum included notable awards with long-standing customers and several new logos which altogether translated to record twelve-month backlog of</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$3.83 billion, up 9.7% from a year ago. Additionally, we are pleased to announce the acquisition of DevOpsGroup, a boutique UK-based cloud company which complements the high-end expertise of Amdocs’ Sourced Group by bringing specialist engineering, consultancy and training services for enterprises implementing cloud and DevOps” said Shuky Sheffer, president and chief executive officer of Amdocs Management Limited.</w:t>
      </w:r>
    </w:p>
    <w:p>
      <w:pPr>
        <w:spacing w:after="0" w:line="158"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“Amdocs is well-known for exceptional project delivery and we demonstrated this in Q1 with another record number of deployment milestones achieved for our customers. Quarterly invoicing levels and cash collections were healthy, which supported a robust level of free cash flow generation. Demonstrating our confidence in the future success of Amdocs, we also accelerated our buyback activity on a sequential basis in Q1,” said Tamar Rapaport-Dagim, chief financial officer &amp; chief operating officer of Amdocs Management Limited.</w:t>
      </w:r>
    </w:p>
    <w:p>
      <w:pPr>
        <w:sectPr>
          <w:pgSz w:w="11900" w:h="16838" w:orient="portrait"/>
          <w:cols w:equalWidth="0" w:num="1">
            <w:col w:w="10900"/>
          </w:cols>
          <w:pgMar w:left="480" w:top="272" w:right="519" w:bottom="1440" w:gutter="0" w:footer="0" w:header="0"/>
        </w:sectPr>
      </w:pPr>
    </w:p>
    <w:bookmarkStart w:id="5" w:name="page6"/>
    <w:bookmarkEnd w:id="5"/>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Sheffer concluded, “Encouraged by our strong momentum, we believe revenue growth is tracking at the higher-end of our 6.0% to 10.0% guidance range for the full year fiscal 2022 on a pro forma</w:t>
      </w:r>
      <w:r>
        <w:rPr>
          <w:rFonts w:ascii="Arial" w:cs="Arial" w:eastAsia="Arial" w:hAnsi="Arial"/>
          <w:sz w:val="14"/>
          <w:szCs w:val="14"/>
          <w:color w:val="auto"/>
        </w:rPr>
        <w:t>(2)</w:t>
      </w:r>
      <w:r>
        <w:rPr>
          <w:rFonts w:ascii="Arial" w:cs="Arial" w:eastAsia="Arial" w:hAnsi="Arial"/>
          <w:sz w:val="17"/>
          <w:szCs w:val="17"/>
          <w:color w:val="auto"/>
        </w:rPr>
        <w:t>, constant currency</w:t>
      </w:r>
      <w:r>
        <w:rPr>
          <w:rFonts w:ascii="Arial" w:cs="Arial" w:eastAsia="Arial" w:hAnsi="Arial"/>
          <w:sz w:val="14"/>
          <w:szCs w:val="14"/>
          <w:color w:val="auto"/>
        </w:rPr>
        <w:t>(3)</w:t>
      </w:r>
      <w:r>
        <w:rPr>
          <w:rFonts w:ascii="Arial" w:cs="Arial" w:eastAsia="Arial" w:hAnsi="Arial"/>
          <w:sz w:val="17"/>
          <w:szCs w:val="17"/>
          <w:color w:val="auto"/>
        </w:rPr>
        <w:t xml:space="preserve"> basis, while delivering healthy operating profitability and strong cash flow generation. Furthermore, we are also projecting annual revenue growth of 6.0% to 10% constant currency</w:t>
      </w:r>
      <w:r>
        <w:rPr>
          <w:rFonts w:ascii="Arial" w:cs="Arial" w:eastAsia="Arial" w:hAnsi="Arial"/>
          <w:sz w:val="14"/>
          <w:szCs w:val="14"/>
          <w:color w:val="auto"/>
        </w:rPr>
        <w:t>(3)</w:t>
      </w:r>
      <w:r>
        <w:rPr>
          <w:rFonts w:ascii="Arial" w:cs="Arial" w:eastAsia="Arial" w:hAnsi="Arial"/>
          <w:sz w:val="17"/>
          <w:szCs w:val="17"/>
          <w:color w:val="auto"/>
        </w:rPr>
        <w:t xml:space="preserve"> in fiscal years 2023 and 2024. Our confidence in this long-term outlook is founded on our market leading position and the durability of Amdocs’ unique business model. Moreover, we have growing visibility to a large and expanding pipeline of opportunities that we are strategically well positioned to monetize by bringing cutting edge technology and impeccable execution to address our customers’ needs.”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comparisons are against the prior year period)</w:t>
      </w:r>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140"/>
        </w:trPr>
        <w:tc>
          <w:tcPr>
            <w:tcW w:w="6140" w:type="dxa"/>
            <w:vAlign w:val="bottom"/>
          </w:tcPr>
          <w:p>
            <w:pPr>
              <w:spacing w:after="0"/>
              <w:rPr>
                <w:sz w:val="12"/>
                <w:szCs w:val="12"/>
                <w:color w:val="auto"/>
              </w:rPr>
            </w:pPr>
          </w:p>
        </w:tc>
        <w:tc>
          <w:tcPr>
            <w:tcW w:w="2100" w:type="dxa"/>
            <w:vAlign w:val="bottom"/>
            <w:tcBorders>
              <w:top w:val="single" w:sz="8" w:color="auto"/>
              <w:bottom w:val="single" w:sz="8" w:color="auto"/>
            </w:tcBorders>
            <w:gridSpan w:val="4"/>
          </w:tcPr>
          <w:p>
            <w:pPr>
              <w:jc w:val="center"/>
              <w:spacing w:after="0" w:line="141" w:lineRule="exact"/>
              <w:rPr>
                <w:sz w:val="20"/>
                <w:szCs w:val="20"/>
                <w:color w:val="auto"/>
              </w:rPr>
            </w:pPr>
            <w:r>
              <w:rPr>
                <w:rFonts w:ascii="Arial" w:cs="Arial" w:eastAsia="Arial" w:hAnsi="Arial"/>
                <w:sz w:val="14"/>
                <w:szCs w:val="14"/>
                <w:b w:val="1"/>
                <w:bCs w:val="1"/>
                <w:color w:val="auto"/>
                <w:w w:val="91"/>
              </w:rPr>
              <w:t>Three months ended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140" w:type="dxa"/>
            <w:vAlign w:val="bottom"/>
          </w:tcPr>
          <w:p>
            <w:pPr>
              <w:spacing w:after="0"/>
              <w:rPr>
                <w:sz w:val="12"/>
                <w:szCs w:val="12"/>
                <w:color w:val="auto"/>
              </w:rPr>
            </w:pPr>
          </w:p>
        </w:tc>
        <w:tc>
          <w:tcPr>
            <w:tcW w:w="2100" w:type="dxa"/>
            <w:vAlign w:val="bottom"/>
            <w:tcBorders>
              <w:bottom w:val="single" w:sz="8" w:color="auto"/>
            </w:tcBorders>
            <w:gridSpan w:val="4"/>
          </w:tcPr>
          <w:p>
            <w:pPr>
              <w:jc w:val="center"/>
              <w:spacing w:after="0" w:line="141" w:lineRule="exact"/>
              <w:rPr>
                <w:sz w:val="20"/>
                <w:szCs w:val="20"/>
                <w:color w:val="auto"/>
              </w:rPr>
            </w:pPr>
            <w:r>
              <w:rPr>
                <w:rFonts w:ascii="Arial" w:cs="Arial" w:eastAsia="Arial" w:hAnsi="Arial"/>
                <w:sz w:val="14"/>
                <w:szCs w:val="14"/>
                <w:b w:val="1"/>
                <w:bCs w:val="1"/>
                <w:color w:val="auto"/>
                <w:w w:val="90"/>
              </w:rPr>
              <w:t>December 31, 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14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Actual</w:t>
            </w:r>
          </w:p>
        </w:tc>
        <w:tc>
          <w:tcPr>
            <w:tcW w:w="32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8"/>
              </w:rPr>
              <w:t>Previous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Guidance</w:t>
            </w:r>
          </w:p>
        </w:tc>
        <w:tc>
          <w:tcPr>
            <w:tcW w:w="0" w:type="dxa"/>
            <w:vAlign w:val="bottom"/>
          </w:tcPr>
          <w:p>
            <w:pPr>
              <w:spacing w:after="0"/>
              <w:rPr>
                <w:sz w:val="1"/>
                <w:szCs w:val="1"/>
                <w:color w:val="auto"/>
              </w:rPr>
            </w:pPr>
          </w:p>
        </w:tc>
      </w:tr>
      <w:tr>
        <w:trPr>
          <w:trHeight w:val="207"/>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$1,105</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$1,080- $1,120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40" w:type="dxa"/>
            <w:vAlign w:val="bottom"/>
          </w:tcPr>
          <w:p>
            <w:pPr>
              <w:spacing w:after="0"/>
              <w:rPr>
                <w:sz w:val="20"/>
                <w:szCs w:val="20"/>
                <w:color w:val="auto"/>
              </w:rPr>
            </w:pPr>
            <w:r>
              <w:rPr>
                <w:rFonts w:ascii="Arial" w:cs="Arial" w:eastAsia="Arial" w:hAnsi="Arial"/>
                <w:sz w:val="18"/>
                <w:szCs w:val="18"/>
                <w:color w:val="auto"/>
              </w:rPr>
              <w:t>Revenue growth, as reported</w:t>
            </w:r>
            <w:r>
              <w:rPr>
                <w:rFonts w:ascii="Arial" w:cs="Arial" w:eastAsia="Arial" w:hAnsi="Arial"/>
                <w:sz w:val="15"/>
                <w:szCs w:val="15"/>
                <w:color w:val="auto"/>
              </w:rPr>
              <w:t>(a)</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r>
              <w:rPr>
                <w:rFonts w:ascii="Arial" w:cs="Arial" w:eastAsia="Arial" w:hAnsi="Arial"/>
                <w:sz w:val="15"/>
                <w:szCs w:val="15"/>
                <w:color w:val="auto"/>
              </w:rPr>
              <w:t>(2)</w:t>
            </w:r>
            <w:r>
              <w:rPr>
                <w:rFonts w:ascii="Arial" w:cs="Arial" w:eastAsia="Arial" w:hAnsi="Arial"/>
                <w:sz w:val="18"/>
                <w:szCs w:val="18"/>
                <w:color w:val="auto"/>
              </w:rPr>
              <w:t xml:space="preserve"> revenue growth, constant currency</w:t>
            </w:r>
            <w:r>
              <w:rPr>
                <w:rFonts w:ascii="Arial" w:cs="Arial" w:eastAsia="Arial" w:hAnsi="Arial"/>
                <w:sz w:val="15"/>
                <w:szCs w:val="15"/>
                <w:color w:val="auto"/>
              </w:rPr>
              <w:t>(3)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980" w:right="300" w:hanging="438"/>
        <w:spacing w:after="0" w:line="27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for the first fiscal quarter of 2022 was above the midpoint of Amdocs’ guidance, despite an unfavorable impact from foreign currency movements of approximately $2 million compared to our guidance assumptions</w:t>
      </w:r>
    </w:p>
    <w:p>
      <w:pPr>
        <w:spacing w:after="0" w:line="80" w:lineRule="exact"/>
        <w:rPr>
          <w:rFonts w:ascii="Arial" w:cs="Arial" w:eastAsia="Arial" w:hAnsi="Arial"/>
          <w:sz w:val="18"/>
          <w:szCs w:val="18"/>
          <w:color w:val="auto"/>
        </w:rPr>
      </w:pPr>
    </w:p>
    <w:p>
      <w:pPr>
        <w:ind w:left="980" w:hanging="438"/>
        <w:spacing w:after="0" w:line="27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for the first fiscal quarter of 2022 includes an unfavorable impact from foreign currency movements of approximately $4 million relative to the fourth quarter of fiscal 2021</w:t>
      </w:r>
    </w:p>
    <w:p>
      <w:pPr>
        <w:sectPr>
          <w:pgSz w:w="11900" w:h="16838" w:orient="portrait"/>
          <w:cols w:equalWidth="0" w:num="1">
            <w:col w:w="10820"/>
          </w:cols>
          <w:pgMar w:left="480" w:top="272" w:right="5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Net Income and Earnings Per Share</w:t>
      </w:r>
    </w:p>
    <w:p>
      <w:pPr>
        <w:spacing w:after="0" w:line="10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9"/>
              </w:rPr>
              <w:t>In thousands, except per share</w:t>
            </w:r>
          </w:p>
        </w:tc>
      </w:tr>
      <w:tr>
        <w:trPr>
          <w:trHeight w:val="147"/>
        </w:trPr>
        <w:tc>
          <w:tcPr>
            <w:tcW w:w="40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7"/>
              </w:rPr>
              <w:t>data</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40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5"/>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Three months ended</w:t>
            </w:r>
          </w:p>
        </w:tc>
      </w:tr>
      <w:tr>
        <w:trPr>
          <w:trHeight w:val="170"/>
        </w:trPr>
        <w:tc>
          <w:tcPr>
            <w:tcW w:w="40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0"/>
        </w:trPr>
        <w:tc>
          <w:tcPr>
            <w:tcW w:w="406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9"/>
              <w:spacing w:after="0" w:line="141"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(a)</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4"/>
              <w:spacing w:after="0" w:line="141" w:lineRule="exact"/>
              <w:rPr>
                <w:sz w:val="20"/>
                <w:szCs w:val="20"/>
                <w:color w:val="auto"/>
              </w:rPr>
            </w:pPr>
            <w:r>
              <w:rPr>
                <w:rFonts w:ascii="Arial" w:cs="Arial" w:eastAsia="Arial" w:hAnsi="Arial"/>
                <w:sz w:val="14"/>
                <w:szCs w:val="14"/>
                <w:b w:val="1"/>
                <w:bCs w:val="1"/>
                <w:color w:val="auto"/>
                <w:w w:val="83"/>
              </w:rPr>
              <w:t>2020</w:t>
            </w:r>
          </w:p>
        </w:tc>
        <w:tc>
          <w:tcPr>
            <w:tcW w:w="40" w:type="dxa"/>
            <w:vAlign w:val="bottom"/>
            <w:tcBorders>
              <w:bottom w:val="single" w:sz="8" w:color="CCEEFF"/>
            </w:tcBorders>
          </w:tcPr>
          <w:p>
            <w:pPr>
              <w:spacing w:after="0"/>
              <w:rPr>
                <w:sz w:val="12"/>
                <w:szCs w:val="12"/>
                <w:color w:val="auto"/>
              </w:rPr>
            </w:pPr>
          </w:p>
        </w:tc>
      </w:tr>
      <w:tr>
        <w:trPr>
          <w:trHeight w:val="194"/>
        </w:trPr>
        <w:tc>
          <w:tcPr>
            <w:tcW w:w="40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GAAP Measures</w:t>
            </w:r>
          </w:p>
        </w:tc>
        <w:tc>
          <w:tcPr>
            <w:tcW w:w="2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4"/>
        </w:trPr>
        <w:tc>
          <w:tcPr>
            <w:tcW w:w="4060" w:type="dxa"/>
            <w:vAlign w:val="bottom"/>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133,602</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299,632</w:t>
            </w: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r>
      <w:tr>
        <w:trPr>
          <w:trHeight w:val="214"/>
        </w:trPr>
        <w:tc>
          <w:tcPr>
            <w:tcW w:w="4060" w:type="dxa"/>
            <w:vAlign w:val="bottom"/>
          </w:tcPr>
          <w:p>
            <w:pPr>
              <w:spacing w:after="0"/>
              <w:rPr>
                <w:sz w:val="20"/>
                <w:szCs w:val="20"/>
                <w:color w:val="auto"/>
              </w:rPr>
            </w:pPr>
            <w:r>
              <w:rPr>
                <w:rFonts w:ascii="Arial" w:cs="Arial" w:eastAsia="Arial" w:hAnsi="Arial"/>
                <w:sz w:val="18"/>
                <w:szCs w:val="18"/>
                <w:b w:val="1"/>
                <w:bCs w:val="1"/>
                <w:color w:val="auto"/>
              </w:rPr>
              <w:t>Non-GAAP Measures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150,135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152,972</w:t>
            </w:r>
          </w:p>
        </w:tc>
      </w:tr>
      <w:tr>
        <w:trPr>
          <w:trHeight w:val="227"/>
        </w:trPr>
        <w:tc>
          <w:tcPr>
            <w:tcW w:w="40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r>
    </w:tbl>
    <w:p>
      <w:pPr>
        <w:spacing w:after="0" w:line="93" w:lineRule="exact"/>
        <w:rPr>
          <w:sz w:val="20"/>
          <w:szCs w:val="20"/>
          <w:color w:val="auto"/>
        </w:rPr>
      </w:pPr>
    </w:p>
    <w:p>
      <w:pPr>
        <w:ind w:left="980" w:right="100" w:hanging="438"/>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net income excludes amortization of purchased intangible assets and other acquisition-related costs, changes in certain acquisition related liabilities measured at fair value, equity-based compensation expenses, gain from divestiture of OpenMarket and other, net of related tax effects, in all the periods presented</w:t>
      </w:r>
    </w:p>
    <w:p>
      <w:pPr>
        <w:spacing w:after="0" w:line="92" w:lineRule="exact"/>
        <w:rPr>
          <w:rFonts w:ascii="Arial" w:cs="Arial" w:eastAsia="Arial" w:hAnsi="Arial"/>
          <w:sz w:val="18"/>
          <w:szCs w:val="18"/>
          <w:color w:val="auto"/>
        </w:rPr>
      </w:pPr>
    </w:p>
    <w:p>
      <w:pPr>
        <w:ind w:left="980" w:right="200" w:hanging="438"/>
        <w:spacing w:after="0" w:line="27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first quarter of 2022 and 2021, the GAAP net income includes a gain from divestiture of OpenMarket, net of related tax effects, at the amount of $0.06 and $1.42 per share, respectively, which is excluded from the Non-GAAP net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of the reconciliation of selected financial metrics from GAAP to Non-GAAP, please refer to the tables below.</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 M&amp;A Investments &amp; Returning Cash to Shareholders</w:t>
      </w:r>
    </w:p>
    <w:p>
      <w:pPr>
        <w:spacing w:after="0" w:line="131" w:lineRule="exact"/>
        <w:rPr>
          <w:sz w:val="20"/>
          <w:szCs w:val="20"/>
          <w:color w:val="auto"/>
        </w:rPr>
      </w:pPr>
    </w:p>
    <w:p>
      <w:pPr>
        <w:ind w:left="980" w:hanging="438"/>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M&amp;A Activity: </w:t>
      </w:r>
      <w:r>
        <w:rPr>
          <w:rFonts w:ascii="Arial" w:cs="Arial" w:eastAsia="Arial" w:hAnsi="Arial"/>
          <w:sz w:val="18"/>
          <w:szCs w:val="18"/>
          <w:color w:val="auto"/>
        </w:rPr>
        <w:t>As previously announced, on October 1, 2021, Amdocs completed the acquisition of Roam Digital, a digital consultancy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agency in Southeast Asia Pacific, for a net consideration of $28 million in cash; on November 15, 2021, Amdocs completed the acquisition of DevOps Group, a cloud consultancy agency in Europe, for a net consideration of $26 million</w:t>
      </w:r>
    </w:p>
    <w:p>
      <w:pPr>
        <w:spacing w:after="0" w:line="92" w:lineRule="exact"/>
        <w:rPr>
          <w:rFonts w:ascii="Arial" w:cs="Arial" w:eastAsia="Arial" w:hAnsi="Arial"/>
          <w:sz w:val="18"/>
          <w:szCs w:val="18"/>
          <w:color w:val="auto"/>
        </w:rPr>
      </w:pPr>
    </w:p>
    <w:p>
      <w:pPr>
        <w:jc w:val="both"/>
        <w:ind w:left="980" w:right="20" w:hanging="438"/>
        <w:spacing w:after="0" w:line="307"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Quarterly Cash Dividend Program: </w:t>
      </w:r>
      <w:r>
        <w:rPr>
          <w:rFonts w:ascii="Arial" w:cs="Arial" w:eastAsia="Arial" w:hAnsi="Arial"/>
          <w:sz w:val="16"/>
          <w:szCs w:val="16"/>
          <w:color w:val="auto"/>
        </w:rPr>
        <w:t>On February 1, 2022, the Board approved the Company’s next quarterly cash dividend payment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 increased rate of $0.395 per share, as approved at the January 2022 annual general meeting of shareholders and set March 31, 2022 as the record date for determining the shareholders entitled to receive the dividend, which will be payable on April 29, 2022</w:t>
      </w:r>
    </w:p>
    <w:p>
      <w:pPr>
        <w:sectPr>
          <w:pgSz w:w="11900" w:h="16838" w:orient="portrait"/>
          <w:cols w:equalWidth="0" w:num="1">
            <w:col w:w="10900"/>
          </w:cols>
          <w:pgMar w:left="480" w:top="268" w:right="519" w:bottom="1440" w:gutter="0" w:footer="0" w:header="0"/>
        </w:sectPr>
      </w:pPr>
    </w:p>
    <w:bookmarkStart w:id="7" w:name="page8"/>
    <w:bookmarkEnd w:id="7"/>
    <w:p>
      <w:pPr>
        <w:ind w:left="980" w:hanging="43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Share Repurchase Activity: </w:t>
      </w:r>
      <w:r>
        <w:rPr>
          <w:rFonts w:ascii="Arial" w:cs="Arial" w:eastAsia="Arial" w:hAnsi="Arial"/>
          <w:sz w:val="18"/>
          <w:szCs w:val="18"/>
          <w:color w:val="auto"/>
        </w:rPr>
        <w:t>Repurchased $171 million of ordinary shares during the first quarter of fiscal 2022</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Twelve-month Backlog</w:t>
      </w:r>
    </w:p>
    <w:p>
      <w:pPr>
        <w:spacing w:after="0" w:line="11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Twelve-month backlog was a record $3.83 billion at the end of the first quarter of fiscal 2022, up approximately 9.7% as compared to last year’s first fiscal quarter. Twelve-month backlog includes anticipated revenue related to contracts, estimated revenue from managed services contracts, letters of intent, maintenance and estimated on-going support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2022 Outlook</w:t>
      </w:r>
    </w:p>
    <w:p>
      <w:pPr>
        <w:spacing w:after="0" w:line="109"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In millions, except per share data</w:t>
            </w:r>
          </w:p>
        </w:tc>
      </w:tr>
      <w:tr>
        <w:trPr>
          <w:trHeight w:val="170"/>
        </w:trPr>
        <w:tc>
          <w:tcPr>
            <w:tcW w:w="5320" w:type="dxa"/>
            <w:vAlign w:val="bottom"/>
          </w:tcPr>
          <w:p>
            <w:pPr>
              <w:spacing w:after="0"/>
              <w:rPr>
                <w:sz w:val="14"/>
                <w:szCs w:val="14"/>
                <w:color w:val="auto"/>
              </w:rPr>
            </w:pPr>
          </w:p>
        </w:tc>
        <w:tc>
          <w:tcPr>
            <w:tcW w:w="2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Q2 2022</w:t>
            </w:r>
          </w:p>
        </w:tc>
      </w:tr>
      <w:tr>
        <w:trPr>
          <w:trHeight w:val="207"/>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$1,110-$1,150</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5320" w:type="dxa"/>
            <w:vAlign w:val="bottom"/>
          </w:tcPr>
          <w:p>
            <w:pPr>
              <w:spacing w:after="0"/>
              <w:rPr>
                <w:sz w:val="20"/>
                <w:szCs w:val="20"/>
                <w:color w:val="auto"/>
              </w:rPr>
            </w:pPr>
            <w:r>
              <w:rPr>
                <w:rFonts w:ascii="Arial" w:cs="Arial" w:eastAsia="Arial" w:hAnsi="Arial"/>
                <w:sz w:val="18"/>
                <w:szCs w:val="18"/>
                <w:color w:val="auto"/>
              </w:rPr>
              <w:t>GAAP diluted EPS</w:t>
            </w: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$0.96-$1.04</w:t>
            </w:r>
          </w:p>
        </w:tc>
      </w:tr>
      <w:tr>
        <w:trPr>
          <w:trHeight w:val="214"/>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$1.22-$1.28</w:t>
            </w:r>
          </w:p>
        </w:tc>
      </w:tr>
    </w:tbl>
    <w:p>
      <w:pPr>
        <w:spacing w:after="0" w:line="106" w:lineRule="exact"/>
        <w:rPr>
          <w:sz w:val="20"/>
          <w:szCs w:val="20"/>
          <w:color w:val="auto"/>
        </w:rPr>
      </w:pPr>
    </w:p>
    <w:p>
      <w:pPr>
        <w:ind w:left="980" w:right="80" w:hanging="438"/>
        <w:spacing w:after="0" w:line="27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Second quarter revenue guidance assumes approximately $2 million sequential unfavorable impact from foreign currency fluctuations as compared to the first quarter of fiscal 2022</w:t>
      </w:r>
    </w:p>
    <w:p>
      <w:pPr>
        <w:spacing w:after="0" w:line="80" w:lineRule="exact"/>
        <w:rPr>
          <w:rFonts w:ascii="Arial" w:cs="Arial" w:eastAsia="Arial" w:hAnsi="Arial"/>
          <w:sz w:val="18"/>
          <w:szCs w:val="18"/>
          <w:color w:val="auto"/>
        </w:rPr>
      </w:pPr>
    </w:p>
    <w:p>
      <w:pPr>
        <w:ind w:left="980" w:hanging="438"/>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Second quarter non-GAAP diluted EPS guidance excludes amortization of purchased intangible assets and other acquisition-related costs, changes in certain acquisitions related liabilities measured at fair value, and approximately $0.11-$0.13 per share of equity-based compensation expense, net of related tax effects</w:t>
      </w:r>
    </w:p>
    <w:p>
      <w:pPr>
        <w:sectPr>
          <w:pgSz w:w="11900" w:h="16838" w:orient="portrait"/>
          <w:cols w:equalWidth="0" w:num="1">
            <w:col w:w="10800"/>
          </w:cols>
          <w:pgMar w:left="480" w:top="272" w:right="6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Full Year Fiscal 2022 Outlook</w:t>
      </w:r>
    </w:p>
    <w:p>
      <w:pPr>
        <w:spacing w:after="0" w:line="243"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FY 2022, year-over-year growth</w:t>
            </w:r>
          </w:p>
        </w:tc>
      </w:tr>
      <w:tr>
        <w:trPr>
          <w:trHeight w:val="140"/>
        </w:trPr>
        <w:tc>
          <w:tcPr>
            <w:tcW w:w="5380" w:type="dxa"/>
            <w:vAlign w:val="bottom"/>
          </w:tcPr>
          <w:p>
            <w:pPr>
              <w:spacing w:after="0"/>
              <w:rPr>
                <w:sz w:val="12"/>
                <w:szCs w:val="12"/>
                <w:color w:val="auto"/>
              </w:rPr>
            </w:pPr>
          </w:p>
        </w:tc>
        <w:tc>
          <w:tcPr>
            <w:tcW w:w="1580" w:type="dxa"/>
            <w:vAlign w:val="bottom"/>
            <w:gridSpan w:val="2"/>
          </w:tcPr>
          <w:p>
            <w:pPr>
              <w:ind w:left="100"/>
              <w:spacing w:after="0" w:line="141" w:lineRule="exact"/>
              <w:rPr>
                <w:sz w:val="20"/>
                <w:szCs w:val="20"/>
                <w:color w:val="auto"/>
              </w:rPr>
            </w:pPr>
            <w:r>
              <w:rPr>
                <w:rFonts w:ascii="Arial" w:cs="Arial" w:eastAsia="Arial" w:hAnsi="Arial"/>
                <w:sz w:val="14"/>
                <w:szCs w:val="14"/>
                <w:b w:val="1"/>
                <w:bCs w:val="1"/>
                <w:color w:val="auto"/>
              </w:rPr>
              <w:t>Current Guidance</w:t>
            </w:r>
          </w:p>
        </w:tc>
        <w:tc>
          <w:tcPr>
            <w:tcW w:w="1320" w:type="dxa"/>
            <w:vAlign w:val="bottom"/>
          </w:tcPr>
          <w:p>
            <w:pPr>
              <w:ind w:left="80"/>
              <w:spacing w:after="0" w:line="141" w:lineRule="exact"/>
              <w:rPr>
                <w:sz w:val="20"/>
                <w:szCs w:val="20"/>
                <w:color w:val="auto"/>
              </w:rPr>
            </w:pPr>
            <w:r>
              <w:rPr>
                <w:rFonts w:ascii="Arial" w:cs="Arial" w:eastAsia="Arial" w:hAnsi="Arial"/>
                <w:sz w:val="14"/>
                <w:szCs w:val="14"/>
                <w:b w:val="1"/>
                <w:bCs w:val="1"/>
                <w:color w:val="auto"/>
                <w:w w:val="96"/>
              </w:rPr>
              <w:t>Previous Guidance</w:t>
            </w:r>
          </w:p>
        </w:tc>
      </w:tr>
      <w:tr>
        <w:trPr>
          <w:trHeight w:val="207"/>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growth, as reported</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3.4%-7.4%</w:t>
            </w: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3.7%-7.7%</w:t>
            </w:r>
          </w:p>
        </w:tc>
      </w:tr>
      <w:tr>
        <w:trPr>
          <w:trHeight w:val="214"/>
        </w:trPr>
        <w:tc>
          <w:tcPr>
            <w:tcW w:w="5380" w:type="dxa"/>
            <w:vAlign w:val="bottom"/>
          </w:tcPr>
          <w:p>
            <w:pPr>
              <w:spacing w:after="0"/>
              <w:rPr>
                <w:sz w:val="20"/>
                <w:szCs w:val="20"/>
                <w:color w:val="auto"/>
              </w:rPr>
            </w:pPr>
            <w:r>
              <w:rPr>
                <w:rFonts w:ascii="Arial" w:cs="Arial" w:eastAsia="Arial" w:hAnsi="Arial"/>
                <w:sz w:val="18"/>
                <w:szCs w:val="18"/>
                <w:color w:val="auto"/>
              </w:rPr>
              <w:t>Pro forma</w:t>
            </w:r>
            <w:r>
              <w:rPr>
                <w:rFonts w:ascii="Arial" w:cs="Arial" w:eastAsia="Arial" w:hAnsi="Arial"/>
                <w:sz w:val="15"/>
                <w:szCs w:val="15"/>
                <w:color w:val="auto"/>
              </w:rPr>
              <w:t>(2)</w:t>
            </w:r>
            <w:r>
              <w:rPr>
                <w:rFonts w:ascii="Arial" w:cs="Arial" w:eastAsia="Arial" w:hAnsi="Arial"/>
                <w:sz w:val="18"/>
                <w:szCs w:val="18"/>
                <w:color w:val="auto"/>
              </w:rPr>
              <w:t xml:space="preserve"> revenue growth, constant currency</w:t>
            </w:r>
            <w:r>
              <w:rPr>
                <w:rFonts w:ascii="Arial" w:cs="Arial" w:eastAsia="Arial" w:hAnsi="Arial"/>
                <w:sz w:val="15"/>
                <w:szCs w:val="15"/>
                <w:color w:val="auto"/>
              </w:rPr>
              <w:t>(3)</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6.0%-10.0%</w:t>
            </w:r>
          </w:p>
        </w:tc>
        <w:tc>
          <w:tcPr>
            <w:tcW w:w="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6.0%-10.0%</w:t>
            </w:r>
          </w:p>
        </w:tc>
      </w:tr>
      <w:tr>
        <w:trPr>
          <w:trHeight w:val="214"/>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GAAP diluted EPS growth</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(23.0)%-(17.5)%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(23.0)%-(17.5)%</w:t>
            </w:r>
          </w:p>
        </w:tc>
      </w:tr>
      <w:tr>
        <w:trPr>
          <w:trHeight w:val="214"/>
        </w:trPr>
        <w:tc>
          <w:tcPr>
            <w:tcW w:w="5380" w:type="dxa"/>
            <w:vAlign w:val="bottom"/>
          </w:tcPr>
          <w:p>
            <w:pPr>
              <w:spacing w:after="0"/>
              <w:rPr>
                <w:sz w:val="20"/>
                <w:szCs w:val="20"/>
                <w:color w:val="auto"/>
              </w:rPr>
            </w:pPr>
            <w:r>
              <w:rPr>
                <w:rFonts w:ascii="Arial" w:cs="Arial" w:eastAsia="Arial" w:hAnsi="Arial"/>
                <w:sz w:val="18"/>
                <w:szCs w:val="18"/>
                <w:color w:val="auto"/>
              </w:rPr>
              <w:t>Adjusted GAAP diluted EPS growth</w:t>
            </w:r>
            <w:r>
              <w:rPr>
                <w:rFonts w:ascii="Arial" w:cs="Arial" w:eastAsia="Arial" w:hAnsi="Arial"/>
                <w:sz w:val="15"/>
                <w:szCs w:val="15"/>
                <w:color w:val="auto"/>
              </w:rPr>
              <w:t>(4)</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6.0%-13.0%</w:t>
            </w:r>
          </w:p>
        </w:tc>
        <w:tc>
          <w:tcPr>
            <w:tcW w:w="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6.0%-13.0%</w:t>
            </w:r>
          </w:p>
        </w:tc>
      </w:tr>
      <w:tr>
        <w:trPr>
          <w:trHeight w:val="214"/>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Non-GAAP diluted EPS growth</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6.3%-10.3%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6.3%-10.3%</w:t>
            </w:r>
          </w:p>
        </w:tc>
      </w:tr>
      <w:tr>
        <w:trPr>
          <w:trHeight w:val="227"/>
        </w:trPr>
        <w:tc>
          <w:tcPr>
            <w:tcW w:w="5380" w:type="dxa"/>
            <w:vAlign w:val="bottom"/>
          </w:tcPr>
          <w:p>
            <w:pPr>
              <w:spacing w:after="0"/>
              <w:rPr>
                <w:sz w:val="20"/>
                <w:szCs w:val="20"/>
                <w:color w:val="auto"/>
              </w:rPr>
            </w:pPr>
            <w:r>
              <w:rPr>
                <w:rFonts w:ascii="Arial" w:cs="Arial" w:eastAsia="Arial" w:hAnsi="Arial"/>
                <w:sz w:val="18"/>
                <w:szCs w:val="18"/>
                <w:color w:val="auto"/>
              </w:rPr>
              <w:t>Pro forma</w:t>
            </w:r>
            <w:r>
              <w:rPr>
                <w:rFonts w:ascii="Arial" w:cs="Arial" w:eastAsia="Arial" w:hAnsi="Arial"/>
                <w:sz w:val="15"/>
                <w:szCs w:val="15"/>
                <w:color w:val="auto"/>
              </w:rPr>
              <w:t>(2)</w:t>
            </w:r>
            <w:r>
              <w:rPr>
                <w:rFonts w:ascii="Arial" w:cs="Arial" w:eastAsia="Arial" w:hAnsi="Arial"/>
                <w:sz w:val="18"/>
                <w:szCs w:val="18"/>
                <w:color w:val="auto"/>
              </w:rPr>
              <w:t xml:space="preserve"> non-GAAP diluted EPS growth</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8.0%-12.0%</w:t>
            </w:r>
          </w:p>
        </w:tc>
        <w:tc>
          <w:tcPr>
            <w:tcW w:w="2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8.0%-12.0%</w:t>
            </w:r>
          </w:p>
        </w:tc>
      </w:tr>
      <w:tr>
        <w:trPr>
          <w:trHeight w:val="326"/>
        </w:trPr>
        <w:tc>
          <w:tcPr>
            <w:tcW w:w="5380" w:type="dxa"/>
            <w:vAlign w:val="bottom"/>
          </w:tcPr>
          <w:p>
            <w:pPr>
              <w:spacing w:after="0"/>
              <w:rPr>
                <w:sz w:val="24"/>
                <w:szCs w:val="24"/>
                <w:color w:val="auto"/>
              </w:rPr>
            </w:pPr>
          </w:p>
        </w:tc>
        <w:tc>
          <w:tcPr>
            <w:tcW w:w="2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FY 2022, in millions</w:t>
            </w:r>
          </w:p>
        </w:tc>
      </w:tr>
      <w:tr>
        <w:trPr>
          <w:trHeight w:val="170"/>
        </w:trPr>
        <w:tc>
          <w:tcPr>
            <w:tcW w:w="538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Guidance</w:t>
            </w:r>
          </w:p>
        </w:tc>
        <w:tc>
          <w:tcPr>
            <w:tcW w:w="1320" w:type="dxa"/>
            <w:vAlign w:val="bottom"/>
          </w:tcPr>
          <w:p>
            <w:pPr>
              <w:ind w:left="80"/>
              <w:spacing w:after="0"/>
              <w:rPr>
                <w:sz w:val="20"/>
                <w:szCs w:val="20"/>
                <w:color w:val="auto"/>
              </w:rPr>
            </w:pPr>
            <w:r>
              <w:rPr>
                <w:rFonts w:ascii="Arial" w:cs="Arial" w:eastAsia="Arial" w:hAnsi="Arial"/>
                <w:sz w:val="14"/>
                <w:szCs w:val="14"/>
                <w:b w:val="1"/>
                <w:bCs w:val="1"/>
                <w:color w:val="auto"/>
                <w:w w:val="96"/>
              </w:rPr>
              <w:t>Previous Guidance</w:t>
            </w:r>
          </w:p>
        </w:tc>
      </w:tr>
      <w:tr>
        <w:trPr>
          <w:trHeight w:val="214"/>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15"/>
                <w:szCs w:val="15"/>
                <w:color w:val="auto"/>
              </w:rPr>
              <w:t>(1)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~$500</w:t>
            </w:r>
          </w:p>
        </w:tc>
      </w:tr>
      <w:tr>
        <w:trPr>
          <w:trHeight w:val="227"/>
        </w:trPr>
        <w:tc>
          <w:tcPr>
            <w:tcW w:w="5380" w:type="dxa"/>
            <w:vAlign w:val="bottom"/>
          </w:tcPr>
          <w:p>
            <w:pPr>
              <w:spacing w:after="0"/>
              <w:rPr>
                <w:sz w:val="20"/>
                <w:szCs w:val="20"/>
                <w:color w:val="auto"/>
              </w:rPr>
            </w:pPr>
            <w:r>
              <w:rPr>
                <w:rFonts w:ascii="Arial" w:cs="Arial" w:eastAsia="Arial" w:hAnsi="Arial"/>
                <w:sz w:val="18"/>
                <w:szCs w:val="18"/>
                <w:color w:val="auto"/>
              </w:rPr>
              <w:t>Normalized free cash flow</w:t>
            </w:r>
            <w:r>
              <w:rPr>
                <w:rFonts w:ascii="Arial" w:cs="Arial" w:eastAsia="Arial" w:hAnsi="Arial"/>
                <w:sz w:val="15"/>
                <w:szCs w:val="15"/>
                <w:color w:val="auto"/>
              </w:rPr>
              <w:t>(1)</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~$650</w:t>
            </w:r>
          </w:p>
        </w:tc>
        <w:tc>
          <w:tcPr>
            <w:tcW w:w="2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~$650</w:t>
            </w:r>
          </w:p>
        </w:tc>
      </w:tr>
    </w:tbl>
    <w:p>
      <w:pPr>
        <w:spacing w:after="0" w:line="93" w:lineRule="exact"/>
        <w:rPr>
          <w:sz w:val="20"/>
          <w:szCs w:val="20"/>
          <w:color w:val="auto"/>
        </w:rPr>
      </w:pPr>
    </w:p>
    <w:p>
      <w:pPr>
        <w:ind w:left="980" w:right="100" w:hanging="438"/>
        <w:spacing w:after="0" w:line="27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Full year fiscal 2022 revenue guidance incorporates an expected unfavorable impact from foreign currency fluctuations of approximately 0.6% year-over-year as compared with an unfavorable impact of about 0.3% year-over-year previously</w:t>
      </w:r>
    </w:p>
    <w:p>
      <w:pPr>
        <w:spacing w:after="0" w:line="80" w:lineRule="exact"/>
        <w:rPr>
          <w:rFonts w:ascii="Arial" w:cs="Arial" w:eastAsia="Arial" w:hAnsi="Arial"/>
          <w:sz w:val="18"/>
          <w:szCs w:val="18"/>
          <w:color w:val="auto"/>
        </w:rPr>
      </w:pPr>
    </w:p>
    <w:p>
      <w:pPr>
        <w:ind w:left="980" w:hanging="438"/>
        <w:spacing w:after="0" w:line="297"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Non-GAAP diluted earnings per share growth, and pro forma</w:t>
      </w:r>
      <w:r>
        <w:rPr>
          <w:rFonts w:ascii="Arial" w:cs="Arial" w:eastAsia="Arial" w:hAnsi="Arial"/>
          <w:sz w:val="13"/>
          <w:szCs w:val="13"/>
          <w:color w:val="auto"/>
        </w:rPr>
        <w:t>(2)</w:t>
      </w:r>
      <w:r>
        <w:rPr>
          <w:rFonts w:ascii="Arial" w:cs="Arial" w:eastAsia="Arial" w:hAnsi="Arial"/>
          <w:sz w:val="16"/>
          <w:szCs w:val="16"/>
          <w:color w:val="auto"/>
        </w:rPr>
        <w:t xml:space="preserve"> non-GAAP diluted earnings per share growth, excludes amortization of purchased intangible assets and other acquisition-related costs, changes in certain acquisitions related liabilities measured at fair value, approximately $0.46-$0.52 per share of equity-based compensation expense, gain from divestiture of OpenMarket and other, net of related tax effects. Adjusted GAAP diluted earnings per share growth, excludes gain from divestiture of OpenMarket, net of related tax effects</w:t>
      </w:r>
    </w:p>
    <w:p>
      <w:pPr>
        <w:spacing w:after="0" w:line="65" w:lineRule="exact"/>
        <w:rPr>
          <w:rFonts w:ascii="Arial" w:cs="Arial" w:eastAsia="Arial" w:hAnsi="Arial"/>
          <w:sz w:val="16"/>
          <w:szCs w:val="16"/>
          <w:color w:val="auto"/>
        </w:rPr>
      </w:pPr>
    </w:p>
    <w:p>
      <w:pPr>
        <w:ind w:left="980" w:hanging="43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Free cash flow</w:t>
      </w:r>
      <w:r>
        <w:rPr>
          <w:rFonts w:ascii="Arial" w:cs="Arial" w:eastAsia="Arial" w:hAnsi="Arial"/>
          <w:sz w:val="15"/>
          <w:szCs w:val="15"/>
          <w:color w:val="auto"/>
        </w:rPr>
        <w:t>(1)</w:t>
      </w:r>
      <w:r>
        <w:rPr>
          <w:rFonts w:ascii="Arial" w:cs="Arial" w:eastAsia="Arial" w:hAnsi="Arial"/>
          <w:sz w:val="18"/>
          <w:szCs w:val="18"/>
          <w:color w:val="auto"/>
        </w:rPr>
        <w:t xml:space="preserve"> is comprised of cash flow from operations, less net capital expenditures and other</w:t>
      </w:r>
    </w:p>
    <w:p>
      <w:pPr>
        <w:spacing w:after="0" w:line="127" w:lineRule="exact"/>
        <w:rPr>
          <w:rFonts w:ascii="Arial" w:cs="Arial" w:eastAsia="Arial" w:hAnsi="Arial"/>
          <w:sz w:val="18"/>
          <w:szCs w:val="18"/>
          <w:color w:val="auto"/>
        </w:rPr>
      </w:pPr>
    </w:p>
    <w:p>
      <w:pPr>
        <w:ind w:left="980" w:right="240" w:hanging="438"/>
        <w:spacing w:after="0" w:line="27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Normalized free cash flow excludes expected capital expenditure of $131 million related to the new campus development in Israel, and other items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Year Fiscal 2022-2024 Outlook</w:t>
      </w:r>
    </w:p>
    <w:p>
      <w:pPr>
        <w:spacing w:after="0" w:line="131" w:lineRule="exact"/>
        <w:rPr>
          <w:sz w:val="20"/>
          <w:szCs w:val="20"/>
          <w:color w:val="auto"/>
        </w:rPr>
      </w:pPr>
    </w:p>
    <w:p>
      <w:pPr>
        <w:ind w:left="980" w:right="640" w:hanging="438"/>
        <w:spacing w:after="0" w:line="271"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our full year fiscal 2022 revenue guidance, we project revenue growth of 6.0% to 10% year-over-year on a constant currency</w:t>
      </w:r>
      <w:r>
        <w:rPr>
          <w:rFonts w:ascii="Arial" w:cs="Arial" w:eastAsia="Arial" w:hAnsi="Arial"/>
          <w:sz w:val="15"/>
          <w:szCs w:val="15"/>
          <w:color w:val="auto"/>
        </w:rPr>
        <w:t>(3)</w:t>
      </w:r>
      <w:r>
        <w:rPr>
          <w:rFonts w:ascii="Arial" w:cs="Arial" w:eastAsia="Arial" w:hAnsi="Arial"/>
          <w:sz w:val="18"/>
          <w:szCs w:val="18"/>
          <w:color w:val="auto"/>
        </w:rPr>
        <w:t xml:space="preserve"> basis in each of fiscal years 2023 and 2024</w:t>
      </w:r>
    </w:p>
    <w:p>
      <w:pPr>
        <w:sectPr>
          <w:pgSz w:w="11900" w:h="16838" w:orient="portrait"/>
          <w:cols w:equalWidth="0" w:num="1">
            <w:col w:w="10860"/>
          </w:cols>
          <w:pgMar w:left="480" w:top="268" w:right="559" w:bottom="1440" w:gutter="0" w:footer="0" w:header="0"/>
        </w:sectPr>
      </w:pPr>
    </w:p>
    <w:bookmarkStart w:id="9" w:name="page10"/>
    <w:bookmarkEnd w:id="9"/>
    <w:p>
      <w:pPr>
        <w:ind w:left="980" w:right="40" w:hanging="438"/>
        <w:spacing w:after="0" w:line="301"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Projecting revenue growth on an as reported basis in each of fiscal years 2023 and 2024 is not possible without unreasonable efforts given the uncertain impact of foreign exchange rates which cannot be reasonably predicted at this time</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second fiscal quarter 2022 and full year fiscal 2022, 2023 and 2024 forward looking projections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the COVID-19 pandemic, including its novel strains, which has created, and continues to create, a significant amount of uncertainty, or from current and potential customer consolidation or their other strategic corporate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Earnings Webcast Presentation Details</w:t>
      </w:r>
    </w:p>
    <w:p>
      <w:pPr>
        <w:spacing w:after="0" w:line="11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Amdocs will host a conference call and earnings webcast presentation on February 1, 2022 at 5:00 p.m. Eastern Time to discuss the Company’s first quarter of fiscal 2022 results. To participate, please dial +1 (844) 513-7152, or +1 (508) 637-5600 outside the United States, approximately 15 minutes before the call and enter passcode 1787597. The conference call and webcast will also be carried live on the Internet and may be accessed via the Amdocs website at https://investors.amdocs.com. Presentation slides will be available shortly before the webcast.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and normalized free cash flow, revenue on a constant currency</w:t>
      </w:r>
      <w:r>
        <w:rPr>
          <w:rFonts w:ascii="Arial" w:cs="Arial" w:eastAsia="Arial" w:hAnsi="Arial"/>
          <w:sz w:val="15"/>
          <w:szCs w:val="15"/>
          <w:color w:val="auto"/>
        </w:rPr>
        <w:t>(3)</w:t>
      </w:r>
      <w:r>
        <w:rPr>
          <w:rFonts w:ascii="Arial" w:cs="Arial" w:eastAsia="Arial" w:hAnsi="Arial"/>
          <w:sz w:val="18"/>
          <w:szCs w:val="18"/>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These other non-GAAP measures exclude the following items:</w:t>
      </w:r>
    </w:p>
    <w:p>
      <w:pPr>
        <w:sectPr>
          <w:pgSz w:w="11900" w:h="16838" w:orient="portrait"/>
          <w:cols w:equalWidth="0" w:num="1">
            <w:col w:w="10860"/>
          </w:cols>
          <w:pgMar w:left="480" w:top="272" w:right="559" w:bottom="1440" w:gutter="0" w:footer="0" w:header="0"/>
        </w:sectPr>
      </w:pPr>
    </w:p>
    <w:bookmarkStart w:id="10" w:name="page11"/>
    <w:bookmarkEnd w:id="10"/>
    <w:p>
      <w:pPr>
        <w:ind w:left="980" w:hanging="43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amortization of purchased intangible assets and other acquisition-related costs;</w:t>
      </w:r>
    </w:p>
    <w:p>
      <w:pPr>
        <w:spacing w:after="0" w:line="127" w:lineRule="exact"/>
        <w:rPr>
          <w:rFonts w:ascii="Arial" w:cs="Arial" w:eastAsia="Arial" w:hAnsi="Arial"/>
          <w:sz w:val="18"/>
          <w:szCs w:val="18"/>
          <w:color w:val="auto"/>
        </w:rPr>
      </w:pPr>
    </w:p>
    <w:p>
      <w:pPr>
        <w:ind w:left="980" w:hanging="43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certain acquisition-related liabilities measured at fair value;</w:t>
      </w:r>
    </w:p>
    <w:p>
      <w:pPr>
        <w:spacing w:after="0" w:line="127" w:lineRule="exact"/>
        <w:rPr>
          <w:rFonts w:ascii="Arial" w:cs="Arial" w:eastAsia="Arial" w:hAnsi="Arial"/>
          <w:sz w:val="18"/>
          <w:szCs w:val="18"/>
          <w:color w:val="auto"/>
        </w:rPr>
      </w:pPr>
    </w:p>
    <w:p>
      <w:pPr>
        <w:ind w:left="980" w:hanging="43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non-recurring and unusual charges or benefits (such as a gain from divestiture of OpenMarket);</w:t>
      </w:r>
    </w:p>
    <w:p>
      <w:pPr>
        <w:spacing w:after="0" w:line="127" w:lineRule="exact"/>
        <w:rPr>
          <w:rFonts w:ascii="Arial" w:cs="Arial" w:eastAsia="Arial" w:hAnsi="Arial"/>
          <w:sz w:val="18"/>
          <w:szCs w:val="18"/>
          <w:color w:val="auto"/>
        </w:rPr>
      </w:pPr>
    </w:p>
    <w:p>
      <w:pPr>
        <w:ind w:left="980" w:hanging="43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127" w:lineRule="exact"/>
        <w:rPr>
          <w:rFonts w:ascii="Arial" w:cs="Arial" w:eastAsia="Arial" w:hAnsi="Arial"/>
          <w:sz w:val="18"/>
          <w:szCs w:val="18"/>
          <w:color w:val="auto"/>
        </w:rPr>
      </w:pPr>
    </w:p>
    <w:p>
      <w:pPr>
        <w:ind w:left="980" w:hanging="43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and</w:t>
      </w:r>
    </w:p>
    <w:p>
      <w:pPr>
        <w:spacing w:after="0" w:line="127" w:lineRule="exact"/>
        <w:rPr>
          <w:rFonts w:ascii="Arial" w:cs="Arial" w:eastAsia="Arial" w:hAnsi="Arial"/>
          <w:sz w:val="18"/>
          <w:szCs w:val="18"/>
          <w:color w:val="auto"/>
        </w:rPr>
      </w:pPr>
    </w:p>
    <w:p>
      <w:pPr>
        <w:ind w:left="980" w:hanging="43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Free cash flow equals cash generated by operating activities less net capital expenditures and other. Normalized free cash flow, a measure of our operating performance, is further adjusted to exclude net capital expenditures related to the new campus development, payments for non-recurring and unusual charges (such as capital gains tax in relation to the divestiture of OpenMarket),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ectPr>
          <w:pgSz w:w="11900" w:h="16838" w:orient="portrait"/>
          <w:cols w:equalWidth="0" w:num="1">
            <w:col w:w="10880"/>
          </w:cols>
          <w:pgMar w:left="480" w:top="272" w:right="539" w:bottom="1440" w:gutter="0" w:footer="0" w:header="0"/>
        </w:sectPr>
      </w:pPr>
    </w:p>
    <w:bookmarkStart w:id="11" w:name="page12"/>
    <w:bookmarkEnd w:id="1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6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Resources</w:t>
      </w:r>
    </w:p>
    <w:p>
      <w:pPr>
        <w:spacing w:after="0" w:line="131" w:lineRule="exact"/>
        <w:rPr>
          <w:sz w:val="20"/>
          <w:szCs w:val="20"/>
          <w:color w:val="auto"/>
        </w:rPr>
      </w:pPr>
    </w:p>
    <w:p>
      <w:pPr>
        <w:ind w:left="440" w:hanging="32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27" w:lineRule="exact"/>
        <w:rPr>
          <w:rFonts w:ascii="Arial" w:cs="Arial" w:eastAsia="Arial" w:hAnsi="Arial"/>
          <w:sz w:val="18"/>
          <w:szCs w:val="18"/>
          <w:color w:val="auto"/>
        </w:rPr>
      </w:pPr>
    </w:p>
    <w:p>
      <w:pPr>
        <w:ind w:left="440" w:hanging="32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ectPr>
          <w:pgSz w:w="11900" w:h="16838" w:orient="portrait"/>
          <w:cols w:equalWidth="0" w:num="1">
            <w:col w:w="10880"/>
          </w:cols>
          <w:pgMar w:left="480" w:top="272" w:right="5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About Amdocs</w:t>
      </w:r>
    </w:p>
    <w:p>
      <w:pPr>
        <w:spacing w:after="0" w:line="1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29,000 employees around the globe are here to accelerate service providers’ migration to the cloud, enable them to differentiate in the 5G era, and digitalize and automate their operations. Listed on the NASDAQ Global Select Market, Amdocs had revenue of $4.3 billion in fiscal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the duration and severity of the COVID-19 pandemic, and its impact on the global economy,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2021 filed on December 9, 2021.</w:t>
      </w:r>
    </w:p>
    <w:p>
      <w:pPr>
        <w:sectPr>
          <w:pgSz w:w="11900" w:h="16838" w:orient="portrait"/>
          <w:cols w:equalWidth="0" w:num="1">
            <w:col w:w="10880"/>
          </w:cols>
          <w:pgMar w:left="480" w:top="268" w:right="5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Contact</w:t>
      </w:r>
      <w:r>
        <w:rPr>
          <w:rFonts w:ascii="Arial" w:cs="Arial" w:eastAsia="Arial" w:hAnsi="Arial"/>
          <w:sz w:val="18"/>
          <w:szCs w:val="18"/>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E-mail: dox_info@amdocs.com</w:t>
      </w:r>
    </w:p>
    <w:p>
      <w:pPr>
        <w:sectPr>
          <w:pgSz w:w="11900" w:h="16838" w:orient="portrait"/>
          <w:cols w:equalWidth="0" w:num="1">
            <w:col w:w="9979"/>
          </w:cols>
          <w:pgMar w:left="480" w:top="268"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AMDOCS LIMITED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ind w:right="420"/>
              <w:spacing w:after="0" w:line="141"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(a)</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2"/>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1,104,632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1,086,343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716,718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81,945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75,669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128,076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121,888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944,486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946,143</w:t>
            </w:r>
          </w:p>
        </w:tc>
        <w:tc>
          <w:tcPr>
            <w:tcW w:w="0" w:type="dxa"/>
            <w:vAlign w:val="bottom"/>
          </w:tcPr>
          <w:p>
            <w:pPr>
              <w:spacing w:after="0"/>
              <w:rPr>
                <w:sz w:val="1"/>
                <w:szCs w:val="1"/>
                <w:color w:val="auto"/>
              </w:rPr>
            </w:pPr>
          </w:p>
        </w:tc>
      </w:tr>
      <w:tr>
        <w:trPr>
          <w:trHeight w:val="220"/>
        </w:trPr>
        <w:tc>
          <w:tcPr>
            <w:tcW w:w="89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160,146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167,584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360,120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9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9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9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20"/>
          </w:cols>
          <w:pgMar w:left="480" w:top="268" w:right="4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AMDOCS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r>
      <w:tr>
        <w:trPr>
          <w:trHeight w:val="170"/>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4"/>
          </w:tcPr>
          <w:p>
            <w:pPr>
              <w:jc w:val="right"/>
              <w:ind w:right="380"/>
              <w:spacing w:after="0" w:line="141" w:lineRule="exact"/>
              <w:rPr>
                <w:sz w:val="20"/>
                <w:szCs w:val="20"/>
                <w:color w:val="auto"/>
              </w:rPr>
            </w:pPr>
            <w:r>
              <w:rPr>
                <w:rFonts w:ascii="Arial" w:cs="Arial" w:eastAsia="Arial" w:hAnsi="Arial"/>
                <w:sz w:val="14"/>
                <w:szCs w:val="14"/>
                <w:b w:val="1"/>
                <w:bCs w:val="1"/>
                <w:color w:val="auto"/>
                <w:w w:val="91"/>
              </w:rPr>
              <w:t>2021</w:t>
            </w:r>
            <w:r>
              <w:rPr>
                <w:rFonts w:ascii="Arial" w:cs="Arial" w:eastAsia="Arial" w:hAnsi="Arial"/>
                <w:sz w:val="12"/>
                <w:szCs w:val="12"/>
                <w:b w:val="1"/>
                <w:bCs w:val="1"/>
                <w:color w:val="auto"/>
                <w:w w:val="91"/>
              </w:rPr>
              <w:t>(a)</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4"/>
              <w:spacing w:after="0" w:line="141"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8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$1,104,632</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$1,086,343</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193,607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187,981</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150,135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152,972</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r>
      <w:tr>
        <w:trPr>
          <w:trHeight w:val="214"/>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125,304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131,582</w:t>
            </w:r>
          </w:p>
        </w:tc>
        <w:tc>
          <w:tcPr>
            <w:tcW w:w="60" w:type="dxa"/>
            <w:vAlign w:val="bottom"/>
            <w:shd w:val="clear" w:color="auto" w:fill="CCEEFF"/>
          </w:tcPr>
          <w:p>
            <w:pPr>
              <w:spacing w:after="0"/>
              <w:rPr>
                <w:sz w:val="18"/>
                <w:szCs w:val="18"/>
                <w:color w:val="auto"/>
              </w:rPr>
            </w:pPr>
          </w:p>
        </w:tc>
      </w:tr>
      <w:tr>
        <w:trPr>
          <w:trHeight w:val="619"/>
        </w:trPr>
        <w:tc>
          <w:tcPr>
            <w:tcW w:w="20" w:type="dxa"/>
            <w:vAlign w:val="bottom"/>
          </w:tcPr>
          <w:p>
            <w:pPr>
              <w:spacing w:after="0"/>
              <w:rPr>
                <w:sz w:val="24"/>
                <w:szCs w:val="24"/>
                <w:color w:val="auto"/>
              </w:rPr>
            </w:pPr>
          </w:p>
        </w:tc>
        <w:tc>
          <w:tcPr>
            <w:tcW w:w="8940" w:type="dxa"/>
            <w:vAlign w:val="bottom"/>
          </w:tcPr>
          <w:p>
            <w:pPr>
              <w:jc w:val="center"/>
              <w:ind w:left="1852"/>
              <w:spacing w:after="0"/>
              <w:rPr>
                <w:sz w:val="20"/>
                <w:szCs w:val="20"/>
                <w:color w:val="auto"/>
              </w:rPr>
            </w:pPr>
            <w:r>
              <w:rPr>
                <w:rFonts w:ascii="Arial" w:cs="Arial" w:eastAsia="Arial" w:hAnsi="Arial"/>
                <w:sz w:val="18"/>
                <w:szCs w:val="18"/>
                <w:b w:val="1"/>
                <w:bCs w:val="1"/>
                <w:color w:val="auto"/>
                <w:w w:val="89"/>
              </w:rPr>
              <w:t>Free Cash Flows and Normalized Free Cash Flow</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8940" w:type="dxa"/>
            <w:vAlign w:val="bottom"/>
          </w:tcPr>
          <w:p>
            <w:pPr>
              <w:jc w:val="center"/>
              <w:ind w:left="1852"/>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50"/>
        </w:trPr>
        <w:tc>
          <w:tcPr>
            <w:tcW w:w="2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10"/>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r>
      <w:tr>
        <w:trPr>
          <w:trHeight w:val="170"/>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20" w:type="dxa"/>
            <w:vAlign w:val="bottom"/>
          </w:tcPr>
          <w:p>
            <w:pPr>
              <w:spacing w:after="0"/>
              <w:rPr>
                <w:sz w:val="12"/>
                <w:szCs w:val="12"/>
                <w:color w:val="auto"/>
              </w:rPr>
            </w:pPr>
          </w:p>
        </w:tc>
        <w:tc>
          <w:tcPr>
            <w:tcW w:w="89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82"/>
              <w:spacing w:after="0" w:line="141"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4"/>
              <w:spacing w:after="0" w:line="141"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r>
              <w:rPr>
                <w:rFonts w:ascii="Arial" w:cs="Arial" w:eastAsia="Arial" w:hAnsi="Arial"/>
                <w:sz w:val="15"/>
                <w:szCs w:val="15"/>
                <w:color w:val="auto"/>
              </w:rPr>
              <w:t>(a)</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$ 204,118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$416,485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Purchase of property and equipment, net</w:t>
            </w:r>
            <w:r>
              <w:rPr>
                <w:rFonts w:ascii="Arial" w:cs="Arial" w:eastAsia="Arial" w:hAnsi="Arial"/>
                <w:sz w:val="15"/>
                <w:szCs w:val="15"/>
                <w:color w:val="auto"/>
              </w:rPr>
              <w:t>(b)</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(57,225)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(50,065)</w:t>
            </w:r>
          </w:p>
        </w:tc>
      </w:tr>
      <w:tr>
        <w:trPr>
          <w:trHeight w:val="214"/>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146,893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366,420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Net capital expenditures related to the new campus development</w:t>
            </w:r>
          </w:p>
        </w:tc>
        <w:tc>
          <w:tcPr>
            <w:tcW w:w="16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29,307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18,334</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Payment of acquisition related liability</w:t>
            </w: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9,479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0"/>
        </w:trPr>
        <w:tc>
          <w:tcPr>
            <w:tcW w:w="8960" w:type="dxa"/>
            <w:vAlign w:val="bottom"/>
            <w:gridSpan w:val="2"/>
          </w:tcPr>
          <w:p>
            <w:pPr>
              <w:spacing w:after="0"/>
              <w:rPr>
                <w:sz w:val="20"/>
                <w:szCs w:val="20"/>
                <w:color w:val="auto"/>
              </w:rPr>
            </w:pPr>
            <w:r>
              <w:rPr>
                <w:rFonts w:ascii="Arial" w:cs="Arial" w:eastAsia="Arial" w:hAnsi="Arial"/>
                <w:sz w:val="18"/>
                <w:szCs w:val="18"/>
                <w:color w:val="auto"/>
              </w:rPr>
              <w:t>Normalized Free Cash Flow</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185,679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384,754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645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6" w:lineRule="exact"/>
        <w:rPr>
          <w:sz w:val="20"/>
          <w:szCs w:val="20"/>
          <w:color w:val="auto"/>
        </w:rPr>
      </w:pPr>
    </w:p>
    <w:p>
      <w:pPr>
        <w:ind w:left="440" w:hanging="433"/>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Since January 1, 2021, OpenMarket results are not included in the Consolidated Statements of Income given its divestiture.</w:t>
      </w:r>
    </w:p>
    <w:p>
      <w:pPr>
        <w:spacing w:after="0" w:line="19" w:lineRule="exact"/>
        <w:rPr>
          <w:rFonts w:ascii="Arial" w:cs="Arial" w:eastAsia="Arial" w:hAnsi="Arial"/>
          <w:sz w:val="18"/>
          <w:szCs w:val="18"/>
          <w:color w:val="auto"/>
        </w:rPr>
      </w:pPr>
    </w:p>
    <w:p>
      <w:pPr>
        <w:ind w:left="440" w:right="340" w:hanging="433"/>
        <w:spacing w:after="0" w:line="256"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$269 and $53 for the three months ended 31 December 2021 and 2020, respectively.</w:t>
      </w:r>
    </w:p>
    <w:p>
      <w:pPr>
        <w:sectPr>
          <w:pgSz w:w="11900" w:h="16838" w:orient="portrait"/>
          <w:cols w:equalWidth="0" w:num="1">
            <w:col w:w="10920"/>
          </w:cols>
          <w:pgMar w:left="480" w:top="268" w:right="49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AMDOCS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3"/>
          </w:tcPr>
          <w:p>
            <w:pPr>
              <w:ind w:left="200"/>
              <w:spacing w:after="0"/>
              <w:rPr>
                <w:sz w:val="20"/>
                <w:szCs w:val="20"/>
                <w:color w:val="auto"/>
              </w:rPr>
            </w:pPr>
            <w:r>
              <w:rPr>
                <w:rFonts w:ascii="Arial" w:cs="Arial" w:eastAsia="Arial" w:hAnsi="Arial"/>
                <w:sz w:val="14"/>
                <w:szCs w:val="14"/>
                <w:b w:val="1"/>
                <w:bCs w:val="1"/>
                <w:color w:val="auto"/>
                <w:w w:val="95"/>
              </w:rPr>
              <w:t>Three months ended December 31, 2021</w:t>
            </w:r>
            <w:r>
              <w:rPr>
                <w:rFonts w:ascii="Arial" w:cs="Arial" w:eastAsia="Arial" w:hAnsi="Arial"/>
                <w:sz w:val="12"/>
                <w:szCs w:val="12"/>
                <w:b w:val="1"/>
                <w:bCs w:val="1"/>
                <w:color w:val="auto"/>
                <w:w w:val="95"/>
              </w:rPr>
              <w:t>(a)</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6"/>
          </w:tcPr>
          <w:p>
            <w:pPr>
              <w:jc w:val="right"/>
              <w:spacing w:after="0" w:line="141" w:lineRule="exact"/>
              <w:rPr>
                <w:sz w:val="20"/>
                <w:szCs w:val="20"/>
                <w:color w:val="auto"/>
              </w:rPr>
            </w:pPr>
            <w:r>
              <w:rPr>
                <w:rFonts w:ascii="Arial" w:cs="Arial" w:eastAsia="Arial" w:hAnsi="Arial"/>
                <w:sz w:val="14"/>
                <w:szCs w:val="14"/>
                <w:b w:val="1"/>
                <w:bCs w:val="1"/>
                <w:color w:val="auto"/>
                <w:w w:val="95"/>
              </w:rPr>
              <w:t>Reconciliation items</w:t>
            </w: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6"/>
          </w:tcPr>
          <w:p>
            <w:pPr>
              <w:jc w:val="center"/>
              <w:ind w:right="80"/>
              <w:spacing w:after="0" w:line="118" w:lineRule="exact"/>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vMerge w:val="restart"/>
          </w:tcPr>
          <w:p>
            <w:pPr>
              <w:jc w:val="right"/>
              <w:ind w:right="160"/>
              <w:spacing w:after="0"/>
              <w:rPr>
                <w:sz w:val="20"/>
                <w:szCs w:val="20"/>
                <w:color w:val="auto"/>
              </w:rPr>
            </w:pPr>
            <w:r>
              <w:rPr>
                <w:rFonts w:ascii="Arial" w:cs="Arial" w:eastAsia="Arial" w:hAnsi="Arial"/>
                <w:sz w:val="14"/>
                <w:szCs w:val="14"/>
                <w:b w:val="1"/>
                <w:bCs w:val="1"/>
                <w:color w:val="auto"/>
                <w:w w:val="90"/>
              </w:rPr>
              <w:t>Changes in certain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6"/>
          </w:tcPr>
          <w:p>
            <w:pPr>
              <w:jc w:val="center"/>
              <w:ind w:right="80"/>
              <w:spacing w:after="0" w:line="147" w:lineRule="exact"/>
              <w:rPr>
                <w:sz w:val="20"/>
                <w:szCs w:val="20"/>
                <w:color w:val="auto"/>
              </w:rPr>
            </w:pPr>
            <w:r>
              <w:rPr>
                <w:rFonts w:ascii="Arial" w:cs="Arial" w:eastAsia="Arial" w:hAnsi="Arial"/>
                <w:sz w:val="14"/>
                <w:szCs w:val="14"/>
                <w:b w:val="1"/>
                <w:bCs w:val="1"/>
                <w:color w:val="auto"/>
                <w:w w:val="87"/>
              </w:rPr>
              <w:t>purchased</w:t>
            </w:r>
          </w:p>
        </w:tc>
        <w:tc>
          <w:tcPr>
            <w:tcW w:w="160" w:type="dxa"/>
            <w:vAlign w:val="bottom"/>
          </w:tcPr>
          <w:p>
            <w:pPr>
              <w:spacing w:after="0"/>
              <w:rPr>
                <w:sz w:val="12"/>
                <w:szCs w:val="12"/>
                <w:color w:val="auto"/>
              </w:rPr>
            </w:pPr>
          </w:p>
        </w:tc>
        <w:tc>
          <w:tcPr>
            <w:tcW w:w="900" w:type="dxa"/>
            <w:vAlign w:val="bottom"/>
            <w:gridSpan w:val="6"/>
            <w:vMerge w:val="restart"/>
          </w:tcPr>
          <w:p>
            <w:pPr>
              <w:jc w:val="center"/>
              <w:ind w:right="60"/>
              <w:spacing w:after="0"/>
              <w:rPr>
                <w:sz w:val="20"/>
                <w:szCs w:val="20"/>
                <w:color w:val="auto"/>
              </w:rPr>
            </w:pPr>
            <w:r>
              <w:rPr>
                <w:rFonts w:ascii="Arial" w:cs="Arial" w:eastAsia="Arial" w:hAnsi="Arial"/>
                <w:sz w:val="14"/>
                <w:szCs w:val="14"/>
                <w:b w:val="1"/>
                <w:bCs w:val="1"/>
                <w:color w:val="auto"/>
                <w:w w:val="91"/>
              </w:rPr>
              <w:t>Equity based</w:t>
            </w:r>
          </w:p>
        </w:tc>
        <w:tc>
          <w:tcPr>
            <w:tcW w:w="18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Gain from</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intangible</w:t>
            </w:r>
          </w:p>
        </w:tc>
        <w:tc>
          <w:tcPr>
            <w:tcW w:w="160" w:type="dxa"/>
            <w:vAlign w:val="bottom"/>
          </w:tcPr>
          <w:p>
            <w:pPr>
              <w:spacing w:after="0"/>
              <w:rPr>
                <w:sz w:val="12"/>
                <w:szCs w:val="12"/>
                <w:color w:val="auto"/>
              </w:rPr>
            </w:pPr>
          </w:p>
        </w:tc>
        <w:tc>
          <w:tcPr>
            <w:tcW w:w="90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spacing w:after="0" w:line="147" w:lineRule="exact"/>
              <w:rPr>
                <w:sz w:val="20"/>
                <w:szCs w:val="20"/>
                <w:color w:val="auto"/>
              </w:rPr>
            </w:pPr>
            <w:r>
              <w:rPr>
                <w:rFonts w:ascii="Arial" w:cs="Arial" w:eastAsia="Arial" w:hAnsi="Arial"/>
                <w:sz w:val="14"/>
                <w:szCs w:val="14"/>
                <w:b w:val="1"/>
                <w:bCs w:val="1"/>
                <w:color w:val="auto"/>
                <w:w w:val="98"/>
              </w:rPr>
              <w:t>acquisitions related</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Tax</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2"/>
                <w:szCs w:val="12"/>
                <w:color w:val="auto"/>
              </w:rPr>
            </w:pPr>
          </w:p>
        </w:tc>
        <w:tc>
          <w:tcPr>
            <w:tcW w:w="800" w:type="dxa"/>
            <w:vAlign w:val="bottom"/>
            <w:gridSpan w:val="5"/>
          </w:tcPr>
          <w:p>
            <w:pPr>
              <w:jc w:val="center"/>
              <w:ind w:right="180"/>
              <w:spacing w:after="0" w:line="147" w:lineRule="exact"/>
              <w:rPr>
                <w:sz w:val="20"/>
                <w:szCs w:val="20"/>
                <w:color w:val="auto"/>
              </w:rPr>
            </w:pPr>
            <w:r>
              <w:rPr>
                <w:rFonts w:ascii="Arial" w:cs="Arial" w:eastAsia="Arial" w:hAnsi="Arial"/>
                <w:sz w:val="14"/>
                <w:szCs w:val="14"/>
                <w:b w:val="1"/>
                <w:bCs w:val="1"/>
                <w:color w:val="auto"/>
                <w:w w:val="85"/>
              </w:rPr>
              <w:t>assets and</w:t>
            </w:r>
          </w:p>
        </w:tc>
        <w:tc>
          <w:tcPr>
            <w:tcW w:w="160" w:type="dxa"/>
            <w:vAlign w:val="bottom"/>
          </w:tcPr>
          <w:p>
            <w:pPr>
              <w:spacing w:after="0"/>
              <w:rPr>
                <w:sz w:val="12"/>
                <w:szCs w:val="12"/>
                <w:color w:val="auto"/>
              </w:rPr>
            </w:pPr>
          </w:p>
        </w:tc>
        <w:tc>
          <w:tcPr>
            <w:tcW w:w="900" w:type="dxa"/>
            <w:vAlign w:val="bottom"/>
            <w:gridSpan w:val="6"/>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180" w:type="dxa"/>
            <w:vAlign w:val="bottom"/>
          </w:tcPr>
          <w:p>
            <w:pPr>
              <w:spacing w:after="0"/>
              <w:rPr>
                <w:sz w:val="12"/>
                <w:szCs w:val="12"/>
                <w:color w:val="auto"/>
              </w:rPr>
            </w:pPr>
          </w:p>
        </w:tc>
        <w:tc>
          <w:tcPr>
            <w:tcW w:w="1320" w:type="dxa"/>
            <w:vAlign w:val="bottom"/>
            <w:gridSpan w:val="6"/>
          </w:tcPr>
          <w:p>
            <w:pPr>
              <w:spacing w:after="0" w:line="147" w:lineRule="exact"/>
              <w:rPr>
                <w:sz w:val="20"/>
                <w:szCs w:val="20"/>
                <w:color w:val="auto"/>
              </w:rPr>
            </w:pPr>
            <w:r>
              <w:rPr>
                <w:rFonts w:ascii="Arial" w:cs="Arial" w:eastAsia="Arial" w:hAnsi="Arial"/>
                <w:sz w:val="14"/>
                <w:szCs w:val="14"/>
                <w:b w:val="1"/>
                <w:bCs w:val="1"/>
                <w:color w:val="auto"/>
              </w:rPr>
              <w:t>liabilities measured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sale of 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expense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2"/>
              </w:rPr>
              <w:t>at 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business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effect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60" w:type="dxa"/>
            <w:vAlign w:val="bottom"/>
            <w:tcBorders>
              <w:top w:val="single" w:sz="8" w:color="CCEEFF"/>
              <w:right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left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left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left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79"/>
              </w:rPr>
              <w:t>$716,718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(7,147)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$ 710,598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81,945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60" w:type="dxa"/>
            <w:vAlign w:val="bottom"/>
          </w:tcPr>
          <w:p>
            <w:pPr>
              <w:ind w:left="340"/>
              <w:spacing w:after="0" w:line="200" w:lineRule="exact"/>
              <w:rPr>
                <w:sz w:val="20"/>
                <w:szCs w:val="20"/>
                <w:color w:val="auto"/>
              </w:rPr>
            </w:pPr>
            <w:r>
              <w:rPr>
                <w:rFonts w:ascii="Arial" w:cs="Arial" w:eastAsia="Arial" w:hAnsi="Arial"/>
                <w:sz w:val="18"/>
                <w:szCs w:val="18"/>
                <w:color w:val="auto"/>
              </w:rPr>
              <w:t>Selling, general and</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tcPr>
          <w:p>
            <w:pPr>
              <w:ind w:left="520"/>
              <w:spacing w:after="0"/>
              <w:rPr>
                <w:sz w:val="20"/>
                <w:szCs w:val="20"/>
                <w:color w:val="auto"/>
              </w:rPr>
            </w:pPr>
            <w:r>
              <w:rPr>
                <w:rFonts w:ascii="Arial" w:cs="Arial" w:eastAsia="Arial" w:hAnsi="Arial"/>
                <w:sz w:val="18"/>
                <w:szCs w:val="18"/>
                <w:color w:val="auto"/>
              </w:rPr>
              <w:t>administrative</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128,076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(8,371)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119,705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60" w:type="dxa"/>
            <w:vAlign w:val="bottom"/>
            <w:tcBorders>
              <w:right w:val="single" w:sz="8" w:color="CCEEFF"/>
            </w:tcBorders>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purchased</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intangible assets and other</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17,747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(17,747)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944,486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(17,747)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(16,741)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2"/>
              </w:rPr>
              <w:t>160,146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17,747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16,741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193,607</w:t>
            </w:r>
          </w:p>
        </w:tc>
        <w:tc>
          <w:tcPr>
            <w:tcW w:w="0" w:type="dxa"/>
            <w:vAlign w:val="bottom"/>
          </w:tcPr>
          <w:p>
            <w:pPr>
              <w:spacing w:after="0"/>
              <w:rPr>
                <w:sz w:val="1"/>
                <w:szCs w:val="1"/>
                <w:color w:val="auto"/>
              </w:rPr>
            </w:pPr>
          </w:p>
        </w:tc>
      </w:tr>
      <w:tr>
        <w:trPr>
          <w:trHeight w:val="227"/>
        </w:trPr>
        <w:tc>
          <w:tcPr>
            <w:tcW w:w="288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(2,562)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(3,605)</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from sale of a business</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7"/>
              </w:rPr>
              <w:t>(10,000)</w:t>
            </w: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33,982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133,602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17,747</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16,741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(10,000)</w:t>
            </w:r>
          </w:p>
        </w:tc>
        <w:tc>
          <w:tcPr>
            <w:tcW w:w="180" w:type="dxa"/>
            <w:vAlign w:val="bottom"/>
            <w:tcBorders>
              <w:lef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 (3,605)</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 (3,323)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$ 150,135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1"/>
          </w:tcPr>
          <w:p>
            <w:pPr>
              <w:ind w:left="60"/>
              <w:spacing w:after="0"/>
              <w:rPr>
                <w:sz w:val="20"/>
                <w:szCs w:val="20"/>
                <w:color w:val="auto"/>
              </w:rPr>
            </w:pPr>
            <w:r>
              <w:rPr>
                <w:rFonts w:ascii="Arial" w:cs="Arial" w:eastAsia="Arial" w:hAnsi="Arial"/>
                <w:sz w:val="14"/>
                <w:szCs w:val="14"/>
                <w:b w:val="1"/>
                <w:bCs w:val="1"/>
                <w:color w:val="auto"/>
                <w:w w:val="91"/>
              </w:rPr>
              <w:t>Three months ended December 31, 2020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7"/>
          </w:tcPr>
          <w:p>
            <w:pPr>
              <w:ind w:left="40"/>
              <w:spacing w:after="0" w:line="141" w:lineRule="exact"/>
              <w:rPr>
                <w:sz w:val="20"/>
                <w:szCs w:val="20"/>
                <w:color w:val="auto"/>
              </w:rPr>
            </w:pPr>
            <w:r>
              <w:rPr>
                <w:rFonts w:ascii="Arial" w:cs="Arial" w:eastAsia="Arial" w:hAnsi="Arial"/>
                <w:sz w:val="14"/>
                <w:szCs w:val="14"/>
                <w:b w:val="1"/>
                <w:bCs w:val="1"/>
                <w:color w:val="auto"/>
              </w:rPr>
              <w:t>Reconciliation items</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jc w:val="center"/>
              <w:ind w:right="180"/>
              <w:spacing w:after="0" w:line="118" w:lineRule="exact"/>
              <w:rPr>
                <w:sz w:val="20"/>
                <w:szCs w:val="20"/>
                <w:color w:val="auto"/>
              </w:rPr>
            </w:pPr>
            <w:r>
              <w:rPr>
                <w:rFonts w:ascii="Arial" w:cs="Arial" w:eastAsia="Arial" w:hAnsi="Arial"/>
                <w:sz w:val="13"/>
                <w:szCs w:val="13"/>
                <w:b w:val="1"/>
                <w:bCs w:val="1"/>
                <w:color w:val="auto"/>
                <w:w w:val="96"/>
              </w:rPr>
              <w:t>Changes 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1"/>
              </w:rPr>
              <w:t>certain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6"/>
            <w:vMerge w:val="restart"/>
          </w:tcPr>
          <w:p>
            <w:pPr>
              <w:jc w:val="center"/>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88"/>
              </w:rPr>
              <w:t>acquisitions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1"/>
              </w:rPr>
              <w:t>related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6"/>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of purchased</w:t>
            </w:r>
          </w:p>
        </w:tc>
        <w:tc>
          <w:tcPr>
            <w:tcW w:w="200" w:type="dxa"/>
            <w:vAlign w:val="bottom"/>
          </w:tcPr>
          <w:p>
            <w:pPr>
              <w:spacing w:after="0"/>
              <w:rPr>
                <w:sz w:val="12"/>
                <w:szCs w:val="12"/>
                <w:color w:val="auto"/>
              </w:rPr>
            </w:pPr>
          </w:p>
        </w:tc>
        <w:tc>
          <w:tcPr>
            <w:tcW w:w="920" w:type="dxa"/>
            <w:vAlign w:val="bottom"/>
            <w:gridSpan w:val="6"/>
            <w:vMerge w:val="restart"/>
          </w:tcPr>
          <w:p>
            <w:pPr>
              <w:jc w:val="right"/>
              <w:ind w:right="100"/>
              <w:spacing w:after="0"/>
              <w:rPr>
                <w:sz w:val="20"/>
                <w:szCs w:val="20"/>
                <w:color w:val="auto"/>
              </w:rPr>
            </w:pPr>
            <w:r>
              <w:rPr>
                <w:rFonts w:ascii="Arial" w:cs="Arial" w:eastAsia="Arial" w:hAnsi="Arial"/>
                <w:sz w:val="14"/>
                <w:szCs w:val="14"/>
                <w:b w:val="1"/>
                <w:bCs w:val="1"/>
                <w:color w:val="auto"/>
                <w:w w:val="91"/>
              </w:rPr>
              <w:t>Equity based</w:t>
            </w:r>
          </w:p>
        </w:tc>
        <w:tc>
          <w:tcPr>
            <w:tcW w:w="200" w:type="dxa"/>
            <w:vAlign w:val="bottom"/>
          </w:tcPr>
          <w:p>
            <w:pPr>
              <w:spacing w:after="0"/>
              <w:rPr>
                <w:sz w:val="12"/>
                <w:szCs w:val="12"/>
                <w:color w:val="auto"/>
              </w:rPr>
            </w:pPr>
          </w:p>
        </w:tc>
        <w:tc>
          <w:tcPr>
            <w:tcW w:w="90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liabilities</w:t>
            </w:r>
          </w:p>
        </w:tc>
        <w:tc>
          <w:tcPr>
            <w:tcW w:w="100" w:type="dxa"/>
            <w:vAlign w:val="bottom"/>
          </w:tcPr>
          <w:p>
            <w:pPr>
              <w:spacing w:after="0"/>
              <w:rPr>
                <w:sz w:val="12"/>
                <w:szCs w:val="12"/>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Gain from</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5"/>
          </w:tcPr>
          <w:p>
            <w:pPr>
              <w:jc w:val="center"/>
              <w:ind w:right="160"/>
              <w:spacing w:after="0" w:line="147" w:lineRule="exact"/>
              <w:rPr>
                <w:sz w:val="20"/>
                <w:szCs w:val="20"/>
                <w:color w:val="auto"/>
              </w:rPr>
            </w:pPr>
            <w:r>
              <w:rPr>
                <w:rFonts w:ascii="Arial" w:cs="Arial" w:eastAsia="Arial" w:hAnsi="Arial"/>
                <w:sz w:val="14"/>
                <w:szCs w:val="14"/>
                <w:b w:val="1"/>
                <w:bCs w:val="1"/>
                <w:color w:val="auto"/>
                <w:w w:val="93"/>
              </w:rPr>
              <w:t>intangible</w:t>
            </w:r>
          </w:p>
        </w:tc>
        <w:tc>
          <w:tcPr>
            <w:tcW w:w="200" w:type="dxa"/>
            <w:vAlign w:val="bottom"/>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measured</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Tax</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5"/>
          </w:tcPr>
          <w:p>
            <w:pPr>
              <w:jc w:val="center"/>
              <w:ind w:right="160"/>
              <w:spacing w:after="0" w:line="147" w:lineRule="exact"/>
              <w:rPr>
                <w:sz w:val="20"/>
                <w:szCs w:val="20"/>
                <w:color w:val="auto"/>
              </w:rPr>
            </w:pPr>
            <w:r>
              <w:rPr>
                <w:rFonts w:ascii="Arial" w:cs="Arial" w:eastAsia="Arial" w:hAnsi="Arial"/>
                <w:sz w:val="14"/>
                <w:szCs w:val="14"/>
                <w:b w:val="1"/>
                <w:bCs w:val="1"/>
                <w:color w:val="auto"/>
                <w:w w:val="85"/>
              </w:rPr>
              <w:t>assets and</w:t>
            </w:r>
          </w:p>
        </w:tc>
        <w:tc>
          <w:tcPr>
            <w:tcW w:w="200" w:type="dxa"/>
            <w:vAlign w:val="bottom"/>
          </w:tcPr>
          <w:p>
            <w:pPr>
              <w:spacing w:after="0"/>
              <w:rPr>
                <w:sz w:val="12"/>
                <w:szCs w:val="12"/>
                <w:color w:val="auto"/>
              </w:rPr>
            </w:pPr>
          </w:p>
        </w:tc>
        <w:tc>
          <w:tcPr>
            <w:tcW w:w="920" w:type="dxa"/>
            <w:vAlign w:val="bottom"/>
            <w:gridSpan w:val="6"/>
          </w:tcPr>
          <w:p>
            <w:pPr>
              <w:jc w:val="right"/>
              <w:ind w:right="80"/>
              <w:spacing w:after="0" w:line="147" w:lineRule="exact"/>
              <w:rPr>
                <w:sz w:val="20"/>
                <w:szCs w:val="20"/>
                <w:color w:val="auto"/>
              </w:rPr>
            </w:pPr>
            <w:r>
              <w:rPr>
                <w:rFonts w:ascii="Arial" w:cs="Arial" w:eastAsia="Arial" w:hAnsi="Arial"/>
                <w:sz w:val="14"/>
                <w:szCs w:val="14"/>
                <w:b w:val="1"/>
                <w:bCs w:val="1"/>
                <w:color w:val="auto"/>
                <w:w w:val="86"/>
              </w:rPr>
              <w:t>compensation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9"/>
              </w:rPr>
              <w:t>at fair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sale of 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7"/>
              </w:rPr>
              <w:t>other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5"/>
          </w:tcPr>
          <w:p>
            <w:pPr>
              <w:ind w:left="40"/>
              <w:spacing w:after="0"/>
              <w:rPr>
                <w:sz w:val="20"/>
                <w:szCs w:val="20"/>
                <w:color w:val="auto"/>
              </w:rPr>
            </w:pPr>
            <w:r>
              <w:rPr>
                <w:rFonts w:ascii="Arial" w:cs="Arial" w:eastAsia="Arial" w:hAnsi="Arial"/>
                <w:sz w:val="14"/>
                <w:szCs w:val="14"/>
                <w:b w:val="1"/>
                <w:bCs w:val="1"/>
                <w:color w:val="auto"/>
              </w:rPr>
              <w:t>expense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business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effect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60" w:type="dxa"/>
            <w:vAlign w:val="bottom"/>
            <w:tcBorders>
              <w:top w:val="single" w:sz="8" w:color="CCEEFF"/>
              <w:right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left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left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left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60" w:type="dxa"/>
            <w:vAlign w:val="bottom"/>
            <w:gridSpan w:val="5"/>
          </w:tcPr>
          <w:p>
            <w:pPr>
              <w:jc w:val="right"/>
              <w:ind w:right="29"/>
              <w:spacing w:after="0"/>
              <w:rPr>
                <w:sz w:val="20"/>
                <w:szCs w:val="20"/>
                <w:color w:val="auto"/>
              </w:rPr>
            </w:pPr>
            <w:r>
              <w:rPr>
                <w:rFonts w:ascii="Arial" w:cs="Arial" w:eastAsia="Arial" w:hAnsi="Arial"/>
                <w:sz w:val="18"/>
                <w:szCs w:val="18"/>
                <w:color w:val="auto"/>
              </w:rPr>
              <w:t>$728,716</w:t>
            </w:r>
          </w:p>
        </w:tc>
        <w:tc>
          <w:tcPr>
            <w:tcW w:w="260" w:type="dxa"/>
            <w:vAlign w:val="bottom"/>
            <w:gridSpan w:val="2"/>
          </w:tcPr>
          <w:p>
            <w:pPr>
              <w:jc w:val="center"/>
              <w:ind w:left="55"/>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center"/>
              <w:ind w:left="73"/>
              <w:spacing w:after="0"/>
              <w:rPr>
                <w:sz w:val="20"/>
                <w:szCs w:val="20"/>
                <w:color w:val="auto"/>
              </w:rPr>
            </w:pPr>
            <w:r>
              <w:rPr>
                <w:rFonts w:ascii="Arial" w:cs="Arial" w:eastAsia="Arial" w:hAnsi="Arial"/>
                <w:sz w:val="18"/>
                <w:szCs w:val="18"/>
                <w:color w:val="auto"/>
                <w:w w:val="99"/>
              </w:rPr>
              <w:t>$</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(4,941)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(15,334)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$ 708,441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5"/>
            <w:shd w:val="clear" w:color="auto" w:fill="CCEEFF"/>
          </w:tcPr>
          <w:p>
            <w:pPr>
              <w:jc w:val="right"/>
              <w:ind w:right="29"/>
              <w:spacing w:after="0"/>
              <w:rPr>
                <w:sz w:val="20"/>
                <w:szCs w:val="20"/>
                <w:color w:val="auto"/>
              </w:rPr>
            </w:pPr>
            <w:r>
              <w:rPr>
                <w:rFonts w:ascii="Arial" w:cs="Arial" w:eastAsia="Arial" w:hAnsi="Arial"/>
                <w:sz w:val="18"/>
                <w:szCs w:val="18"/>
                <w:color w:val="auto"/>
              </w:rPr>
              <w:t>75,669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(832)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w w:val="90"/>
              </w:rPr>
              <w:t>Selling, general and administrative</w:t>
            </w:r>
          </w:p>
        </w:tc>
        <w:tc>
          <w:tcPr>
            <w:tcW w:w="1060" w:type="dxa"/>
            <w:vAlign w:val="bottom"/>
            <w:gridSpan w:val="5"/>
          </w:tcPr>
          <w:p>
            <w:pPr>
              <w:jc w:val="right"/>
              <w:ind w:right="29"/>
              <w:spacing w:after="0"/>
              <w:rPr>
                <w:sz w:val="20"/>
                <w:szCs w:val="20"/>
                <w:color w:val="auto"/>
              </w:rPr>
            </w:pPr>
            <w:r>
              <w:rPr>
                <w:rFonts w:ascii="Arial" w:cs="Arial" w:eastAsia="Arial" w:hAnsi="Arial"/>
                <w:sz w:val="18"/>
                <w:szCs w:val="18"/>
                <w:color w:val="auto"/>
              </w:rPr>
              <w:t>121,888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(6,804)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115,084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60" w:type="dxa"/>
            <w:vAlign w:val="bottom"/>
            <w:tcBorders>
              <w:right w:val="single" w:sz="8" w:color="CCEEFF"/>
            </w:tcBorders>
            <w:shd w:val="clear" w:color="auto" w:fill="CCEEFF"/>
          </w:tcPr>
          <w:p>
            <w:pPr>
              <w:ind w:left="340"/>
              <w:spacing w:after="0" w:line="200" w:lineRule="exact"/>
              <w:rPr>
                <w:sz w:val="20"/>
                <w:szCs w:val="20"/>
                <w:color w:val="auto"/>
              </w:rPr>
            </w:pPr>
            <w:r>
              <w:rPr>
                <w:rFonts w:ascii="Arial" w:cs="Arial" w:eastAsia="Arial" w:hAnsi="Arial"/>
                <w:sz w:val="18"/>
                <w:szCs w:val="18"/>
                <w:color w:val="auto"/>
              </w:rPr>
              <w:t>Amortization of purchased</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intangible assets and other</w:t>
            </w:r>
          </w:p>
        </w:tc>
        <w:tc>
          <w:tcPr>
            <w:tcW w:w="1060" w:type="dxa"/>
            <w:vAlign w:val="bottom"/>
            <w:gridSpan w:val="5"/>
            <w:shd w:val="clear" w:color="auto" w:fill="CCEEFF"/>
          </w:tcPr>
          <w:p>
            <w:pPr>
              <w:jc w:val="right"/>
              <w:ind w:right="29"/>
              <w:spacing w:after="0"/>
              <w:rPr>
                <w:sz w:val="20"/>
                <w:szCs w:val="20"/>
                <w:color w:val="auto"/>
              </w:rPr>
            </w:pPr>
            <w:r>
              <w:rPr>
                <w:rFonts w:ascii="Arial" w:cs="Arial" w:eastAsia="Arial" w:hAnsi="Arial"/>
                <w:sz w:val="18"/>
                <w:szCs w:val="18"/>
                <w:color w:val="auto"/>
              </w:rPr>
              <w:t>19,870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(19,870)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946,143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(19,870)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(12,577)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(15,334)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60" w:type="dxa"/>
            <w:vAlign w:val="bottom"/>
            <w:gridSpan w:val="5"/>
            <w:shd w:val="clear" w:color="auto" w:fill="CCEEFF"/>
          </w:tcPr>
          <w:p>
            <w:pPr>
              <w:jc w:val="right"/>
              <w:ind w:right="29"/>
              <w:spacing w:after="0"/>
              <w:rPr>
                <w:sz w:val="20"/>
                <w:szCs w:val="20"/>
                <w:color w:val="auto"/>
              </w:rPr>
            </w:pPr>
            <w:r>
              <w:rPr>
                <w:rFonts w:ascii="Arial" w:cs="Arial" w:eastAsia="Arial" w:hAnsi="Arial"/>
                <w:sz w:val="18"/>
                <w:szCs w:val="18"/>
                <w:color w:val="auto"/>
              </w:rPr>
              <w:t>140,200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19,870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12,577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15,334</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187,981</w:t>
            </w:r>
          </w:p>
        </w:tc>
        <w:tc>
          <w:tcPr>
            <w:tcW w:w="0" w:type="dxa"/>
            <w:vAlign w:val="bottom"/>
          </w:tcPr>
          <w:p>
            <w:pPr>
              <w:spacing w:after="0"/>
              <w:rPr>
                <w:sz w:val="1"/>
                <w:szCs w:val="1"/>
                <w:color w:val="auto"/>
              </w:rPr>
            </w:pPr>
          </w:p>
        </w:tc>
      </w:tr>
      <w:tr>
        <w:trPr>
          <w:trHeight w:val="227"/>
        </w:trPr>
        <w:tc>
          <w:tcPr>
            <w:tcW w:w="288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1,199</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from sale of a business</w:t>
            </w:r>
          </w:p>
        </w:tc>
        <w:tc>
          <w:tcPr>
            <w:tcW w:w="1060" w:type="dxa"/>
            <w:vAlign w:val="bottom"/>
            <w:gridSpan w:val="5"/>
            <w:shd w:val="clear" w:color="auto" w:fill="CCEEFF"/>
          </w:tcPr>
          <w:p>
            <w:pPr>
              <w:jc w:val="right"/>
              <w:ind w:right="29"/>
              <w:spacing w:after="0"/>
              <w:rPr>
                <w:sz w:val="20"/>
                <w:szCs w:val="20"/>
                <w:color w:val="auto"/>
              </w:rPr>
            </w:pPr>
            <w:r>
              <w:rPr>
                <w:rFonts w:ascii="Arial" w:cs="Arial" w:eastAsia="Arial" w:hAnsi="Arial"/>
                <w:sz w:val="18"/>
                <w:szCs w:val="18"/>
                <w:color w:val="auto"/>
              </w:rPr>
              <w:t>226,410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(226,410)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60,488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(30,770)</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5"/>
            <w:shd w:val="clear" w:color="auto" w:fill="CCEEFF"/>
          </w:tcPr>
          <w:p>
            <w:pPr>
              <w:jc w:val="right"/>
              <w:ind w:right="29"/>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299,632</w:t>
            </w:r>
          </w:p>
        </w:tc>
        <w:tc>
          <w:tcPr>
            <w:tcW w:w="260" w:type="dxa"/>
            <w:vAlign w:val="bottom"/>
            <w:gridSpan w:val="2"/>
            <w:shd w:val="clear" w:color="auto" w:fill="CCEEFF"/>
          </w:tcPr>
          <w:p>
            <w:pPr>
              <w:jc w:val="center"/>
              <w:ind w:left="55"/>
              <w:spacing w:after="0"/>
              <w:rPr>
                <w:sz w:val="20"/>
                <w:szCs w:val="20"/>
                <w:color w:val="auto"/>
              </w:rPr>
            </w:pPr>
            <w:r>
              <w:rPr>
                <w:rFonts w:ascii="Arial" w:cs="Arial" w:eastAsia="Arial" w:hAnsi="Arial"/>
                <w:sz w:val="18"/>
                <w:szCs w:val="18"/>
                <w:color w:val="auto"/>
                <w:w w:val="79"/>
              </w:rPr>
              <w:t>$</w:t>
            </w:r>
          </w:p>
        </w:tc>
        <w:tc>
          <w:tcPr>
            <w:tcW w:w="7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19,870</w:t>
            </w:r>
          </w:p>
        </w:tc>
        <w:tc>
          <w:tcPr>
            <w:tcW w:w="34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9"/>
              </w:rPr>
              <w:t>$</w:t>
            </w: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12,577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15,334</w:t>
            </w:r>
          </w:p>
        </w:tc>
        <w:tc>
          <w:tcPr>
            <w:tcW w:w="18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(226,410)</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$ 1,199</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$ 30,770</w:t>
            </w:r>
          </w:p>
        </w:tc>
        <w:tc>
          <w:tcPr>
            <w:tcW w:w="2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$ 152,972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20"/>
          </w:cols>
          <w:pgMar w:left="480" w:top="268" w:right="4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AMDOCS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8"/>
        </w:trPr>
        <w:tc>
          <w:tcPr>
            <w:tcW w:w="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6"/>
              </w:rPr>
              <w:t>December 31,</w:t>
            </w:r>
          </w:p>
        </w:tc>
        <w:tc>
          <w:tcPr>
            <w:tcW w:w="260" w:type="dxa"/>
            <w:vAlign w:val="bottom"/>
          </w:tcPr>
          <w:p>
            <w:pPr>
              <w:spacing w:after="0"/>
              <w:rPr>
                <w:sz w:val="10"/>
                <w:szCs w:val="10"/>
                <w:color w:val="auto"/>
              </w:rPr>
            </w:pPr>
          </w:p>
        </w:tc>
        <w:tc>
          <w:tcPr>
            <w:tcW w:w="86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4"/>
              </w:rPr>
              <w:t>September 30,</w:t>
            </w:r>
          </w:p>
        </w:tc>
        <w:tc>
          <w:tcPr>
            <w:tcW w:w="60" w:type="dxa"/>
            <w:vAlign w:val="bottom"/>
          </w:tcPr>
          <w:p>
            <w:pPr>
              <w:spacing w:after="0"/>
              <w:rPr>
                <w:sz w:val="10"/>
                <w:szCs w:val="10"/>
                <w:color w:val="auto"/>
              </w:rPr>
            </w:pPr>
          </w:p>
        </w:tc>
      </w:tr>
      <w:tr>
        <w:trPr>
          <w:trHeight w:val="170"/>
        </w:trPr>
        <w:tc>
          <w:tcPr>
            <w:tcW w:w="20" w:type="dxa"/>
            <w:vAlign w:val="bottom"/>
          </w:tcPr>
          <w:p>
            <w:pPr>
              <w:spacing w:after="0"/>
              <w:rPr>
                <w:sz w:val="14"/>
                <w:szCs w:val="14"/>
                <w:color w:val="auto"/>
              </w:rPr>
            </w:pPr>
          </w:p>
        </w:tc>
        <w:tc>
          <w:tcPr>
            <w:tcW w:w="744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744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586,490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709,064</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Short-term interest-bearing investments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282,347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256,527</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including unbilled of $146,994 and $162,278, respectively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953,970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866,819</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255,984</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235,089</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2,078,791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2,067,499</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708,834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698,768</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Lease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233,162</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2,925,988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2,881,676</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612,904</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630,669</w:t>
            </w:r>
          </w:p>
        </w:tc>
        <w:tc>
          <w:tcPr>
            <w:tcW w:w="60" w:type="dxa"/>
            <w:vAlign w:val="bottom"/>
            <w:shd w:val="clear" w:color="auto" w:fill="CCEEFF"/>
          </w:tcPr>
          <w:p>
            <w:pPr>
              <w:spacing w:after="0"/>
              <w:rPr>
                <w:sz w:val="18"/>
                <w:szCs w:val="18"/>
                <w:color w:val="auto"/>
              </w:rPr>
            </w:pPr>
          </w:p>
        </w:tc>
      </w:tr>
      <w:tr>
        <w:trPr>
          <w:trHeight w:val="220"/>
        </w:trPr>
        <w:tc>
          <w:tcPr>
            <w:tcW w:w="7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6,555,477</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6,511,774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994,981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1,007,777</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Lease liabilities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59,333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58,714</w:t>
            </w: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334,687</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237,374</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1,389,001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1,303,865</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175,093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177,906</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Long-term debt, net of unamortized debt issuance costs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644,694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644,553</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750,266</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Total Amdocs Limited Shareholders’ equity</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3,534,297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3,592,675</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42,509</w:t>
            </w:r>
          </w:p>
        </w:tc>
      </w:tr>
      <w:tr>
        <w:trPr>
          <w:trHeight w:val="227"/>
        </w:trPr>
        <w:tc>
          <w:tcPr>
            <w:tcW w:w="746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3,576,806</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3,635,184</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6,555,477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6,511,774</w:t>
            </w: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0920"/>
          </w:cols>
          <w:pgMar w:left="480" w:top="268" w:right="4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AMDOCS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9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9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9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1"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92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Cash Flow from Operating Activities:</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income</w:t>
            </w:r>
            <w:r>
              <w:rPr>
                <w:rFonts w:ascii="Arial" w:cs="Arial" w:eastAsia="Arial" w:hAnsi="Arial"/>
                <w:sz w:val="15"/>
                <w:szCs w:val="15"/>
                <w:color w:val="auto"/>
              </w:rPr>
              <w:t>(a)</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$ 133,602</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299,632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50,876</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51,706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Equity-based compensation expense</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16,741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12,577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from sale of a business</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(226,410)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(25,892)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from short-term interest-bearing investments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(84,458)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(140,817)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(15,696)</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(11,835)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Lease assets and liabilities, net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(3,053)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86,049</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219,057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16,802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18,129</w:t>
            </w:r>
          </w:p>
        </w:tc>
        <w:tc>
          <w:tcPr>
            <w:tcW w:w="3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204,118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416,485</w:t>
            </w:r>
          </w:p>
        </w:tc>
        <w:tc>
          <w:tcPr>
            <w:tcW w:w="0" w:type="dxa"/>
            <w:vAlign w:val="bottom"/>
          </w:tcPr>
          <w:p>
            <w:pPr>
              <w:spacing w:after="0"/>
              <w:rPr>
                <w:sz w:val="1"/>
                <w:szCs w:val="1"/>
                <w:color w:val="auto"/>
              </w:rPr>
            </w:pPr>
          </w:p>
        </w:tc>
      </w:tr>
      <w:tr>
        <w:trPr>
          <w:trHeight w:val="219"/>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net</w:t>
            </w:r>
            <w:r>
              <w:rPr>
                <w:rFonts w:ascii="Arial" w:cs="Arial" w:eastAsia="Arial" w:hAnsi="Arial"/>
                <w:sz w:val="15"/>
                <w:szCs w:val="15"/>
                <w:color w:val="auto"/>
              </w:rPr>
              <w:t>(b)</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(57,225)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(34,275)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(176,234)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cash paid for business and intangible assets acquisitions</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(23,885)</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(9,897)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 of a business</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(110,691)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57,291</w:t>
            </w:r>
          </w:p>
        </w:tc>
        <w:tc>
          <w:tcPr>
            <w:tcW w:w="0" w:type="dxa"/>
            <w:vAlign w:val="bottom"/>
          </w:tcPr>
          <w:p>
            <w:pPr>
              <w:spacing w:after="0"/>
              <w:rPr>
                <w:sz w:val="1"/>
                <w:szCs w:val="1"/>
                <w:color w:val="auto"/>
              </w:rPr>
            </w:pPr>
          </w:p>
        </w:tc>
      </w:tr>
      <w:tr>
        <w:trPr>
          <w:trHeight w:val="219"/>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(170,904)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Proceeds from employee stock options exercises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(44,956)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(6,153)</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(216,001)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(120,395)</w:t>
            </w:r>
          </w:p>
        </w:tc>
        <w:tc>
          <w:tcPr>
            <w:tcW w:w="0" w:type="dxa"/>
            <w:vAlign w:val="bottom"/>
          </w:tcPr>
          <w:p>
            <w:pPr>
              <w:spacing w:after="0"/>
              <w:rPr>
                <w:sz w:val="1"/>
                <w:szCs w:val="1"/>
                <w:color w:val="auto"/>
              </w:rPr>
            </w:pPr>
          </w:p>
        </w:tc>
      </w:tr>
      <w:tr>
        <w:trPr>
          <w:trHeight w:val="220"/>
        </w:trPr>
        <w:tc>
          <w:tcPr>
            <w:tcW w:w="89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(122,574)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709,064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983,188</w:t>
            </w:r>
          </w:p>
        </w:tc>
        <w:tc>
          <w:tcPr>
            <w:tcW w:w="0" w:type="dxa"/>
            <w:vAlign w:val="bottom"/>
          </w:tcPr>
          <w:p>
            <w:pPr>
              <w:spacing w:after="0"/>
              <w:rPr>
                <w:sz w:val="1"/>
                <w:szCs w:val="1"/>
                <w:color w:val="auto"/>
              </w:rPr>
            </w:pPr>
          </w:p>
        </w:tc>
      </w:tr>
      <w:tr>
        <w:trPr>
          <w:trHeight w:val="220"/>
        </w:trPr>
        <w:tc>
          <w:tcPr>
            <w:tcW w:w="89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$ 586,490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1,336,569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20"/>
          </w:cols>
          <w:pgMar w:left="480" w:top="268" w:right="49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AMDOCS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9"/>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8"/>
        </w:trPr>
        <w:tc>
          <w:tcPr>
            <w:tcW w:w="3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260" w:type="dxa"/>
            <w:vAlign w:val="bottom"/>
          </w:tcPr>
          <w:p>
            <w:pPr>
              <w:spacing w:after="0"/>
              <w:rPr>
                <w:sz w:val="10"/>
                <w:szCs w:val="10"/>
                <w:color w:val="auto"/>
              </w:rPr>
            </w:pPr>
          </w:p>
        </w:tc>
        <w:tc>
          <w:tcPr>
            <w:tcW w:w="88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tcPr>
          <w:p>
            <w:pPr>
              <w:jc w:val="right"/>
              <w:ind w:right="160"/>
              <w:spacing w:after="0" w:line="118" w:lineRule="exact"/>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tcPr>
          <w:p>
            <w:pPr>
              <w:jc w:val="right"/>
              <w:ind w:right="160"/>
              <w:spacing w:after="0" w:line="118"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82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10"/>
                <w:szCs w:val="10"/>
                <w:color w:val="auto"/>
              </w:rPr>
            </w:pPr>
          </w:p>
        </w:tc>
      </w:tr>
      <w:tr>
        <w:trPr>
          <w:trHeight w:val="170"/>
        </w:trPr>
        <w:tc>
          <w:tcPr>
            <w:tcW w:w="3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2021</w:t>
            </w:r>
            <w:r>
              <w:rPr>
                <w:rFonts w:ascii="Arial" w:cs="Arial" w:eastAsia="Arial" w:hAnsi="Arial"/>
                <w:sz w:val="12"/>
                <w:szCs w:val="12"/>
                <w:b w:val="1"/>
                <w:bCs w:val="1"/>
                <w:color w:val="auto"/>
                <w:w w:val="91"/>
              </w:rPr>
              <w:t>(a)</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2021</w:t>
            </w:r>
            <w:r>
              <w:rPr>
                <w:rFonts w:ascii="Arial" w:cs="Arial" w:eastAsia="Arial" w:hAnsi="Arial"/>
                <w:sz w:val="12"/>
                <w:szCs w:val="12"/>
                <w:b w:val="1"/>
                <w:bCs w:val="1"/>
                <w:color w:val="auto"/>
                <w:w w:val="95"/>
              </w:rPr>
              <w:t>(a)</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07"/>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686.1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3760" w:type="dxa"/>
            <w:vAlign w:val="bottom"/>
          </w:tcPr>
          <w:p>
            <w:pPr>
              <w:spacing w:after="0"/>
              <w:rPr>
                <w:sz w:val="20"/>
                <w:szCs w:val="20"/>
                <w:color w:val="auto"/>
              </w:rPr>
            </w:pPr>
            <w:r>
              <w:rPr>
                <w:rFonts w:ascii="Arial" w:cs="Arial" w:eastAsia="Arial" w:hAnsi="Arial"/>
                <w:sz w:val="18"/>
                <w:szCs w:val="18"/>
                <w:color w:val="auto"/>
              </w:rPr>
              <w:t>Europe</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146.8</w:t>
            </w:r>
          </w:p>
        </w:tc>
        <w:tc>
          <w:tcPr>
            <w:tcW w:w="1000" w:type="dxa"/>
            <w:vAlign w:val="bottom"/>
            <w:gridSpan w:val="5"/>
          </w:tcPr>
          <w:p>
            <w:pPr>
              <w:jc w:val="right"/>
              <w:ind w:right="80"/>
              <w:spacing w:after="0"/>
              <w:rPr>
                <w:sz w:val="20"/>
                <w:szCs w:val="20"/>
                <w:color w:val="auto"/>
              </w:rPr>
            </w:pPr>
            <w:r>
              <w:rPr>
                <w:rFonts w:ascii="Arial" w:cs="Arial" w:eastAsia="Arial" w:hAnsi="Arial"/>
                <w:sz w:val="18"/>
                <w:szCs w:val="18"/>
                <w:color w:val="auto"/>
              </w:rPr>
              <w:t>155.7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171.6</w:t>
            </w:r>
          </w:p>
        </w:tc>
        <w:tc>
          <w:tcPr>
            <w:tcW w:w="60" w:type="dxa"/>
            <w:vAlign w:val="bottom"/>
          </w:tcPr>
          <w:p>
            <w:pPr>
              <w:spacing w:after="0"/>
              <w:rPr>
                <w:sz w:val="18"/>
                <w:szCs w:val="18"/>
                <w:color w:val="auto"/>
              </w:rPr>
            </w:pPr>
          </w:p>
        </w:tc>
      </w:tr>
      <w:tr>
        <w:trPr>
          <w:trHeight w:val="214"/>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224.5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211.3</w:t>
            </w:r>
          </w:p>
        </w:tc>
      </w:tr>
      <w:tr>
        <w:trPr>
          <w:trHeight w:val="220"/>
        </w:trPr>
        <w:tc>
          <w:tcPr>
            <w:tcW w:w="3760" w:type="dxa"/>
            <w:vAlign w:val="bottom"/>
          </w:tcPr>
          <w:p>
            <w:pPr>
              <w:spacing w:after="0"/>
              <w:rPr>
                <w:sz w:val="20"/>
                <w:szCs w:val="20"/>
                <w:color w:val="auto"/>
              </w:rPr>
            </w:pPr>
            <w:r>
              <w:rPr>
                <w:rFonts w:ascii="Arial" w:cs="Arial" w:eastAsia="Arial" w:hAnsi="Arial"/>
                <w:sz w:val="18"/>
                <w:szCs w:val="18"/>
                <w:color w:val="auto"/>
              </w:rPr>
              <w:t>Total Revenue</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1,104.6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1,087.3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$ 1,066.3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$ 1,048.7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6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2"/>
        </w:trPr>
        <w:tc>
          <w:tcPr>
            <w:tcW w:w="3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8"/>
        </w:trPr>
        <w:tc>
          <w:tcPr>
            <w:tcW w:w="3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40" w:type="dxa"/>
            <w:vAlign w:val="bottom"/>
            <w:gridSpan w:val="5"/>
          </w:tcPr>
          <w:p>
            <w:pPr>
              <w:jc w:val="right"/>
              <w:ind w:right="400"/>
              <w:spacing w:after="0" w:line="118" w:lineRule="exact"/>
              <w:rPr>
                <w:sz w:val="20"/>
                <w:szCs w:val="20"/>
                <w:color w:val="auto"/>
              </w:rPr>
            </w:pPr>
            <w:r>
              <w:rPr>
                <w:rFonts w:ascii="Arial" w:cs="Arial" w:eastAsia="Arial" w:hAnsi="Arial"/>
                <w:sz w:val="13"/>
                <w:szCs w:val="13"/>
                <w:b w:val="1"/>
                <w:bCs w:val="1"/>
                <w:color w:val="auto"/>
                <w:w w:val="96"/>
              </w:rPr>
              <w:t>December 31,</w:t>
            </w:r>
          </w:p>
        </w:tc>
        <w:tc>
          <w:tcPr>
            <w:tcW w:w="1140" w:type="dxa"/>
            <w:vAlign w:val="bottom"/>
            <w:gridSpan w:val="4"/>
          </w:tcPr>
          <w:p>
            <w:pPr>
              <w:jc w:val="right"/>
              <w:ind w:right="189"/>
              <w:spacing w:after="0" w:line="118"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840" w:type="dxa"/>
            <w:vAlign w:val="bottom"/>
            <w:gridSpan w:val="4"/>
          </w:tcPr>
          <w:p>
            <w:pPr>
              <w:jc w:val="center"/>
              <w:ind w:right="340"/>
              <w:spacing w:after="0" w:line="118"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Pr>
          <w:p>
            <w:pPr>
              <w:spacing w:after="0"/>
              <w:rPr>
                <w:sz w:val="10"/>
                <w:szCs w:val="10"/>
                <w:color w:val="auto"/>
              </w:rPr>
            </w:pPr>
          </w:p>
        </w:tc>
        <w:tc>
          <w:tcPr>
            <w:tcW w:w="920" w:type="dxa"/>
            <w:vAlign w:val="bottom"/>
            <w:gridSpan w:val="5"/>
          </w:tcPr>
          <w:p>
            <w:pPr>
              <w:jc w:val="right"/>
              <w:ind w:right="300"/>
              <w:spacing w:after="0" w:line="118" w:lineRule="exact"/>
              <w:rPr>
                <w:sz w:val="20"/>
                <w:szCs w:val="20"/>
                <w:color w:val="auto"/>
              </w:rPr>
            </w:pPr>
            <w:r>
              <w:rPr>
                <w:rFonts w:ascii="Arial" w:cs="Arial" w:eastAsia="Arial" w:hAnsi="Arial"/>
                <w:sz w:val="13"/>
                <w:szCs w:val="13"/>
                <w:b w:val="1"/>
                <w:bCs w:val="1"/>
                <w:color w:val="auto"/>
                <w:w w:val="99"/>
              </w:rPr>
              <w:t>March 31,</w:t>
            </w:r>
          </w:p>
        </w:tc>
        <w:tc>
          <w:tcPr>
            <w:tcW w:w="120" w:type="dxa"/>
            <w:vAlign w:val="bottom"/>
          </w:tcPr>
          <w:p>
            <w:pPr>
              <w:spacing w:after="0"/>
              <w:rPr>
                <w:sz w:val="10"/>
                <w:szCs w:val="10"/>
                <w:color w:val="auto"/>
              </w:rPr>
            </w:pPr>
          </w:p>
        </w:tc>
        <w:tc>
          <w:tcPr>
            <w:tcW w:w="82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10"/>
                <w:szCs w:val="10"/>
                <w:color w:val="auto"/>
              </w:rPr>
            </w:pPr>
          </w:p>
        </w:tc>
      </w:tr>
      <w:tr>
        <w:trPr>
          <w:trHeight w:val="170"/>
        </w:trPr>
        <w:tc>
          <w:tcPr>
            <w:tcW w:w="3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3"/>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660" w:type="dxa"/>
            <w:vAlign w:val="bottom"/>
            <w:gridSpan w:val="3"/>
          </w:tcPr>
          <w:p>
            <w:pPr>
              <w:jc w:val="center"/>
              <w:ind w:left="60"/>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07"/>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637.5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650.5</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634.6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60" w:type="dxa"/>
            <w:vAlign w:val="bottom"/>
            <w:tcBorders>
              <w:top w:val="single" w:sz="8" w:color="CCEEFF"/>
            </w:tcBorders>
            <w:shd w:val="clear" w:color="auto" w:fill="CCEEFF"/>
          </w:tcPr>
          <w:p>
            <w:pPr>
              <w:spacing w:after="0"/>
              <w:rPr>
                <w:sz w:val="18"/>
                <w:szCs w:val="18"/>
                <w:color w:val="auto"/>
              </w:rPr>
            </w:pPr>
          </w:p>
        </w:tc>
      </w:tr>
      <w:tr>
        <w:trPr>
          <w:trHeight w:val="395"/>
        </w:trPr>
        <w:tc>
          <w:tcPr>
            <w:tcW w:w="3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8"/>
        </w:trPr>
        <w:tc>
          <w:tcPr>
            <w:tcW w:w="3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40" w:type="dxa"/>
            <w:vAlign w:val="bottom"/>
            <w:gridSpan w:val="5"/>
          </w:tcPr>
          <w:p>
            <w:pPr>
              <w:jc w:val="right"/>
              <w:ind w:right="400"/>
              <w:spacing w:after="0" w:line="118" w:lineRule="exact"/>
              <w:rPr>
                <w:sz w:val="20"/>
                <w:szCs w:val="20"/>
                <w:color w:val="auto"/>
              </w:rPr>
            </w:pPr>
            <w:r>
              <w:rPr>
                <w:rFonts w:ascii="Arial" w:cs="Arial" w:eastAsia="Arial" w:hAnsi="Arial"/>
                <w:sz w:val="13"/>
                <w:szCs w:val="13"/>
                <w:b w:val="1"/>
                <w:bCs w:val="1"/>
                <w:color w:val="auto"/>
                <w:w w:val="96"/>
              </w:rPr>
              <w:t>December 31,</w:t>
            </w:r>
          </w:p>
        </w:tc>
        <w:tc>
          <w:tcPr>
            <w:tcW w:w="1140" w:type="dxa"/>
            <w:vAlign w:val="bottom"/>
            <w:gridSpan w:val="4"/>
          </w:tcPr>
          <w:p>
            <w:pPr>
              <w:jc w:val="right"/>
              <w:ind w:right="189"/>
              <w:spacing w:after="0" w:line="118"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840" w:type="dxa"/>
            <w:vAlign w:val="bottom"/>
            <w:gridSpan w:val="4"/>
          </w:tcPr>
          <w:p>
            <w:pPr>
              <w:jc w:val="center"/>
              <w:ind w:right="340"/>
              <w:spacing w:after="0" w:line="118"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Pr>
          <w:p>
            <w:pPr>
              <w:spacing w:after="0"/>
              <w:rPr>
                <w:sz w:val="10"/>
                <w:szCs w:val="10"/>
                <w:color w:val="auto"/>
              </w:rPr>
            </w:pPr>
          </w:p>
        </w:tc>
        <w:tc>
          <w:tcPr>
            <w:tcW w:w="920" w:type="dxa"/>
            <w:vAlign w:val="bottom"/>
            <w:gridSpan w:val="5"/>
          </w:tcPr>
          <w:p>
            <w:pPr>
              <w:jc w:val="right"/>
              <w:ind w:right="300"/>
              <w:spacing w:after="0" w:line="118" w:lineRule="exact"/>
              <w:rPr>
                <w:sz w:val="20"/>
                <w:szCs w:val="20"/>
                <w:color w:val="auto"/>
              </w:rPr>
            </w:pPr>
            <w:r>
              <w:rPr>
                <w:rFonts w:ascii="Arial" w:cs="Arial" w:eastAsia="Arial" w:hAnsi="Arial"/>
                <w:sz w:val="13"/>
                <w:szCs w:val="13"/>
                <w:b w:val="1"/>
                <w:bCs w:val="1"/>
                <w:color w:val="auto"/>
                <w:w w:val="99"/>
              </w:rPr>
              <w:t>March 31,</w:t>
            </w:r>
          </w:p>
        </w:tc>
        <w:tc>
          <w:tcPr>
            <w:tcW w:w="120" w:type="dxa"/>
            <w:vAlign w:val="bottom"/>
          </w:tcPr>
          <w:p>
            <w:pPr>
              <w:spacing w:after="0"/>
              <w:rPr>
                <w:sz w:val="10"/>
                <w:szCs w:val="10"/>
                <w:color w:val="auto"/>
              </w:rPr>
            </w:pPr>
          </w:p>
        </w:tc>
        <w:tc>
          <w:tcPr>
            <w:tcW w:w="82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10"/>
                <w:szCs w:val="10"/>
                <w:color w:val="auto"/>
              </w:rPr>
            </w:pPr>
          </w:p>
        </w:tc>
      </w:tr>
      <w:tr>
        <w:trPr>
          <w:trHeight w:val="170"/>
        </w:trPr>
        <w:tc>
          <w:tcPr>
            <w:tcW w:w="3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1"/>
              </w:rPr>
              <w:t>2021</w:t>
            </w:r>
            <w:r>
              <w:rPr>
                <w:rFonts w:ascii="Arial" w:cs="Arial" w:eastAsia="Arial" w:hAnsi="Arial"/>
                <w:sz w:val="12"/>
                <w:szCs w:val="12"/>
                <w:b w:val="1"/>
                <w:bCs w:val="1"/>
                <w:color w:val="auto"/>
                <w:w w:val="91"/>
              </w:rPr>
              <w:t>(c)</w:t>
            </w:r>
          </w:p>
        </w:tc>
        <w:tc>
          <w:tcPr>
            <w:tcW w:w="1140" w:type="dxa"/>
            <w:vAlign w:val="bottom"/>
            <w:gridSpan w:val="4"/>
          </w:tcPr>
          <w:p>
            <w:pPr>
              <w:jc w:val="right"/>
              <w:ind w:right="409"/>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(c)</w:t>
            </w:r>
          </w:p>
        </w:tc>
        <w:tc>
          <w:tcPr>
            <w:tcW w:w="160" w:type="dxa"/>
            <w:vAlign w:val="bottom"/>
          </w:tcPr>
          <w:p>
            <w:pPr>
              <w:spacing w:after="0"/>
              <w:rPr>
                <w:sz w:val="14"/>
                <w:szCs w:val="14"/>
                <w:color w:val="auto"/>
              </w:rPr>
            </w:pPr>
          </w:p>
        </w:tc>
        <w:tc>
          <w:tcPr>
            <w:tcW w:w="8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2021</w:t>
            </w:r>
            <w:r>
              <w:rPr>
                <w:rFonts w:ascii="Arial" w:cs="Arial" w:eastAsia="Arial" w:hAnsi="Arial"/>
                <w:sz w:val="12"/>
                <w:szCs w:val="12"/>
                <w:b w:val="1"/>
                <w:bCs w:val="1"/>
                <w:color w:val="auto"/>
                <w:w w:val="91"/>
              </w:rPr>
              <w:t>(c)</w:t>
            </w:r>
          </w:p>
        </w:tc>
        <w:tc>
          <w:tcPr>
            <w:tcW w:w="80" w:type="dxa"/>
            <w:vAlign w:val="bottom"/>
          </w:tcPr>
          <w:p>
            <w:pPr>
              <w:spacing w:after="0"/>
              <w:rPr>
                <w:sz w:val="14"/>
                <w:szCs w:val="14"/>
                <w:color w:val="auto"/>
              </w:rPr>
            </w:pPr>
          </w:p>
        </w:tc>
        <w:tc>
          <w:tcPr>
            <w:tcW w:w="920" w:type="dxa"/>
            <w:vAlign w:val="bottom"/>
            <w:gridSpan w:val="5"/>
          </w:tcPr>
          <w:p>
            <w:pPr>
              <w:ind w:left="100"/>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(c)</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2"/>
                <w:szCs w:val="12"/>
                <w:b w:val="1"/>
                <w:bCs w:val="1"/>
                <w:color w:val="auto"/>
              </w:rPr>
              <w:t>(c)</w:t>
            </w:r>
          </w:p>
        </w:tc>
      </w:tr>
      <w:tr>
        <w:trPr>
          <w:trHeight w:val="207"/>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3,690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3,590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3,540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645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6" w:lineRule="exact"/>
        <w:rPr>
          <w:sz w:val="20"/>
          <w:szCs w:val="20"/>
          <w:color w:val="auto"/>
        </w:rPr>
      </w:pPr>
    </w:p>
    <w:p>
      <w:pPr>
        <w:ind w:left="440" w:hanging="433"/>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OpenMarket, which we divested on December 31, 2020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p>
      <w:pPr>
        <w:sectPr>
          <w:pgSz w:w="11900" w:h="16838" w:orient="portrait"/>
          <w:cols w:equalWidth="0" w:num="1">
            <w:col w:w="10920"/>
          </w:cols>
          <w:pgMar w:left="480" w:top="268" w:right="499" w:bottom="1440" w:gutter="0" w:footer="0" w:header="0"/>
        </w:sectPr>
      </w:pPr>
    </w:p>
    <w:bookmarkStart w:id="20" w:name="page21"/>
    <w:bookmarkEnd w:id="20"/>
    <w:p>
      <w:pPr>
        <w:ind w:left="904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183515</wp:posOffset>
            </wp:positionV>
            <wp:extent cx="7094855" cy="4017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4855" cy="4017010"/>
                    </a:xfrm>
                    <a:prstGeom prst="rect">
                      <a:avLst/>
                    </a:prstGeom>
                    <a:noFill/>
                  </pic:spPr>
                </pic:pic>
              </a:graphicData>
            </a:graphic>
          </wp:anchor>
        </w:drawing>
      </w:r>
    </w:p>
    <w:p>
      <w:pPr>
        <w:sectPr>
          <w:pgSz w:w="11900" w:h="16838" w:orient="portrait"/>
          <w:cols w:equalWidth="0" w:num="1">
            <w:col w:w="9960"/>
          </w:cols>
          <w:pgMar w:left="1440" w:top="121" w:right="499" w:bottom="1440"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lvl>
    <w:lvl w:ilvl="1">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2022-02-02T05:29:14Z</dcterms:created>
  <dcterms:modified xsi:type="dcterms:W3CDTF">2022-02-02T05:29:14Z</dcterms:modified>
</cp:coreProperties>
</file>